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1B" w:rsidRDefault="00990C87">
      <w:r>
        <w:rPr>
          <w:noProof/>
        </w:rPr>
        <mc:AlternateContent>
          <mc:Choice Requires="wps">
            <w:drawing>
              <wp:anchor distT="0" distB="0" distL="114300" distR="114300" simplePos="0" relativeHeight="251660288" behindDoc="0" locked="0" layoutInCell="1" allowOverlap="1">
                <wp:simplePos x="0" y="0"/>
                <wp:positionH relativeFrom="page">
                  <wp:posOffset>3536315</wp:posOffset>
                </wp:positionH>
                <wp:positionV relativeFrom="page">
                  <wp:posOffset>6638290</wp:posOffset>
                </wp:positionV>
                <wp:extent cx="2795270" cy="262255"/>
                <wp:effectExtent l="2540" t="0" r="0" b="0"/>
                <wp:wrapSquare wrapText="bothSides"/>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314FA" w:rsidRPr="0061221B" w:rsidRDefault="006314FA">
                            <w:pPr>
                              <w:pStyle w:val="Vahedeta"/>
                              <w:rPr>
                                <w:noProof/>
                                <w:color w:val="1F497D"/>
                              </w:rPr>
                            </w:pPr>
                            <w:r>
                              <w:rPr>
                                <w:noProof/>
                              </w:rPr>
                              <w:t>H&amp;V Juhtkomitee</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278.45pt;margin-top:522.7pt;width:220.1pt;height:20.65pt;z-index:25166028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" filled="f" stroked="f" strokeweight=".5pt">
                <v:textbox style="mso-fit-shape-to-text:t">
                  <w:txbxContent>
                    <w:p w:rsidR="006314FA" w:rsidRPr="0061221B" w:rsidRDefault="006314FA">
                      <w:pPr>
                        <w:pStyle w:val="Vahedeta"/>
                        <w:rPr>
                          <w:noProof/>
                          <w:color w:val="1F497D"/>
                        </w:rPr>
                      </w:pPr>
                      <w:r>
                        <w:rPr>
                          <w:noProof/>
                        </w:rPr>
                        <w:t>H&amp;V Juhtkomitee</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259AB59" wp14:editId="250F6367">
                <wp:simplePos x="0" y="0"/>
                <wp:positionH relativeFrom="page">
                  <wp:posOffset>194310</wp:posOffset>
                </wp:positionH>
                <wp:positionV relativeFrom="page">
                  <wp:posOffset>251460</wp:posOffset>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Pr="00690FBB" w:rsidRDefault="006314FA" w:rsidP="00B87663">
                            <w:pPr>
                              <w:jc w:val="center"/>
                            </w:pPr>
                            <w:r>
                              <w:rPr>
                                <w:noProof/>
                              </w:rPr>
                              <w:drawing>
                                <wp:inline distT="0" distB="0" distL="0" distR="0" wp14:anchorId="01C6B03D" wp14:editId="3E63C5D7">
                                  <wp:extent cx="2135756" cy="972000"/>
                                  <wp:effectExtent l="247650" t="266700" r="264795" b="266700"/>
                                  <wp:docPr id="14" name="Pilt 14" descr="C:\Users\Kärt\Pictures\Töö\pilt\Bännerid\RC-eest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ärt\Pictures\Töö\pilt\Bännerid\RC-eesti 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756" cy="972000"/>
                                          </a:xfrm>
                                          <a:prstGeom prst="round2DiagRect">
                                            <a:avLst>
                                              <a:gd name="adj1" fmla="val 16667"/>
                                              <a:gd name="adj2" fmla="val 0"/>
                                            </a:avLst>
                                          </a:prstGeom>
                                          <a:ln w="31750" cap="sq">
                                            <a:solidFill>
                                              <a:schemeClr val="accent1">
                                                <a:lumMod val="75000"/>
                                              </a:schemeClr>
                                            </a:solidFill>
                                            <a:miter lim="800000"/>
                                          </a:ln>
                                          <a:effectLst>
                                            <a:outerShdw blurRad="254000" algn="tl" rotWithShape="0">
                                              <a:srgbClr val="000000">
                                                <a:alpha val="43000"/>
                                              </a:srgbClr>
                                            </a:outerShdw>
                                          </a:effectLst>
                                        </pic:spPr>
                                      </pic:pic>
                                    </a:graphicData>
                                  </a:graphic>
                                </wp:inline>
                              </w:drawing>
                            </w:r>
                            <w:r>
                              <w:rPr>
                                <w:noProof/>
                              </w:rPr>
                              <w:drawing>
                                <wp:inline distT="0" distB="0" distL="0" distR="0" wp14:anchorId="14A98CFF" wp14:editId="4792CC7B">
                                  <wp:extent cx="2524125" cy="828675"/>
                                  <wp:effectExtent l="266700" t="266700" r="276225" b="276225"/>
                                  <wp:docPr id="15" name="Pilt 15" descr="C:\Users\Kärt\Pictures\Töö\pilt\Bännerid\kt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ärt\Pictures\Töö\pilt\Bännerid\ktlog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828675"/>
                                          </a:xfrm>
                                          <a:prstGeom prst="round2DiagRect">
                                            <a:avLst>
                                              <a:gd name="adj1" fmla="val 16667"/>
                                              <a:gd name="adj2" fmla="val 0"/>
                                            </a:avLst>
                                          </a:prstGeom>
                                          <a:ln w="31750" cap="sq">
                                            <a:solidFill>
                                              <a:schemeClr val="accent1">
                                                <a:lumMod val="75000"/>
                                              </a:schemeClr>
                                            </a:solidFill>
                                            <a:miter lim="800000"/>
                                          </a:ln>
                                          <a:effectLst>
                                            <a:outerShdw blurRad="254000" algn="tl" rotWithShape="0">
                                              <a:srgbClr val="000000">
                                                <a:alpha val="43000"/>
                                              </a:srgbClr>
                                            </a:outerShdw>
                                          </a:effectLst>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15.3pt;margin-top:19.8pt;width:581.4pt;height:752.4pt;z-index:-251657216;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" fillcolor="#fcf7dd" stroked="f" strokeweight="2pt">
                <v:fill color2="#8f8c7f" rotate="t" focusposition=".5,.5" focussize="" focus="100%" type="gradientRadial"/>
                <v:path arrowok="t"/>
                <v:textbox inset="21.6pt,,21.6pt">
                  <w:txbxContent>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Default="006314FA" w:rsidP="00690FBB"/>
                    <w:p w:rsidR="006314FA" w:rsidRPr="00690FBB" w:rsidRDefault="006314FA" w:rsidP="00B87663">
                      <w:pPr>
                        <w:jc w:val="center"/>
                      </w:pPr>
                      <w:r>
                        <w:rPr>
                          <w:noProof/>
                        </w:rPr>
                        <w:drawing>
                          <wp:inline distT="0" distB="0" distL="0" distR="0" wp14:anchorId="01C6B03D" wp14:editId="3E63C5D7">
                            <wp:extent cx="2135756" cy="972000"/>
                            <wp:effectExtent l="247650" t="266700" r="264795" b="266700"/>
                            <wp:docPr id="14" name="Pilt 14" descr="C:\Users\Kärt\Pictures\Töö\pilt\Bännerid\RC-eest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ärt\Pictures\Töö\pilt\Bännerid\RC-eesti 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756" cy="972000"/>
                                    </a:xfrm>
                                    <a:prstGeom prst="round2DiagRect">
                                      <a:avLst>
                                        <a:gd name="adj1" fmla="val 16667"/>
                                        <a:gd name="adj2" fmla="val 0"/>
                                      </a:avLst>
                                    </a:prstGeom>
                                    <a:ln w="31750" cap="sq">
                                      <a:solidFill>
                                        <a:schemeClr val="accent1">
                                          <a:lumMod val="75000"/>
                                        </a:schemeClr>
                                      </a:solidFill>
                                      <a:miter lim="800000"/>
                                    </a:ln>
                                    <a:effectLst>
                                      <a:outerShdw blurRad="254000" algn="tl" rotWithShape="0">
                                        <a:srgbClr val="000000">
                                          <a:alpha val="43000"/>
                                        </a:srgbClr>
                                      </a:outerShdw>
                                    </a:effectLst>
                                  </pic:spPr>
                                </pic:pic>
                              </a:graphicData>
                            </a:graphic>
                          </wp:inline>
                        </w:drawing>
                      </w:r>
                      <w:r>
                        <w:rPr>
                          <w:noProof/>
                        </w:rPr>
                        <w:drawing>
                          <wp:inline distT="0" distB="0" distL="0" distR="0" wp14:anchorId="14A98CFF" wp14:editId="4792CC7B">
                            <wp:extent cx="2524125" cy="828675"/>
                            <wp:effectExtent l="266700" t="266700" r="276225" b="276225"/>
                            <wp:docPr id="15" name="Pilt 15" descr="C:\Users\Kärt\Pictures\Töö\pilt\Bännerid\kt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ärt\Pictures\Töö\pilt\Bännerid\ktlog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828675"/>
                                    </a:xfrm>
                                    <a:prstGeom prst="round2DiagRect">
                                      <a:avLst>
                                        <a:gd name="adj1" fmla="val 16667"/>
                                        <a:gd name="adj2" fmla="val 0"/>
                                      </a:avLst>
                                    </a:prstGeom>
                                    <a:ln w="31750" cap="sq">
                                      <a:solidFill>
                                        <a:schemeClr val="accent1">
                                          <a:lumMod val="75000"/>
                                        </a:schemeClr>
                                      </a:solidFill>
                                      <a:miter lim="800000"/>
                                    </a:ln>
                                    <a:effectLst>
                                      <a:outerShdw blurRad="254000" algn="tl" rotWithShape="0">
                                        <a:srgbClr val="000000">
                                          <a:alpha val="43000"/>
                                        </a:srgbClr>
                                      </a:outerShdw>
                                    </a:effectLst>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3536315</wp:posOffset>
                </wp:positionH>
                <wp:positionV relativeFrom="page">
                  <wp:posOffset>251460</wp:posOffset>
                </wp:positionV>
                <wp:extent cx="2873375" cy="3013710"/>
                <wp:effectExtent l="2540" t="381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3013710"/>
                        </a:xfrm>
                        <a:prstGeom prst="rect">
                          <a:avLst/>
                        </a:prstGeom>
                        <a:solidFill>
                          <a:srgbClr val="1F497D"/>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314FA" w:rsidRPr="00990C87" w:rsidRDefault="006314FA">
                            <w:pPr>
                              <w:spacing w:before="240"/>
                              <w:jc w:val="center"/>
                              <w:rPr>
                                <w:color w:val="FFFFFF" w:themeColor="background1"/>
                              </w:rPr>
                            </w:pPr>
                            <w:r w:rsidRPr="00990C87">
                              <w:rPr>
                                <w:color w:val="FFFFFF" w:themeColor="background1"/>
                              </w:rPr>
                              <w:t>Aus ja läbipaistev aruandmine on H&amp;V initsiatiivi süda.</w:t>
                            </w:r>
                          </w:p>
                          <w:p w:rsidR="006314FA" w:rsidRPr="00990C87" w:rsidRDefault="006314FA">
                            <w:pPr>
                              <w:spacing w:before="240"/>
                              <w:jc w:val="center"/>
                              <w:rPr>
                                <w:color w:val="FFFFFF" w:themeColor="background1"/>
                              </w:rPr>
                            </w:pPr>
                            <w:r w:rsidRPr="00990C87">
                              <w:rPr>
                                <w:color w:val="FFFFFF" w:themeColor="background1"/>
                              </w:rPr>
                              <w:t>Tulemuslikkuse põhinäitajad on üle võetud ICCA ja CEFIC ülemaailmselt kokkulepitud indikaatoritest ning käesolev juhend põhineb nimetatud organisatsioonide samalaadsetel juhenddokumentidel.</w:t>
                            </w:r>
                          </w:p>
                          <w:p w:rsidR="006314FA" w:rsidRPr="00990C87" w:rsidRDefault="006314FA">
                            <w:pPr>
                              <w:spacing w:before="240"/>
                              <w:jc w:val="center"/>
                              <w:rPr>
                                <w:color w:val="FFFFFF" w:themeColor="background1"/>
                              </w:rPr>
                            </w:pPr>
                          </w:p>
                          <w:p w:rsidR="006314FA" w:rsidRPr="00990C87" w:rsidRDefault="006314FA" w:rsidP="00766711">
                            <w:pPr>
                              <w:shd w:val="clear" w:color="auto" w:fill="9AAC24" w:themeFill="accent2" w:themeFillShade="BF"/>
                              <w:spacing w:before="240"/>
                              <w:jc w:val="center"/>
                              <w:rPr>
                                <w:b/>
                                <w:color w:val="FFFFFF" w:themeColor="background1"/>
                                <w:sz w:val="32"/>
                                <w:szCs w:val="32"/>
                              </w:rPr>
                            </w:pPr>
                            <w:r>
                              <w:rPr>
                                <w:b/>
                                <w:color w:val="FFFFFF" w:themeColor="background1"/>
                                <w:sz w:val="32"/>
                                <w:szCs w:val="32"/>
                              </w:rPr>
                              <w:t>2013</w:t>
                            </w:r>
                          </w:p>
                          <w:p w:rsidR="006314FA" w:rsidRPr="0061221B" w:rsidRDefault="006314FA">
                            <w:pPr>
                              <w:spacing w:before="240"/>
                              <w:jc w:val="center"/>
                              <w:rPr>
                                <w:color w:val="FFFFFF"/>
                              </w:rPr>
                            </w:pPr>
                            <w:r>
                              <w:t>22oo</w:t>
                            </w: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278.45pt;margin-top:19.8pt;width:226.25pt;height:237.3pt;z-index:251656192;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" fillcolor="#1f497d" stroked="f" strokeweight="2pt">
                <v:textbox inset="14.4pt,14.4pt,14.4pt,28.8pt">
                  <w:txbxContent>
                    <w:p w:rsidR="006314FA" w:rsidRPr="00990C87" w:rsidRDefault="006314FA">
                      <w:pPr>
                        <w:spacing w:before="240"/>
                        <w:jc w:val="center"/>
                        <w:rPr>
                          <w:color w:val="FFFFFF" w:themeColor="background1"/>
                        </w:rPr>
                      </w:pPr>
                      <w:r w:rsidRPr="00990C87">
                        <w:rPr>
                          <w:color w:val="FFFFFF" w:themeColor="background1"/>
                        </w:rPr>
                        <w:t>Aus ja läbipaistev aruandmine on H&amp;V initsiatiivi süda.</w:t>
                      </w:r>
                    </w:p>
                    <w:p w:rsidR="006314FA" w:rsidRPr="00990C87" w:rsidRDefault="006314FA">
                      <w:pPr>
                        <w:spacing w:before="240"/>
                        <w:jc w:val="center"/>
                        <w:rPr>
                          <w:color w:val="FFFFFF" w:themeColor="background1"/>
                        </w:rPr>
                      </w:pPr>
                      <w:r w:rsidRPr="00990C87">
                        <w:rPr>
                          <w:color w:val="FFFFFF" w:themeColor="background1"/>
                        </w:rPr>
                        <w:t>Tulemuslikkuse põhinäitajad on üle võetud ICCA ja CEFIC ülemaailmselt kokkulepitud indikaatoritest ning käesolev juhend põhineb nimetatud organisatsioonide samalaadsetel juhenddokumentidel.</w:t>
                      </w:r>
                    </w:p>
                    <w:p w:rsidR="006314FA" w:rsidRPr="00990C87" w:rsidRDefault="006314FA">
                      <w:pPr>
                        <w:spacing w:before="240"/>
                        <w:jc w:val="center"/>
                        <w:rPr>
                          <w:color w:val="FFFFFF" w:themeColor="background1"/>
                        </w:rPr>
                      </w:pPr>
                    </w:p>
                    <w:p w:rsidR="006314FA" w:rsidRPr="00990C87" w:rsidRDefault="006314FA" w:rsidP="00766711">
                      <w:pPr>
                        <w:shd w:val="clear" w:color="auto" w:fill="9AAC24" w:themeFill="accent2" w:themeFillShade="BF"/>
                        <w:spacing w:before="240"/>
                        <w:jc w:val="center"/>
                        <w:rPr>
                          <w:b/>
                          <w:color w:val="FFFFFF" w:themeColor="background1"/>
                          <w:sz w:val="32"/>
                          <w:szCs w:val="32"/>
                        </w:rPr>
                      </w:pPr>
                      <w:r>
                        <w:rPr>
                          <w:b/>
                          <w:color w:val="FFFFFF" w:themeColor="background1"/>
                          <w:sz w:val="32"/>
                          <w:szCs w:val="32"/>
                        </w:rPr>
                        <w:t>2013</w:t>
                      </w:r>
                    </w:p>
                    <w:p w:rsidR="006314FA" w:rsidRPr="0061221B" w:rsidRDefault="006314FA">
                      <w:pPr>
                        <w:spacing w:before="240"/>
                        <w:jc w:val="center"/>
                        <w:rPr>
                          <w:color w:val="FFFFFF"/>
                        </w:rPr>
                      </w:pPr>
                      <w:r>
                        <w:t>22oo</w:t>
                      </w:r>
                    </w:p>
                  </w:txbxContent>
                </v:textbox>
                <w10:wrap anchorx="page" anchory="pag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3429635</wp:posOffset>
                </wp:positionH>
                <wp:positionV relativeFrom="page">
                  <wp:posOffset>260985</wp:posOffset>
                </wp:positionV>
                <wp:extent cx="3082290" cy="7018020"/>
                <wp:effectExtent l="10160" t="13335" r="16510" b="952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290" cy="7018020"/>
                        </a:xfrm>
                        <a:prstGeom prst="rect">
                          <a:avLst/>
                        </a:prstGeom>
                        <a:solidFill>
                          <a:srgbClr val="FFFFFF"/>
                        </a:solidFill>
                        <a:ln w="15875" algn="ctr">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270.05pt;margin-top:20.55pt;width:242.7pt;height:552.6pt;z-index:25165516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" strokecolor="#948a54" strokeweight="1.25pt">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3536315</wp:posOffset>
                </wp:positionH>
                <wp:positionV relativeFrom="page">
                  <wp:posOffset>6940550</wp:posOffset>
                </wp:positionV>
                <wp:extent cx="2873375" cy="118745"/>
                <wp:effectExtent l="0" t="0" r="635"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118745"/>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278.45pt;margin-top:546.5pt;width:226.25pt;height:9.35pt;z-index:25165824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" fillcolor="#c4d73f [3205]" stroked="f">
                <w10:wrap anchorx="page" anchory="page"/>
              </v:rect>
            </w:pict>
          </mc:Fallback>
        </mc:AlternateContent>
      </w:r>
    </w:p>
    <w:p w:rsidR="00690FBB" w:rsidRPr="00690FBB" w:rsidRDefault="00D27A41" w:rsidP="00690FBB">
      <w:pPr>
        <w:rPr>
          <w:b/>
          <w:bCs/>
          <w:caps/>
          <w:color w:val="FFFFFF" w:themeColor="background1"/>
          <w:spacing w:val="15"/>
          <w:sz w:val="22"/>
          <w:szCs w:val="22"/>
        </w:rPr>
      </w:pPr>
      <w:r>
        <w:rPr>
          <w:noProof/>
        </w:rPr>
        <mc:AlternateContent>
          <mc:Choice Requires="wps">
            <w:drawing>
              <wp:anchor distT="0" distB="0" distL="114300" distR="114300" simplePos="0" relativeHeight="251657216" behindDoc="0" locked="0" layoutInCell="1" allowOverlap="1" wp14:anchorId="1F28E3EB" wp14:editId="7EBC7433">
                <wp:simplePos x="0" y="0"/>
                <wp:positionH relativeFrom="page">
                  <wp:posOffset>3538855</wp:posOffset>
                </wp:positionH>
                <wp:positionV relativeFrom="page">
                  <wp:posOffset>3444240</wp:posOffset>
                </wp:positionV>
                <wp:extent cx="2795270" cy="2950210"/>
                <wp:effectExtent l="0" t="0" r="0" b="2540"/>
                <wp:wrapSquare wrapText="bothSides"/>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95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314FA" w:rsidRPr="00D27A41" w:rsidRDefault="006314FA" w:rsidP="00D27A41">
                            <w:pPr>
                              <w:jc w:val="center"/>
                              <w:rPr>
                                <w:rFonts w:asciiTheme="majorHAnsi" w:hAnsiTheme="majorHAnsi"/>
                                <w:b/>
                                <w:noProof/>
                                <w:color w:val="4F81BD"/>
                                <w:sz w:val="56"/>
                                <w:szCs w:val="56"/>
                              </w:rPr>
                            </w:pPr>
                            <w:r w:rsidRPr="00D27A41">
                              <w:rPr>
                                <w:rFonts w:asciiTheme="majorHAnsi" w:hAnsiTheme="majorHAnsi"/>
                                <w:b/>
                                <w:noProof/>
                                <w:sz w:val="56"/>
                                <w:szCs w:val="56"/>
                              </w:rPr>
                              <w:t>Hoolime ja Vastutame aruandluse suunised</w:t>
                            </w:r>
                          </w:p>
                          <w:p w:rsidR="006314FA" w:rsidRPr="00D27A41" w:rsidRDefault="006314FA" w:rsidP="00D27A41">
                            <w:pPr>
                              <w:jc w:val="center"/>
                              <w:rPr>
                                <w:rFonts w:asciiTheme="majorHAnsi" w:hAnsiTheme="majorHAnsi"/>
                                <w:noProof/>
                                <w:color w:val="1F497D"/>
                                <w:sz w:val="32"/>
                                <w:szCs w:val="40"/>
                              </w:rPr>
                            </w:pPr>
                            <w:r w:rsidRPr="00D27A41">
                              <w:rPr>
                                <w:rFonts w:asciiTheme="majorHAnsi" w:hAnsiTheme="majorHAnsi"/>
                                <w:noProof/>
                                <w:sz w:val="32"/>
                                <w:szCs w:val="40"/>
                              </w:rPr>
                              <w:t>Eesti Keemiatööstuse Liidu H&amp;V programmi juhenddokument</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margin-left:278.65pt;margin-top:271.2pt;width:220.1pt;height:232.3pt;z-index:25165721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A4ug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" filled="f" stroked="f" strokeweight=".5pt">
                <v:textbox style="mso-fit-shape-to-text:t">
                  <w:txbxContent>
                    <w:p w:rsidR="006314FA" w:rsidRPr="00D27A41" w:rsidRDefault="006314FA" w:rsidP="00D27A41">
                      <w:pPr>
                        <w:jc w:val="center"/>
                        <w:rPr>
                          <w:rFonts w:asciiTheme="majorHAnsi" w:hAnsiTheme="majorHAnsi"/>
                          <w:b/>
                          <w:noProof/>
                          <w:color w:val="4F81BD"/>
                          <w:sz w:val="56"/>
                          <w:szCs w:val="56"/>
                        </w:rPr>
                      </w:pPr>
                      <w:r w:rsidRPr="00D27A41">
                        <w:rPr>
                          <w:rFonts w:asciiTheme="majorHAnsi" w:hAnsiTheme="majorHAnsi"/>
                          <w:b/>
                          <w:noProof/>
                          <w:sz w:val="56"/>
                          <w:szCs w:val="56"/>
                        </w:rPr>
                        <w:t>Hoolime ja Vastutame aruandluse suunised</w:t>
                      </w:r>
                    </w:p>
                    <w:p w:rsidR="006314FA" w:rsidRPr="00D27A41" w:rsidRDefault="006314FA" w:rsidP="00D27A41">
                      <w:pPr>
                        <w:jc w:val="center"/>
                        <w:rPr>
                          <w:rFonts w:asciiTheme="majorHAnsi" w:hAnsiTheme="majorHAnsi"/>
                          <w:noProof/>
                          <w:color w:val="1F497D"/>
                          <w:sz w:val="32"/>
                          <w:szCs w:val="40"/>
                        </w:rPr>
                      </w:pPr>
                      <w:r w:rsidRPr="00D27A41">
                        <w:rPr>
                          <w:rFonts w:asciiTheme="majorHAnsi" w:hAnsiTheme="majorHAnsi"/>
                          <w:noProof/>
                          <w:sz w:val="32"/>
                          <w:szCs w:val="40"/>
                        </w:rPr>
                        <w:t>Eesti Keemiatööstuse Liidu H&amp;V programmi juhenddokument</w:t>
                      </w:r>
                    </w:p>
                  </w:txbxContent>
                </v:textbox>
                <w10:wrap type="square" anchorx="page" anchory="page"/>
              </v:shape>
            </w:pict>
          </mc:Fallback>
        </mc:AlternateContent>
      </w:r>
      <w:r w:rsidR="00690FBB">
        <w:br w:type="page"/>
      </w:r>
    </w:p>
    <w:sdt>
      <w:sdtPr>
        <w:rPr>
          <w:b w:val="0"/>
          <w:bCs w:val="0"/>
          <w:caps w:val="0"/>
          <w:color w:val="auto"/>
          <w:spacing w:val="0"/>
          <w:sz w:val="20"/>
          <w:szCs w:val="20"/>
          <w:lang w:bidi="ar-SA"/>
        </w:rPr>
        <w:id w:val="1718925397"/>
        <w:docPartObj>
          <w:docPartGallery w:val="Table of Contents"/>
          <w:docPartUnique/>
        </w:docPartObj>
      </w:sdtPr>
      <w:sdtContent>
        <w:p w:rsidR="00D6024D" w:rsidRDefault="00D6024D">
          <w:pPr>
            <w:pStyle w:val="Sisukorrapealkiri"/>
          </w:pPr>
          <w:r>
            <w:t>Sisukord</w:t>
          </w:r>
        </w:p>
        <w:p w:rsidR="003A7C5C" w:rsidRDefault="00D6024D">
          <w:pPr>
            <w:pStyle w:val="SK1"/>
            <w:tabs>
              <w:tab w:val="right" w:leader="dot" w:pos="9394"/>
            </w:tabs>
            <w:rPr>
              <w:noProof/>
              <w:sz w:val="22"/>
              <w:szCs w:val="22"/>
            </w:rPr>
          </w:pPr>
          <w:r>
            <w:fldChar w:fldCharType="begin"/>
          </w:r>
          <w:r>
            <w:instrText xml:space="preserve"> TOC \o "1-3" \h \z \u </w:instrText>
          </w:r>
          <w:r>
            <w:fldChar w:fldCharType="separate"/>
          </w:r>
          <w:hyperlink w:anchor="_Toc358822423" w:history="1">
            <w:r w:rsidR="003A7C5C" w:rsidRPr="005B7F40">
              <w:rPr>
                <w:rStyle w:val="Hperlink"/>
                <w:noProof/>
              </w:rPr>
              <w:t>EKTLi Hoolime ja Vastutame programmi 2013.a. aruandluse  suunised</w:t>
            </w:r>
            <w:r w:rsidR="003A7C5C">
              <w:rPr>
                <w:noProof/>
                <w:webHidden/>
              </w:rPr>
              <w:tab/>
            </w:r>
            <w:r w:rsidR="003A7C5C">
              <w:rPr>
                <w:noProof/>
                <w:webHidden/>
              </w:rPr>
              <w:fldChar w:fldCharType="begin"/>
            </w:r>
            <w:r w:rsidR="003A7C5C">
              <w:rPr>
                <w:noProof/>
                <w:webHidden/>
              </w:rPr>
              <w:instrText xml:space="preserve"> PAGEREF _Toc358822423 \h </w:instrText>
            </w:r>
            <w:r w:rsidR="003A7C5C">
              <w:rPr>
                <w:noProof/>
                <w:webHidden/>
              </w:rPr>
            </w:r>
            <w:r w:rsidR="003A7C5C">
              <w:rPr>
                <w:noProof/>
                <w:webHidden/>
              </w:rPr>
              <w:fldChar w:fldCharType="separate"/>
            </w:r>
            <w:r w:rsidR="003A7C5C">
              <w:rPr>
                <w:noProof/>
                <w:webHidden/>
              </w:rPr>
              <w:t>2</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24" w:history="1">
            <w:r w:rsidR="003A7C5C" w:rsidRPr="005B7F40">
              <w:rPr>
                <w:rStyle w:val="Hperlink"/>
                <w:noProof/>
              </w:rPr>
              <w:t>Sissejuhatus</w:t>
            </w:r>
            <w:r w:rsidR="003A7C5C">
              <w:rPr>
                <w:noProof/>
                <w:webHidden/>
              </w:rPr>
              <w:tab/>
            </w:r>
            <w:r w:rsidR="003A7C5C">
              <w:rPr>
                <w:noProof/>
                <w:webHidden/>
              </w:rPr>
              <w:fldChar w:fldCharType="begin"/>
            </w:r>
            <w:r w:rsidR="003A7C5C">
              <w:rPr>
                <w:noProof/>
                <w:webHidden/>
              </w:rPr>
              <w:instrText xml:space="preserve"> PAGEREF _Toc358822424 \h </w:instrText>
            </w:r>
            <w:r w:rsidR="003A7C5C">
              <w:rPr>
                <w:noProof/>
                <w:webHidden/>
              </w:rPr>
            </w:r>
            <w:r w:rsidR="003A7C5C">
              <w:rPr>
                <w:noProof/>
                <w:webHidden/>
              </w:rPr>
              <w:fldChar w:fldCharType="separate"/>
            </w:r>
            <w:r w:rsidR="003A7C5C">
              <w:rPr>
                <w:noProof/>
                <w:webHidden/>
              </w:rPr>
              <w:t>2</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25" w:history="1">
            <w:r w:rsidR="003A7C5C" w:rsidRPr="005B7F40">
              <w:rPr>
                <w:rStyle w:val="Hperlink"/>
                <w:noProof/>
              </w:rPr>
              <w:t>Kaasajastamine</w:t>
            </w:r>
            <w:r w:rsidR="003A7C5C">
              <w:rPr>
                <w:noProof/>
                <w:webHidden/>
              </w:rPr>
              <w:tab/>
            </w:r>
            <w:r w:rsidR="003A7C5C">
              <w:rPr>
                <w:noProof/>
                <w:webHidden/>
              </w:rPr>
              <w:fldChar w:fldCharType="begin"/>
            </w:r>
            <w:r w:rsidR="003A7C5C">
              <w:rPr>
                <w:noProof/>
                <w:webHidden/>
              </w:rPr>
              <w:instrText xml:space="preserve"> PAGEREF _Toc358822425 \h </w:instrText>
            </w:r>
            <w:r w:rsidR="003A7C5C">
              <w:rPr>
                <w:noProof/>
                <w:webHidden/>
              </w:rPr>
            </w:r>
            <w:r w:rsidR="003A7C5C">
              <w:rPr>
                <w:noProof/>
                <w:webHidden/>
              </w:rPr>
              <w:fldChar w:fldCharType="separate"/>
            </w:r>
            <w:r w:rsidR="003A7C5C">
              <w:rPr>
                <w:noProof/>
                <w:webHidden/>
              </w:rPr>
              <w:t>3</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26" w:history="1">
            <w:r w:rsidR="003A7C5C" w:rsidRPr="005B7F40">
              <w:rPr>
                <w:rStyle w:val="Hperlink"/>
                <w:noProof/>
              </w:rPr>
              <w:t>Tulemuslikkuse põhinäitajate loetelu</w:t>
            </w:r>
            <w:r w:rsidR="003A7C5C">
              <w:rPr>
                <w:noProof/>
                <w:webHidden/>
              </w:rPr>
              <w:tab/>
            </w:r>
            <w:r w:rsidR="003A7C5C">
              <w:rPr>
                <w:noProof/>
                <w:webHidden/>
              </w:rPr>
              <w:fldChar w:fldCharType="begin"/>
            </w:r>
            <w:r w:rsidR="003A7C5C">
              <w:rPr>
                <w:noProof/>
                <w:webHidden/>
              </w:rPr>
              <w:instrText xml:space="preserve"> PAGEREF _Toc358822426 \h </w:instrText>
            </w:r>
            <w:r w:rsidR="003A7C5C">
              <w:rPr>
                <w:noProof/>
                <w:webHidden/>
              </w:rPr>
            </w:r>
            <w:r w:rsidR="003A7C5C">
              <w:rPr>
                <w:noProof/>
                <w:webHidden/>
              </w:rPr>
              <w:fldChar w:fldCharType="separate"/>
            </w:r>
            <w:r w:rsidR="003A7C5C">
              <w:rPr>
                <w:noProof/>
                <w:webHidden/>
              </w:rPr>
              <w:t>3</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27" w:history="1">
            <w:r w:rsidR="003A7C5C" w:rsidRPr="005B7F40">
              <w:rPr>
                <w:rStyle w:val="Hperlink"/>
                <w:noProof/>
              </w:rPr>
              <w:t>Aruandluse protsess</w:t>
            </w:r>
            <w:r w:rsidR="003A7C5C">
              <w:rPr>
                <w:noProof/>
                <w:webHidden/>
              </w:rPr>
              <w:tab/>
            </w:r>
            <w:r w:rsidR="003A7C5C">
              <w:rPr>
                <w:noProof/>
                <w:webHidden/>
              </w:rPr>
              <w:fldChar w:fldCharType="begin"/>
            </w:r>
            <w:r w:rsidR="003A7C5C">
              <w:rPr>
                <w:noProof/>
                <w:webHidden/>
              </w:rPr>
              <w:instrText xml:space="preserve"> PAGEREF _Toc358822427 \h </w:instrText>
            </w:r>
            <w:r w:rsidR="003A7C5C">
              <w:rPr>
                <w:noProof/>
                <w:webHidden/>
              </w:rPr>
            </w:r>
            <w:r w:rsidR="003A7C5C">
              <w:rPr>
                <w:noProof/>
                <w:webHidden/>
              </w:rPr>
              <w:fldChar w:fldCharType="separate"/>
            </w:r>
            <w:r w:rsidR="003A7C5C">
              <w:rPr>
                <w:noProof/>
                <w:webHidden/>
              </w:rPr>
              <w:t>4</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28" w:history="1">
            <w:r w:rsidR="003A7C5C" w:rsidRPr="005B7F40">
              <w:rPr>
                <w:rStyle w:val="Hperlink"/>
                <w:noProof/>
              </w:rPr>
              <w:t>Tulevik</w:t>
            </w:r>
            <w:r w:rsidR="003A7C5C">
              <w:rPr>
                <w:noProof/>
                <w:webHidden/>
              </w:rPr>
              <w:tab/>
            </w:r>
            <w:r w:rsidR="003A7C5C">
              <w:rPr>
                <w:noProof/>
                <w:webHidden/>
              </w:rPr>
              <w:fldChar w:fldCharType="begin"/>
            </w:r>
            <w:r w:rsidR="003A7C5C">
              <w:rPr>
                <w:noProof/>
                <w:webHidden/>
              </w:rPr>
              <w:instrText xml:space="preserve"> PAGEREF _Toc358822428 \h </w:instrText>
            </w:r>
            <w:r w:rsidR="003A7C5C">
              <w:rPr>
                <w:noProof/>
                <w:webHidden/>
              </w:rPr>
            </w:r>
            <w:r w:rsidR="003A7C5C">
              <w:rPr>
                <w:noProof/>
                <w:webHidden/>
              </w:rPr>
              <w:fldChar w:fldCharType="separate"/>
            </w:r>
            <w:r w:rsidR="003A7C5C">
              <w:rPr>
                <w:noProof/>
                <w:webHidden/>
              </w:rPr>
              <w:t>5</w:t>
            </w:r>
            <w:r w:rsidR="003A7C5C">
              <w:rPr>
                <w:noProof/>
                <w:webHidden/>
              </w:rPr>
              <w:fldChar w:fldCharType="end"/>
            </w:r>
          </w:hyperlink>
        </w:p>
        <w:p w:rsidR="003A7C5C" w:rsidRDefault="006314FA">
          <w:pPr>
            <w:pStyle w:val="SK1"/>
            <w:tabs>
              <w:tab w:val="right" w:leader="dot" w:pos="9394"/>
            </w:tabs>
            <w:rPr>
              <w:noProof/>
              <w:sz w:val="22"/>
              <w:szCs w:val="22"/>
            </w:rPr>
          </w:pPr>
          <w:hyperlink w:anchor="_Toc358822429" w:history="1">
            <w:r w:rsidR="003A7C5C" w:rsidRPr="005B7F40">
              <w:rPr>
                <w:rStyle w:val="Hperlink"/>
                <w:noProof/>
              </w:rPr>
              <w:t>Põhinäitajate definitsioonid</w:t>
            </w:r>
            <w:r w:rsidR="003A7C5C">
              <w:rPr>
                <w:noProof/>
                <w:webHidden/>
              </w:rPr>
              <w:tab/>
            </w:r>
            <w:r w:rsidR="003A7C5C">
              <w:rPr>
                <w:noProof/>
                <w:webHidden/>
              </w:rPr>
              <w:fldChar w:fldCharType="begin"/>
            </w:r>
            <w:r w:rsidR="003A7C5C">
              <w:rPr>
                <w:noProof/>
                <w:webHidden/>
              </w:rPr>
              <w:instrText xml:space="preserve"> PAGEREF _Toc358822429 \h </w:instrText>
            </w:r>
            <w:r w:rsidR="003A7C5C">
              <w:rPr>
                <w:noProof/>
                <w:webHidden/>
              </w:rPr>
            </w:r>
            <w:r w:rsidR="003A7C5C">
              <w:rPr>
                <w:noProof/>
                <w:webHidden/>
              </w:rPr>
              <w:fldChar w:fldCharType="separate"/>
            </w:r>
            <w:r w:rsidR="003A7C5C">
              <w:rPr>
                <w:noProof/>
                <w:webHidden/>
              </w:rPr>
              <w:t>6</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30" w:history="1">
            <w:r w:rsidR="003A7C5C" w:rsidRPr="005B7F40">
              <w:rPr>
                <w:rStyle w:val="Hperlink"/>
                <w:noProof/>
              </w:rPr>
              <w:t>Üldised selgitused</w:t>
            </w:r>
            <w:r w:rsidR="003A7C5C">
              <w:rPr>
                <w:noProof/>
                <w:webHidden/>
              </w:rPr>
              <w:tab/>
            </w:r>
            <w:r w:rsidR="003A7C5C">
              <w:rPr>
                <w:noProof/>
                <w:webHidden/>
              </w:rPr>
              <w:fldChar w:fldCharType="begin"/>
            </w:r>
            <w:r w:rsidR="003A7C5C">
              <w:rPr>
                <w:noProof/>
                <w:webHidden/>
              </w:rPr>
              <w:instrText xml:space="preserve"> PAGEREF _Toc358822430 \h </w:instrText>
            </w:r>
            <w:r w:rsidR="003A7C5C">
              <w:rPr>
                <w:noProof/>
                <w:webHidden/>
              </w:rPr>
            </w:r>
            <w:r w:rsidR="003A7C5C">
              <w:rPr>
                <w:noProof/>
                <w:webHidden/>
              </w:rPr>
              <w:fldChar w:fldCharType="separate"/>
            </w:r>
            <w:r w:rsidR="003A7C5C">
              <w:rPr>
                <w:noProof/>
                <w:webHidden/>
              </w:rPr>
              <w:t>6</w:t>
            </w:r>
            <w:r w:rsidR="003A7C5C">
              <w:rPr>
                <w:noProof/>
                <w:webHidden/>
              </w:rPr>
              <w:fldChar w:fldCharType="end"/>
            </w:r>
          </w:hyperlink>
        </w:p>
        <w:p w:rsidR="003A7C5C" w:rsidRDefault="006314FA">
          <w:pPr>
            <w:pStyle w:val="SK2"/>
            <w:tabs>
              <w:tab w:val="left" w:pos="660"/>
              <w:tab w:val="right" w:leader="dot" w:pos="9394"/>
            </w:tabs>
            <w:rPr>
              <w:noProof/>
              <w:sz w:val="22"/>
              <w:szCs w:val="22"/>
            </w:rPr>
          </w:pPr>
          <w:hyperlink w:anchor="_Toc358822431" w:history="1">
            <w:r w:rsidR="003A7C5C" w:rsidRPr="005B7F40">
              <w:rPr>
                <w:rStyle w:val="Hperlink"/>
                <w:noProof/>
              </w:rPr>
              <w:t>1.</w:t>
            </w:r>
            <w:r w:rsidR="003A7C5C">
              <w:rPr>
                <w:noProof/>
                <w:sz w:val="22"/>
                <w:szCs w:val="22"/>
              </w:rPr>
              <w:tab/>
            </w:r>
            <w:r w:rsidR="003A7C5C" w:rsidRPr="005B7F40">
              <w:rPr>
                <w:rStyle w:val="Hperlink"/>
                <w:noProof/>
              </w:rPr>
              <w:t>Referentsandmed</w:t>
            </w:r>
            <w:r w:rsidR="003A7C5C">
              <w:rPr>
                <w:noProof/>
                <w:webHidden/>
              </w:rPr>
              <w:tab/>
            </w:r>
            <w:r w:rsidR="003A7C5C">
              <w:rPr>
                <w:noProof/>
                <w:webHidden/>
              </w:rPr>
              <w:fldChar w:fldCharType="begin"/>
            </w:r>
            <w:r w:rsidR="003A7C5C">
              <w:rPr>
                <w:noProof/>
                <w:webHidden/>
              </w:rPr>
              <w:instrText xml:space="preserve"> PAGEREF _Toc358822431 \h </w:instrText>
            </w:r>
            <w:r w:rsidR="003A7C5C">
              <w:rPr>
                <w:noProof/>
                <w:webHidden/>
              </w:rPr>
            </w:r>
            <w:r w:rsidR="003A7C5C">
              <w:rPr>
                <w:noProof/>
                <w:webHidden/>
              </w:rPr>
              <w:fldChar w:fldCharType="separate"/>
            </w:r>
            <w:r w:rsidR="003A7C5C">
              <w:rPr>
                <w:noProof/>
                <w:webHidden/>
              </w:rPr>
              <w:t>6</w:t>
            </w:r>
            <w:r w:rsidR="003A7C5C">
              <w:rPr>
                <w:noProof/>
                <w:webHidden/>
              </w:rPr>
              <w:fldChar w:fldCharType="end"/>
            </w:r>
          </w:hyperlink>
        </w:p>
        <w:p w:rsidR="003A7C5C" w:rsidRDefault="006314FA">
          <w:pPr>
            <w:pStyle w:val="SK2"/>
            <w:tabs>
              <w:tab w:val="left" w:pos="660"/>
              <w:tab w:val="right" w:leader="dot" w:pos="9394"/>
            </w:tabs>
            <w:rPr>
              <w:noProof/>
              <w:sz w:val="22"/>
              <w:szCs w:val="22"/>
            </w:rPr>
          </w:pPr>
          <w:hyperlink w:anchor="_Toc358822432" w:history="1">
            <w:r w:rsidR="003A7C5C" w:rsidRPr="005B7F40">
              <w:rPr>
                <w:rStyle w:val="Hperlink"/>
                <w:noProof/>
              </w:rPr>
              <w:t>2.</w:t>
            </w:r>
            <w:r w:rsidR="003A7C5C">
              <w:rPr>
                <w:noProof/>
                <w:sz w:val="22"/>
                <w:szCs w:val="22"/>
              </w:rPr>
              <w:tab/>
            </w:r>
            <w:r w:rsidR="003A7C5C" w:rsidRPr="005B7F40">
              <w:rPr>
                <w:rStyle w:val="Hperlink"/>
                <w:noProof/>
              </w:rPr>
              <w:t>Tervis ja ohutus</w:t>
            </w:r>
            <w:r w:rsidR="003A7C5C">
              <w:rPr>
                <w:noProof/>
                <w:webHidden/>
              </w:rPr>
              <w:tab/>
            </w:r>
            <w:r w:rsidR="003A7C5C">
              <w:rPr>
                <w:noProof/>
                <w:webHidden/>
              </w:rPr>
              <w:fldChar w:fldCharType="begin"/>
            </w:r>
            <w:r w:rsidR="003A7C5C">
              <w:rPr>
                <w:noProof/>
                <w:webHidden/>
              </w:rPr>
              <w:instrText xml:space="preserve"> PAGEREF _Toc358822432 \h </w:instrText>
            </w:r>
            <w:r w:rsidR="003A7C5C">
              <w:rPr>
                <w:noProof/>
                <w:webHidden/>
              </w:rPr>
            </w:r>
            <w:r w:rsidR="003A7C5C">
              <w:rPr>
                <w:noProof/>
                <w:webHidden/>
              </w:rPr>
              <w:fldChar w:fldCharType="separate"/>
            </w:r>
            <w:r w:rsidR="003A7C5C">
              <w:rPr>
                <w:noProof/>
                <w:webHidden/>
              </w:rPr>
              <w:t>7</w:t>
            </w:r>
            <w:r w:rsidR="003A7C5C">
              <w:rPr>
                <w:noProof/>
                <w:webHidden/>
              </w:rPr>
              <w:fldChar w:fldCharType="end"/>
            </w:r>
          </w:hyperlink>
        </w:p>
        <w:p w:rsidR="003A7C5C" w:rsidRDefault="006314FA">
          <w:pPr>
            <w:pStyle w:val="SK2"/>
            <w:tabs>
              <w:tab w:val="left" w:pos="660"/>
              <w:tab w:val="right" w:leader="dot" w:pos="9394"/>
            </w:tabs>
            <w:rPr>
              <w:noProof/>
              <w:sz w:val="22"/>
              <w:szCs w:val="22"/>
            </w:rPr>
          </w:pPr>
          <w:hyperlink w:anchor="_Toc358822433" w:history="1">
            <w:r w:rsidR="003A7C5C" w:rsidRPr="005B7F40">
              <w:rPr>
                <w:rStyle w:val="Hperlink"/>
                <w:noProof/>
              </w:rPr>
              <w:t>3.</w:t>
            </w:r>
            <w:r w:rsidR="003A7C5C">
              <w:rPr>
                <w:noProof/>
                <w:sz w:val="22"/>
                <w:szCs w:val="22"/>
              </w:rPr>
              <w:tab/>
            </w:r>
            <w:r w:rsidR="003A7C5C" w:rsidRPr="005B7F40">
              <w:rPr>
                <w:rStyle w:val="Hperlink"/>
                <w:noProof/>
              </w:rPr>
              <w:t>Keskkonnakaitse</w:t>
            </w:r>
            <w:r w:rsidR="003A7C5C">
              <w:rPr>
                <w:noProof/>
                <w:webHidden/>
              </w:rPr>
              <w:tab/>
            </w:r>
            <w:r w:rsidR="003A7C5C">
              <w:rPr>
                <w:noProof/>
                <w:webHidden/>
              </w:rPr>
              <w:fldChar w:fldCharType="begin"/>
            </w:r>
            <w:r w:rsidR="003A7C5C">
              <w:rPr>
                <w:noProof/>
                <w:webHidden/>
              </w:rPr>
              <w:instrText xml:space="preserve"> PAGEREF _Toc358822433 \h </w:instrText>
            </w:r>
            <w:r w:rsidR="003A7C5C">
              <w:rPr>
                <w:noProof/>
                <w:webHidden/>
              </w:rPr>
            </w:r>
            <w:r w:rsidR="003A7C5C">
              <w:rPr>
                <w:noProof/>
                <w:webHidden/>
              </w:rPr>
              <w:fldChar w:fldCharType="separate"/>
            </w:r>
            <w:r w:rsidR="003A7C5C">
              <w:rPr>
                <w:noProof/>
                <w:webHidden/>
              </w:rPr>
              <w:t>8</w:t>
            </w:r>
            <w:r w:rsidR="003A7C5C">
              <w:rPr>
                <w:noProof/>
                <w:webHidden/>
              </w:rPr>
              <w:fldChar w:fldCharType="end"/>
            </w:r>
          </w:hyperlink>
        </w:p>
        <w:p w:rsidR="003A7C5C" w:rsidRDefault="006314FA">
          <w:pPr>
            <w:pStyle w:val="SK2"/>
            <w:tabs>
              <w:tab w:val="left" w:pos="660"/>
              <w:tab w:val="right" w:leader="dot" w:pos="9394"/>
            </w:tabs>
            <w:rPr>
              <w:noProof/>
              <w:sz w:val="22"/>
              <w:szCs w:val="22"/>
            </w:rPr>
          </w:pPr>
          <w:hyperlink w:anchor="_Toc358822434" w:history="1">
            <w:r w:rsidR="003A7C5C" w:rsidRPr="005B7F40">
              <w:rPr>
                <w:rStyle w:val="Hperlink"/>
                <w:noProof/>
              </w:rPr>
              <w:t>4.</w:t>
            </w:r>
            <w:r w:rsidR="003A7C5C">
              <w:rPr>
                <w:noProof/>
                <w:sz w:val="22"/>
                <w:szCs w:val="22"/>
              </w:rPr>
              <w:tab/>
            </w:r>
            <w:r w:rsidR="003A7C5C" w:rsidRPr="005B7F40">
              <w:rPr>
                <w:rStyle w:val="Hperlink"/>
                <w:noProof/>
              </w:rPr>
              <w:t>Loodusvarade kasutamine</w:t>
            </w:r>
            <w:r w:rsidR="003A7C5C">
              <w:rPr>
                <w:noProof/>
                <w:webHidden/>
              </w:rPr>
              <w:tab/>
            </w:r>
            <w:r w:rsidR="003A7C5C">
              <w:rPr>
                <w:noProof/>
                <w:webHidden/>
              </w:rPr>
              <w:fldChar w:fldCharType="begin"/>
            </w:r>
            <w:r w:rsidR="003A7C5C">
              <w:rPr>
                <w:noProof/>
                <w:webHidden/>
              </w:rPr>
              <w:instrText xml:space="preserve"> PAGEREF _Toc358822434 \h </w:instrText>
            </w:r>
            <w:r w:rsidR="003A7C5C">
              <w:rPr>
                <w:noProof/>
                <w:webHidden/>
              </w:rPr>
            </w:r>
            <w:r w:rsidR="003A7C5C">
              <w:rPr>
                <w:noProof/>
                <w:webHidden/>
              </w:rPr>
              <w:fldChar w:fldCharType="separate"/>
            </w:r>
            <w:r w:rsidR="003A7C5C">
              <w:rPr>
                <w:noProof/>
                <w:webHidden/>
              </w:rPr>
              <w:t>12</w:t>
            </w:r>
            <w:r w:rsidR="003A7C5C">
              <w:rPr>
                <w:noProof/>
                <w:webHidden/>
              </w:rPr>
              <w:fldChar w:fldCharType="end"/>
            </w:r>
          </w:hyperlink>
        </w:p>
        <w:p w:rsidR="003A7C5C" w:rsidRDefault="006314FA">
          <w:pPr>
            <w:pStyle w:val="SK2"/>
            <w:tabs>
              <w:tab w:val="left" w:pos="660"/>
              <w:tab w:val="right" w:leader="dot" w:pos="9394"/>
            </w:tabs>
            <w:rPr>
              <w:noProof/>
              <w:sz w:val="22"/>
              <w:szCs w:val="22"/>
            </w:rPr>
          </w:pPr>
          <w:hyperlink w:anchor="_Toc358822435" w:history="1">
            <w:r w:rsidR="003A7C5C" w:rsidRPr="005B7F40">
              <w:rPr>
                <w:rStyle w:val="Hperlink"/>
                <w:noProof/>
              </w:rPr>
              <w:t>5.</w:t>
            </w:r>
            <w:r w:rsidR="003A7C5C">
              <w:rPr>
                <w:noProof/>
                <w:sz w:val="22"/>
                <w:szCs w:val="22"/>
              </w:rPr>
              <w:tab/>
            </w:r>
            <w:r w:rsidR="003A7C5C" w:rsidRPr="005B7F40">
              <w:rPr>
                <w:rStyle w:val="Hperlink"/>
                <w:noProof/>
              </w:rPr>
              <w:t>Transport</w:t>
            </w:r>
            <w:r w:rsidR="003A7C5C">
              <w:rPr>
                <w:noProof/>
                <w:webHidden/>
              </w:rPr>
              <w:tab/>
            </w:r>
            <w:r w:rsidR="003A7C5C">
              <w:rPr>
                <w:noProof/>
                <w:webHidden/>
              </w:rPr>
              <w:fldChar w:fldCharType="begin"/>
            </w:r>
            <w:r w:rsidR="003A7C5C">
              <w:rPr>
                <w:noProof/>
                <w:webHidden/>
              </w:rPr>
              <w:instrText xml:space="preserve"> PAGEREF _Toc358822435 \h </w:instrText>
            </w:r>
            <w:r w:rsidR="003A7C5C">
              <w:rPr>
                <w:noProof/>
                <w:webHidden/>
              </w:rPr>
            </w:r>
            <w:r w:rsidR="003A7C5C">
              <w:rPr>
                <w:noProof/>
                <w:webHidden/>
              </w:rPr>
              <w:fldChar w:fldCharType="separate"/>
            </w:r>
            <w:r w:rsidR="003A7C5C">
              <w:rPr>
                <w:noProof/>
                <w:webHidden/>
              </w:rPr>
              <w:t>13</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36" w:history="1">
            <w:r w:rsidR="003A7C5C" w:rsidRPr="005B7F40">
              <w:rPr>
                <w:rStyle w:val="Hperlink"/>
                <w:noProof/>
              </w:rPr>
              <w:t>Lisa 1: Kaotatud tööajaga vigastuste esinemissagedus</w:t>
            </w:r>
            <w:r w:rsidR="003A7C5C">
              <w:rPr>
                <w:noProof/>
                <w:webHidden/>
              </w:rPr>
              <w:tab/>
            </w:r>
            <w:r w:rsidR="003A7C5C">
              <w:rPr>
                <w:noProof/>
                <w:webHidden/>
              </w:rPr>
              <w:fldChar w:fldCharType="begin"/>
            </w:r>
            <w:r w:rsidR="003A7C5C">
              <w:rPr>
                <w:noProof/>
                <w:webHidden/>
              </w:rPr>
              <w:instrText xml:space="preserve"> PAGEREF _Toc358822436 \h </w:instrText>
            </w:r>
            <w:r w:rsidR="003A7C5C">
              <w:rPr>
                <w:noProof/>
                <w:webHidden/>
              </w:rPr>
            </w:r>
            <w:r w:rsidR="003A7C5C">
              <w:rPr>
                <w:noProof/>
                <w:webHidden/>
              </w:rPr>
              <w:fldChar w:fldCharType="separate"/>
            </w:r>
            <w:r w:rsidR="003A7C5C">
              <w:rPr>
                <w:noProof/>
                <w:webHidden/>
              </w:rPr>
              <w:t>14</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37" w:history="1">
            <w:r w:rsidR="003A7C5C" w:rsidRPr="005B7F40">
              <w:rPr>
                <w:rStyle w:val="Hperlink"/>
                <w:noProof/>
              </w:rPr>
              <w:t>Lisa 2: Jäätmete mõiste</w:t>
            </w:r>
            <w:r w:rsidR="003A7C5C">
              <w:rPr>
                <w:noProof/>
                <w:webHidden/>
              </w:rPr>
              <w:tab/>
            </w:r>
            <w:r w:rsidR="003A7C5C">
              <w:rPr>
                <w:noProof/>
                <w:webHidden/>
              </w:rPr>
              <w:fldChar w:fldCharType="begin"/>
            </w:r>
            <w:r w:rsidR="003A7C5C">
              <w:rPr>
                <w:noProof/>
                <w:webHidden/>
              </w:rPr>
              <w:instrText xml:space="preserve"> PAGEREF _Toc358822437 \h </w:instrText>
            </w:r>
            <w:r w:rsidR="003A7C5C">
              <w:rPr>
                <w:noProof/>
                <w:webHidden/>
              </w:rPr>
            </w:r>
            <w:r w:rsidR="003A7C5C">
              <w:rPr>
                <w:noProof/>
                <w:webHidden/>
              </w:rPr>
              <w:fldChar w:fldCharType="separate"/>
            </w:r>
            <w:r w:rsidR="003A7C5C">
              <w:rPr>
                <w:noProof/>
                <w:webHidden/>
              </w:rPr>
              <w:t>15</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38" w:history="1">
            <w:r w:rsidR="003A7C5C" w:rsidRPr="005B7F40">
              <w:rPr>
                <w:rStyle w:val="Hperlink"/>
                <w:noProof/>
              </w:rPr>
              <w:t>Lisa 3: "Kõrvaldamise” definitsioon</w:t>
            </w:r>
            <w:r w:rsidR="003A7C5C">
              <w:rPr>
                <w:noProof/>
                <w:webHidden/>
              </w:rPr>
              <w:tab/>
            </w:r>
            <w:r w:rsidR="003A7C5C">
              <w:rPr>
                <w:noProof/>
                <w:webHidden/>
              </w:rPr>
              <w:fldChar w:fldCharType="begin"/>
            </w:r>
            <w:r w:rsidR="003A7C5C">
              <w:rPr>
                <w:noProof/>
                <w:webHidden/>
              </w:rPr>
              <w:instrText xml:space="preserve"> PAGEREF _Toc358822438 \h </w:instrText>
            </w:r>
            <w:r w:rsidR="003A7C5C">
              <w:rPr>
                <w:noProof/>
                <w:webHidden/>
              </w:rPr>
            </w:r>
            <w:r w:rsidR="003A7C5C">
              <w:rPr>
                <w:noProof/>
                <w:webHidden/>
              </w:rPr>
              <w:fldChar w:fldCharType="separate"/>
            </w:r>
            <w:r w:rsidR="003A7C5C">
              <w:rPr>
                <w:noProof/>
                <w:webHidden/>
              </w:rPr>
              <w:t>17</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39" w:history="1">
            <w:r w:rsidR="003A7C5C" w:rsidRPr="005B7F40">
              <w:rPr>
                <w:rStyle w:val="Hperlink"/>
                <w:noProof/>
              </w:rPr>
              <w:t>Lisa 4: Süsinikdioksiidi heide</w:t>
            </w:r>
            <w:r w:rsidR="003A7C5C">
              <w:rPr>
                <w:noProof/>
                <w:webHidden/>
              </w:rPr>
              <w:tab/>
            </w:r>
            <w:r w:rsidR="003A7C5C">
              <w:rPr>
                <w:noProof/>
                <w:webHidden/>
              </w:rPr>
              <w:fldChar w:fldCharType="begin"/>
            </w:r>
            <w:r w:rsidR="003A7C5C">
              <w:rPr>
                <w:noProof/>
                <w:webHidden/>
              </w:rPr>
              <w:instrText xml:space="preserve"> PAGEREF _Toc358822439 \h </w:instrText>
            </w:r>
            <w:r w:rsidR="003A7C5C">
              <w:rPr>
                <w:noProof/>
                <w:webHidden/>
              </w:rPr>
            </w:r>
            <w:r w:rsidR="003A7C5C">
              <w:rPr>
                <w:noProof/>
                <w:webHidden/>
              </w:rPr>
              <w:fldChar w:fldCharType="separate"/>
            </w:r>
            <w:r w:rsidR="003A7C5C">
              <w:rPr>
                <w:noProof/>
                <w:webHidden/>
              </w:rPr>
              <w:t>18</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40" w:history="1">
            <w:r w:rsidR="003A7C5C" w:rsidRPr="005B7F40">
              <w:rPr>
                <w:rStyle w:val="Hperlink"/>
                <w:noProof/>
              </w:rPr>
              <w:t>Lisa 5: Energia tarbimine</w:t>
            </w:r>
            <w:r w:rsidR="003A7C5C">
              <w:rPr>
                <w:noProof/>
                <w:webHidden/>
              </w:rPr>
              <w:tab/>
            </w:r>
            <w:r w:rsidR="003A7C5C">
              <w:rPr>
                <w:noProof/>
                <w:webHidden/>
              </w:rPr>
              <w:fldChar w:fldCharType="begin"/>
            </w:r>
            <w:r w:rsidR="003A7C5C">
              <w:rPr>
                <w:noProof/>
                <w:webHidden/>
              </w:rPr>
              <w:instrText xml:space="preserve"> PAGEREF _Toc358822440 \h </w:instrText>
            </w:r>
            <w:r w:rsidR="003A7C5C">
              <w:rPr>
                <w:noProof/>
                <w:webHidden/>
              </w:rPr>
            </w:r>
            <w:r w:rsidR="003A7C5C">
              <w:rPr>
                <w:noProof/>
                <w:webHidden/>
              </w:rPr>
              <w:fldChar w:fldCharType="separate"/>
            </w:r>
            <w:r w:rsidR="003A7C5C">
              <w:rPr>
                <w:noProof/>
                <w:webHidden/>
              </w:rPr>
              <w:t>23</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41" w:history="1">
            <w:r w:rsidR="003A7C5C" w:rsidRPr="005B7F40">
              <w:rPr>
                <w:rStyle w:val="Hperlink"/>
                <w:noProof/>
              </w:rPr>
              <w:t>Lisa 6: Vee tarbimine</w:t>
            </w:r>
            <w:r w:rsidR="003A7C5C">
              <w:rPr>
                <w:noProof/>
                <w:webHidden/>
              </w:rPr>
              <w:tab/>
            </w:r>
            <w:r w:rsidR="003A7C5C">
              <w:rPr>
                <w:noProof/>
                <w:webHidden/>
              </w:rPr>
              <w:fldChar w:fldCharType="begin"/>
            </w:r>
            <w:r w:rsidR="003A7C5C">
              <w:rPr>
                <w:noProof/>
                <w:webHidden/>
              </w:rPr>
              <w:instrText xml:space="preserve"> PAGEREF _Toc358822441 \h </w:instrText>
            </w:r>
            <w:r w:rsidR="003A7C5C">
              <w:rPr>
                <w:noProof/>
                <w:webHidden/>
              </w:rPr>
            </w:r>
            <w:r w:rsidR="003A7C5C">
              <w:rPr>
                <w:noProof/>
                <w:webHidden/>
              </w:rPr>
              <w:fldChar w:fldCharType="separate"/>
            </w:r>
            <w:r w:rsidR="003A7C5C">
              <w:rPr>
                <w:noProof/>
                <w:webHidden/>
              </w:rPr>
              <w:t>25</w:t>
            </w:r>
            <w:r w:rsidR="003A7C5C">
              <w:rPr>
                <w:noProof/>
                <w:webHidden/>
              </w:rPr>
              <w:fldChar w:fldCharType="end"/>
            </w:r>
          </w:hyperlink>
        </w:p>
        <w:p w:rsidR="003A7C5C" w:rsidRDefault="006314FA">
          <w:pPr>
            <w:pStyle w:val="SK2"/>
            <w:tabs>
              <w:tab w:val="right" w:leader="dot" w:pos="9394"/>
            </w:tabs>
            <w:rPr>
              <w:noProof/>
              <w:sz w:val="22"/>
              <w:szCs w:val="22"/>
            </w:rPr>
          </w:pPr>
          <w:hyperlink w:anchor="_Toc358822442" w:history="1">
            <w:r w:rsidR="003A7C5C" w:rsidRPr="005B7F40">
              <w:rPr>
                <w:rStyle w:val="Hperlink"/>
                <w:noProof/>
              </w:rPr>
              <w:t>Lisa 7: Transpordijuhtumid</w:t>
            </w:r>
            <w:r w:rsidR="003A7C5C">
              <w:rPr>
                <w:noProof/>
                <w:webHidden/>
              </w:rPr>
              <w:tab/>
            </w:r>
            <w:r w:rsidR="003A7C5C">
              <w:rPr>
                <w:noProof/>
                <w:webHidden/>
              </w:rPr>
              <w:fldChar w:fldCharType="begin"/>
            </w:r>
            <w:r w:rsidR="003A7C5C">
              <w:rPr>
                <w:noProof/>
                <w:webHidden/>
              </w:rPr>
              <w:instrText xml:space="preserve"> PAGEREF _Toc358822442 \h </w:instrText>
            </w:r>
            <w:r w:rsidR="003A7C5C">
              <w:rPr>
                <w:noProof/>
                <w:webHidden/>
              </w:rPr>
            </w:r>
            <w:r w:rsidR="003A7C5C">
              <w:rPr>
                <w:noProof/>
                <w:webHidden/>
              </w:rPr>
              <w:fldChar w:fldCharType="separate"/>
            </w:r>
            <w:r w:rsidR="003A7C5C">
              <w:rPr>
                <w:noProof/>
                <w:webHidden/>
              </w:rPr>
              <w:t>26</w:t>
            </w:r>
            <w:r w:rsidR="003A7C5C">
              <w:rPr>
                <w:noProof/>
                <w:webHidden/>
              </w:rPr>
              <w:fldChar w:fldCharType="end"/>
            </w:r>
          </w:hyperlink>
        </w:p>
        <w:p w:rsidR="00D6024D" w:rsidRDefault="00D6024D">
          <w:r>
            <w:rPr>
              <w:b/>
              <w:bCs/>
            </w:rPr>
            <w:fldChar w:fldCharType="end"/>
          </w:r>
        </w:p>
      </w:sdtContent>
    </w:sdt>
    <w:p w:rsidR="00904FDB" w:rsidRDefault="001B2EDD" w:rsidP="00690FBB">
      <w:pPr>
        <w:pStyle w:val="Pealkiri1"/>
      </w:pPr>
      <w:r>
        <w:br w:type="page"/>
      </w:r>
    </w:p>
    <w:p w:rsidR="00EB2ABE" w:rsidRPr="00A12E76" w:rsidRDefault="00521A80" w:rsidP="00690FBB">
      <w:pPr>
        <w:pStyle w:val="Pealkiri1"/>
      </w:pPr>
      <w:bookmarkStart w:id="0" w:name="_Toc341362238"/>
      <w:bookmarkStart w:id="1" w:name="_Toc358822423"/>
      <w:r>
        <w:lastRenderedPageBreak/>
        <w:t>EKTLi</w:t>
      </w:r>
      <w:r w:rsidR="00EB2ABE" w:rsidRPr="00A12E76">
        <w:t xml:space="preserve"> Hoolime ja Vastutame </w:t>
      </w:r>
      <w:r w:rsidR="00B06B7A">
        <w:t>programmi 2013</w:t>
      </w:r>
      <w:r w:rsidR="00A54252" w:rsidRPr="00A12E76">
        <w:t>.a</w:t>
      </w:r>
      <w:r>
        <w:t>.</w:t>
      </w:r>
      <w:r w:rsidR="00A54252" w:rsidRPr="00A12E76">
        <w:t xml:space="preserve"> </w:t>
      </w:r>
      <w:r w:rsidR="00A54252" w:rsidRPr="006B500D">
        <w:t>aruandluse</w:t>
      </w:r>
      <w:r w:rsidR="00A54252" w:rsidRPr="00A12E76">
        <w:t xml:space="preserve"> </w:t>
      </w:r>
      <w:r w:rsidR="006B500D">
        <w:t xml:space="preserve"> </w:t>
      </w:r>
      <w:r>
        <w:t>suunised</w:t>
      </w:r>
      <w:bookmarkEnd w:id="0"/>
      <w:bookmarkEnd w:id="1"/>
      <w:r w:rsidR="00EB2ABE" w:rsidRPr="00A12E76">
        <w:t xml:space="preserve"> </w:t>
      </w:r>
    </w:p>
    <w:p w:rsidR="00EB2ABE" w:rsidRPr="00556AAF" w:rsidRDefault="00EB2ABE">
      <w:pPr>
        <w:autoSpaceDE w:val="0"/>
        <w:autoSpaceDN w:val="0"/>
        <w:adjustRightInd w:val="0"/>
        <w:jc w:val="both"/>
        <w:rPr>
          <w:rFonts w:ascii="Arial" w:hAnsi="Arial" w:cs="Arial"/>
        </w:rPr>
      </w:pPr>
    </w:p>
    <w:p w:rsidR="00EB2ABE" w:rsidRPr="00D27A41" w:rsidRDefault="00EB2ABE" w:rsidP="00D27A41">
      <w:pPr>
        <w:pStyle w:val="Pealkiri2"/>
        <w:ind w:left="720"/>
      </w:pPr>
      <w:bookmarkStart w:id="2" w:name="_Toc341362239"/>
      <w:bookmarkStart w:id="3" w:name="_Toc358822424"/>
      <w:r w:rsidRPr="00690FBB">
        <w:t>Sissejuhatus</w:t>
      </w:r>
      <w:bookmarkEnd w:id="2"/>
      <w:bookmarkEnd w:id="3"/>
    </w:p>
    <w:p w:rsidR="00EB2ABE" w:rsidRPr="00D27A41" w:rsidRDefault="00EB2ABE">
      <w:pPr>
        <w:autoSpaceDE w:val="0"/>
        <w:autoSpaceDN w:val="0"/>
        <w:adjustRightInd w:val="0"/>
        <w:jc w:val="both"/>
        <w:rPr>
          <w:rFonts w:cs="Arial"/>
          <w:b/>
        </w:rPr>
      </w:pPr>
      <w:r w:rsidRPr="00D27A41">
        <w:rPr>
          <w:rFonts w:cs="Arial"/>
          <w:b/>
        </w:rPr>
        <w:t>Taust ja eesmärk</w:t>
      </w:r>
    </w:p>
    <w:p w:rsidR="00EB2ABE" w:rsidRPr="00D27A41" w:rsidRDefault="00EB2ABE">
      <w:pPr>
        <w:autoSpaceDE w:val="0"/>
        <w:autoSpaceDN w:val="0"/>
        <w:adjustRightInd w:val="0"/>
        <w:jc w:val="both"/>
        <w:rPr>
          <w:rFonts w:cs="Arial"/>
        </w:rPr>
      </w:pPr>
      <w:r w:rsidRPr="00D27A41">
        <w:rPr>
          <w:rFonts w:cs="Arial"/>
        </w:rPr>
        <w:t xml:space="preserve">Alates üheksakümnendatest aastatest on ettevõtted seisnud vajaduse ees avalikustada  </w:t>
      </w:r>
      <w:r w:rsidR="004E591D" w:rsidRPr="00D27A41">
        <w:rPr>
          <w:rFonts w:cs="Arial"/>
        </w:rPr>
        <w:t>kohalikule kogukonnale</w:t>
      </w:r>
      <w:r w:rsidRPr="00D27A41">
        <w:rPr>
          <w:rFonts w:cs="Arial"/>
        </w:rPr>
        <w:t xml:space="preserve">, töötajatele, üldsusele ja aktsionäridele </w:t>
      </w:r>
      <w:r w:rsidR="00913643" w:rsidRPr="00D27A41">
        <w:rPr>
          <w:rFonts w:cs="Arial"/>
        </w:rPr>
        <w:t>teavet</w:t>
      </w:r>
      <w:r w:rsidRPr="00D27A41">
        <w:rPr>
          <w:rFonts w:cs="Arial"/>
        </w:rPr>
        <w:t xml:space="preserve"> </w:t>
      </w:r>
      <w:r w:rsidR="00913643" w:rsidRPr="00D27A41">
        <w:rPr>
          <w:rFonts w:cs="Arial"/>
        </w:rPr>
        <w:t>töö</w:t>
      </w:r>
      <w:r w:rsidRPr="00D27A41">
        <w:rPr>
          <w:rFonts w:cs="Arial"/>
        </w:rPr>
        <w:t xml:space="preserve">tervishoiu, </w:t>
      </w:r>
      <w:r w:rsidR="00913643" w:rsidRPr="00D27A41">
        <w:rPr>
          <w:rFonts w:cs="Arial"/>
        </w:rPr>
        <w:t>töö</w:t>
      </w:r>
      <w:r w:rsidRPr="00D27A41">
        <w:rPr>
          <w:rFonts w:cs="Arial"/>
        </w:rPr>
        <w:t>ohutuse ja keskkonna</w:t>
      </w:r>
      <w:r w:rsidR="00913643" w:rsidRPr="00D27A41">
        <w:rPr>
          <w:rFonts w:cs="Arial"/>
        </w:rPr>
        <w:t>kaitse</w:t>
      </w:r>
      <w:r w:rsidRPr="00D27A41">
        <w:rPr>
          <w:rFonts w:cs="Arial"/>
        </w:rPr>
        <w:t xml:space="preserve"> </w:t>
      </w:r>
      <w:r w:rsidR="00DA6C0F" w:rsidRPr="00D27A41">
        <w:rPr>
          <w:rFonts w:cs="Arial"/>
        </w:rPr>
        <w:t xml:space="preserve">alaste </w:t>
      </w:r>
      <w:r w:rsidRPr="00D27A41">
        <w:rPr>
          <w:rFonts w:cs="Arial"/>
        </w:rPr>
        <w:t>nõuete täitmise kohta.</w:t>
      </w:r>
    </w:p>
    <w:p w:rsidR="00EB2ABE" w:rsidRPr="00D27A41" w:rsidRDefault="00EB2ABE">
      <w:pPr>
        <w:autoSpaceDE w:val="0"/>
        <w:autoSpaceDN w:val="0"/>
        <w:adjustRightInd w:val="0"/>
        <w:jc w:val="both"/>
        <w:rPr>
          <w:rFonts w:cs="Arial"/>
        </w:rPr>
      </w:pPr>
      <w:r w:rsidRPr="00D27A41">
        <w:rPr>
          <w:rFonts w:cs="Arial"/>
        </w:rPr>
        <w:t xml:space="preserve">1993. aastal avaldas CEFIC väljaande „Euroopa Keemiatööstuse keskkonnanõuete täitmise </w:t>
      </w:r>
      <w:r w:rsidR="00AD1542" w:rsidRPr="00D27A41">
        <w:rPr>
          <w:rFonts w:cs="Arial"/>
        </w:rPr>
        <w:t xml:space="preserve">aruandluse </w:t>
      </w:r>
      <w:r w:rsidR="006B09FB" w:rsidRPr="00D27A41">
        <w:rPr>
          <w:rFonts w:cs="Arial"/>
        </w:rPr>
        <w:t>j</w:t>
      </w:r>
      <w:r w:rsidR="00913643" w:rsidRPr="00D27A41">
        <w:rPr>
          <w:rFonts w:cs="Arial"/>
        </w:rPr>
        <w:t>uhtnöörid</w:t>
      </w:r>
      <w:r w:rsidRPr="00D27A41">
        <w:rPr>
          <w:rFonts w:cs="Arial"/>
        </w:rPr>
        <w:t>”. Selle eesmärgiks oli aidata oma liikme</w:t>
      </w:r>
      <w:r w:rsidR="00AD1542" w:rsidRPr="00D27A41">
        <w:rPr>
          <w:rFonts w:cs="Arial"/>
        </w:rPr>
        <w:t>id</w:t>
      </w:r>
      <w:r w:rsidRPr="00D27A41">
        <w:rPr>
          <w:rFonts w:cs="Arial"/>
        </w:rPr>
        <w:t xml:space="preserve"> keskkonnaaruannete koostamis</w:t>
      </w:r>
      <w:r w:rsidR="006B09FB" w:rsidRPr="00D27A41">
        <w:rPr>
          <w:rFonts w:cs="Arial"/>
        </w:rPr>
        <w:t>el. Eelpool mainitud</w:t>
      </w:r>
      <w:r w:rsidRPr="00D27A41">
        <w:rPr>
          <w:rFonts w:cs="Arial"/>
        </w:rPr>
        <w:t xml:space="preserve"> väljaanne võeti liikmete hulgas väga hästi vastu</w:t>
      </w:r>
      <w:r w:rsidR="008532D4" w:rsidRPr="00D27A41">
        <w:rPr>
          <w:rFonts w:cs="Arial"/>
        </w:rPr>
        <w:t xml:space="preserve"> ning paljud CEFIC liikmesliidud</w:t>
      </w:r>
      <w:r w:rsidRPr="00D27A41">
        <w:rPr>
          <w:rFonts w:cs="Arial"/>
        </w:rPr>
        <w:t xml:space="preserve"> on pärast seda väljastanud </w:t>
      </w:r>
      <w:r w:rsidR="00913643" w:rsidRPr="00D27A41">
        <w:rPr>
          <w:rFonts w:cs="Arial"/>
        </w:rPr>
        <w:t xml:space="preserve">keskkonnaalaseid aruandeid </w:t>
      </w:r>
      <w:r w:rsidRPr="00D27A41">
        <w:rPr>
          <w:rFonts w:cs="Arial"/>
        </w:rPr>
        <w:t>kohalikul, riiklikul, Euroopa</w:t>
      </w:r>
      <w:r w:rsidR="00913643" w:rsidRPr="00D27A41">
        <w:rPr>
          <w:rFonts w:cs="Arial"/>
        </w:rPr>
        <w:t xml:space="preserve"> või</w:t>
      </w:r>
      <w:r w:rsidRPr="00D27A41">
        <w:rPr>
          <w:rFonts w:cs="Arial"/>
        </w:rPr>
        <w:t xml:space="preserve"> rahvusvahelisel </w:t>
      </w:r>
      <w:r w:rsidR="00913643" w:rsidRPr="00D27A41">
        <w:rPr>
          <w:rFonts w:cs="Arial"/>
        </w:rPr>
        <w:t>tasandil</w:t>
      </w:r>
      <w:r w:rsidRPr="00D27A41">
        <w:rPr>
          <w:rFonts w:cs="Arial"/>
        </w:rPr>
        <w:t>.</w:t>
      </w:r>
    </w:p>
    <w:p w:rsidR="00EB2ABE" w:rsidRPr="00D27A41" w:rsidRDefault="00EB2ABE">
      <w:pPr>
        <w:autoSpaceDE w:val="0"/>
        <w:autoSpaceDN w:val="0"/>
        <w:adjustRightInd w:val="0"/>
        <w:jc w:val="both"/>
        <w:rPr>
          <w:rFonts w:cs="Arial"/>
        </w:rPr>
      </w:pPr>
      <w:r w:rsidRPr="00D27A41">
        <w:rPr>
          <w:rFonts w:cs="Arial"/>
        </w:rPr>
        <w:t xml:space="preserve">Vajadus avaldada sellelaadset </w:t>
      </w:r>
      <w:r w:rsidR="00913643" w:rsidRPr="00D27A41">
        <w:rPr>
          <w:rFonts w:cs="Arial"/>
        </w:rPr>
        <w:t>teavet</w:t>
      </w:r>
      <w:r w:rsidRPr="00D27A41">
        <w:rPr>
          <w:rFonts w:cs="Arial"/>
        </w:rPr>
        <w:t xml:space="preserve"> </w:t>
      </w:r>
      <w:r w:rsidR="00AA4592" w:rsidRPr="00D27A41">
        <w:rPr>
          <w:rFonts w:cs="Arial"/>
        </w:rPr>
        <w:t xml:space="preserve">ilmneb </w:t>
      </w:r>
      <w:r w:rsidRPr="00D27A41">
        <w:rPr>
          <w:rFonts w:cs="Arial"/>
        </w:rPr>
        <w:t>ka mitmetes keskkon</w:t>
      </w:r>
      <w:r w:rsidR="00913643" w:rsidRPr="00D27A41">
        <w:rPr>
          <w:rFonts w:cs="Arial"/>
        </w:rPr>
        <w:t>n</w:t>
      </w:r>
      <w:r w:rsidR="00AA4592" w:rsidRPr="00D27A41">
        <w:rPr>
          <w:rFonts w:cs="Arial"/>
        </w:rPr>
        <w:t>a</w:t>
      </w:r>
      <w:r w:rsidR="00913643" w:rsidRPr="00D27A41">
        <w:rPr>
          <w:rFonts w:cs="Arial"/>
        </w:rPr>
        <w:t xml:space="preserve">korraldust </w:t>
      </w:r>
      <w:r w:rsidR="00AA4592" w:rsidRPr="00D27A41">
        <w:rPr>
          <w:rFonts w:cs="Arial"/>
        </w:rPr>
        <w:t>puudutavates</w:t>
      </w:r>
      <w:r w:rsidRPr="00D27A41">
        <w:rPr>
          <w:rFonts w:cs="Arial"/>
        </w:rPr>
        <w:t xml:space="preserve"> </w:t>
      </w:r>
      <w:r w:rsidR="006B09FB" w:rsidRPr="00D27A41">
        <w:rPr>
          <w:rFonts w:cs="Arial"/>
        </w:rPr>
        <w:t>algatus</w:t>
      </w:r>
      <w:r w:rsidR="00AA4592" w:rsidRPr="00D27A41">
        <w:rPr>
          <w:rFonts w:cs="Arial"/>
        </w:rPr>
        <w:t>tes</w:t>
      </w:r>
      <w:r w:rsidR="0082007A" w:rsidRPr="00D27A41">
        <w:rPr>
          <w:rFonts w:cs="Arial"/>
        </w:rPr>
        <w:t>,</w:t>
      </w:r>
      <w:r w:rsidRPr="00D27A41">
        <w:rPr>
          <w:rFonts w:cs="Arial"/>
        </w:rPr>
        <w:t xml:space="preserve"> </w:t>
      </w:r>
      <w:r w:rsidR="0082007A" w:rsidRPr="00D27A41">
        <w:rPr>
          <w:rFonts w:cs="Arial"/>
        </w:rPr>
        <w:t>n</w:t>
      </w:r>
      <w:r w:rsidR="006B09FB" w:rsidRPr="00D27A41">
        <w:rPr>
          <w:rFonts w:cs="Arial"/>
        </w:rPr>
        <w:t>äiteks vabatahtlik</w:t>
      </w:r>
      <w:r w:rsidR="0082007A" w:rsidRPr="00D27A41">
        <w:rPr>
          <w:rFonts w:cs="Arial"/>
        </w:rPr>
        <w:t>u keskkonna</w:t>
      </w:r>
      <w:r w:rsidRPr="00D27A41">
        <w:rPr>
          <w:rFonts w:cs="Arial"/>
        </w:rPr>
        <w:t>juhtimis</w:t>
      </w:r>
      <w:r w:rsidR="0082007A" w:rsidRPr="00D27A41">
        <w:rPr>
          <w:rFonts w:cs="Arial"/>
        </w:rPr>
        <w:t>e ja auditeerimissüstee</w:t>
      </w:r>
      <w:r w:rsidRPr="00D27A41">
        <w:rPr>
          <w:rFonts w:cs="Arial"/>
        </w:rPr>
        <w:t>mi (EMAS) eeskirja</w:t>
      </w:r>
      <w:r w:rsidR="00913643" w:rsidRPr="00D27A41">
        <w:rPr>
          <w:rFonts w:cs="Arial"/>
        </w:rPr>
        <w:t>s</w:t>
      </w:r>
      <w:r w:rsidRPr="00D27A41">
        <w:rPr>
          <w:rFonts w:cs="Arial"/>
        </w:rPr>
        <w:t xml:space="preserve"> 1836/93, muudetud 2001. aastal. </w:t>
      </w:r>
      <w:r w:rsidR="00913643" w:rsidRPr="00D27A41">
        <w:rPr>
          <w:rFonts w:cs="Arial"/>
        </w:rPr>
        <w:t>EMAS</w:t>
      </w:r>
      <w:r w:rsidRPr="00D27A41">
        <w:rPr>
          <w:rFonts w:cs="Arial"/>
        </w:rPr>
        <w:t xml:space="preserve"> </w:t>
      </w:r>
      <w:r w:rsidR="00AA4592" w:rsidRPr="00D27A41">
        <w:rPr>
          <w:rFonts w:cs="Arial"/>
        </w:rPr>
        <w:t xml:space="preserve">nõuab </w:t>
      </w:r>
      <w:r w:rsidRPr="00D27A41">
        <w:rPr>
          <w:rFonts w:cs="Arial"/>
        </w:rPr>
        <w:t>sõltumatu kontrollija poolt kinnitatud keskkonnaaruannet.  Lisaks sellele nõuavad</w:t>
      </w:r>
      <w:r w:rsidR="008532D4" w:rsidRPr="00D27A41">
        <w:rPr>
          <w:rFonts w:cs="Arial"/>
        </w:rPr>
        <w:t xml:space="preserve"> Tööstusheitmete direktiiv (varasem</w:t>
      </w:r>
      <w:r w:rsidRPr="00D27A41">
        <w:rPr>
          <w:rFonts w:cs="Arial"/>
        </w:rPr>
        <w:t xml:space="preserve"> </w:t>
      </w:r>
      <w:r w:rsidR="00913643" w:rsidRPr="00D27A41">
        <w:rPr>
          <w:rFonts w:cs="Arial"/>
        </w:rPr>
        <w:t>Saastuse kompleksse vältimise ja kontrollimise</w:t>
      </w:r>
      <w:r w:rsidRPr="00D27A41">
        <w:rPr>
          <w:rFonts w:cs="Arial"/>
        </w:rPr>
        <w:t xml:space="preserve"> (IPPC) 96/61/EC direktiiv</w:t>
      </w:r>
      <w:r w:rsidR="008532D4" w:rsidRPr="00D27A41">
        <w:rPr>
          <w:rFonts w:cs="Arial"/>
        </w:rPr>
        <w:t>)</w:t>
      </w:r>
      <w:r w:rsidRPr="00D27A41">
        <w:rPr>
          <w:rFonts w:cs="Arial"/>
        </w:rPr>
        <w:t xml:space="preserve"> ja selle Euroopa saaste emissiooni register (EPER), et kõik emissiooniandmed pea</w:t>
      </w:r>
      <w:r w:rsidR="00913643" w:rsidRPr="00D27A41">
        <w:rPr>
          <w:rFonts w:cs="Arial"/>
        </w:rPr>
        <w:t>vad</w:t>
      </w:r>
      <w:r w:rsidRPr="00D27A41">
        <w:rPr>
          <w:rFonts w:cs="Arial"/>
        </w:rPr>
        <w:t xml:space="preserve"> </w:t>
      </w:r>
      <w:r w:rsidR="00913643" w:rsidRPr="00D27A41">
        <w:rPr>
          <w:rFonts w:cs="Arial"/>
        </w:rPr>
        <w:t>ole</w:t>
      </w:r>
      <w:r w:rsidRPr="00D27A41">
        <w:rPr>
          <w:rFonts w:cs="Arial"/>
        </w:rPr>
        <w:t>ma üld</w:t>
      </w:r>
      <w:r w:rsidR="00AA4592" w:rsidRPr="00D27A41">
        <w:rPr>
          <w:rFonts w:cs="Arial"/>
        </w:rPr>
        <w:t>s</w:t>
      </w:r>
      <w:r w:rsidRPr="00D27A41">
        <w:rPr>
          <w:rFonts w:cs="Arial"/>
        </w:rPr>
        <w:t xml:space="preserve">usele </w:t>
      </w:r>
      <w:r w:rsidR="00A94A4D" w:rsidRPr="00D27A41">
        <w:rPr>
          <w:rFonts w:cs="Arial"/>
        </w:rPr>
        <w:t>kättesaadava</w:t>
      </w:r>
      <w:r w:rsidR="00913643" w:rsidRPr="00D27A41">
        <w:rPr>
          <w:rFonts w:cs="Arial"/>
        </w:rPr>
        <w:t>d</w:t>
      </w:r>
      <w:r w:rsidRPr="00D27A41">
        <w:rPr>
          <w:rFonts w:cs="Arial"/>
        </w:rPr>
        <w:t xml:space="preserve">. 2001. aastal jõustus </w:t>
      </w:r>
      <w:r w:rsidR="00913643" w:rsidRPr="00D27A41">
        <w:rPr>
          <w:rFonts w:cs="Arial"/>
        </w:rPr>
        <w:t>Å</w:t>
      </w:r>
      <w:r w:rsidR="00A94A4D" w:rsidRPr="00D27A41">
        <w:rPr>
          <w:rFonts w:cs="Arial"/>
        </w:rPr>
        <w:t>rhus</w:t>
      </w:r>
      <w:r w:rsidR="00913643" w:rsidRPr="00D27A41">
        <w:rPr>
          <w:rFonts w:cs="Arial"/>
        </w:rPr>
        <w:t>’i</w:t>
      </w:r>
      <w:r w:rsidRPr="00D27A41">
        <w:rPr>
          <w:rFonts w:cs="Arial"/>
        </w:rPr>
        <w:t xml:space="preserve"> Konventsioon (UNECE Konventsioon juurdepääsu</w:t>
      </w:r>
      <w:r w:rsidR="00AA4592" w:rsidRPr="00D27A41">
        <w:rPr>
          <w:rFonts w:cs="Arial"/>
        </w:rPr>
        <w:t>st</w:t>
      </w:r>
      <w:r w:rsidR="00913643" w:rsidRPr="00D27A41">
        <w:rPr>
          <w:rFonts w:cs="Arial"/>
        </w:rPr>
        <w:t xml:space="preserve"> teabele</w:t>
      </w:r>
      <w:r w:rsidRPr="00D27A41">
        <w:rPr>
          <w:rFonts w:cs="Arial"/>
        </w:rPr>
        <w:t>, üld</w:t>
      </w:r>
      <w:r w:rsidR="00AA4592" w:rsidRPr="00D27A41">
        <w:rPr>
          <w:rFonts w:cs="Arial"/>
        </w:rPr>
        <w:t>s</w:t>
      </w:r>
      <w:r w:rsidRPr="00D27A41">
        <w:rPr>
          <w:rFonts w:cs="Arial"/>
        </w:rPr>
        <w:t xml:space="preserve">use osalus otsuste tegemisel ja </w:t>
      </w:r>
      <w:r w:rsidR="00AA4592" w:rsidRPr="00D27A41">
        <w:rPr>
          <w:rFonts w:cs="Arial"/>
        </w:rPr>
        <w:t xml:space="preserve">juurdepääs </w:t>
      </w:r>
      <w:r w:rsidRPr="00D27A41">
        <w:rPr>
          <w:rFonts w:cs="Arial"/>
        </w:rPr>
        <w:t>keskkonnaalas</w:t>
      </w:r>
      <w:r w:rsidR="00913643" w:rsidRPr="00D27A41">
        <w:rPr>
          <w:rFonts w:cs="Arial"/>
        </w:rPr>
        <w:t>el</w:t>
      </w:r>
      <w:r w:rsidRPr="00D27A41">
        <w:rPr>
          <w:rFonts w:cs="Arial"/>
        </w:rPr>
        <w:t>e seadusandlus</w:t>
      </w:r>
      <w:r w:rsidR="00AA4592" w:rsidRPr="00D27A41">
        <w:rPr>
          <w:rFonts w:cs="Arial"/>
        </w:rPr>
        <w:t>ele</w:t>
      </w:r>
      <w:r w:rsidRPr="00D27A41">
        <w:rPr>
          <w:rFonts w:cs="Arial"/>
        </w:rPr>
        <w:t xml:space="preserve">) ning Saaste väljalaske ja </w:t>
      </w:r>
      <w:r w:rsidR="00AA4592" w:rsidRPr="00D27A41">
        <w:rPr>
          <w:rFonts w:cs="Arial"/>
        </w:rPr>
        <w:t xml:space="preserve">ülekande </w:t>
      </w:r>
      <w:r w:rsidRPr="00D27A41">
        <w:rPr>
          <w:rFonts w:cs="Arial"/>
        </w:rPr>
        <w:t>register (PRTR)</w:t>
      </w:r>
      <w:r w:rsidR="00D07F52" w:rsidRPr="00D27A41">
        <w:rPr>
          <w:rFonts w:cs="Arial"/>
        </w:rPr>
        <w:t>, mis</w:t>
      </w:r>
      <w:r w:rsidRPr="00D27A41">
        <w:rPr>
          <w:rFonts w:cs="Arial"/>
        </w:rPr>
        <w:t xml:space="preserve"> mõjutab Euroopa keskkonnaalast aruandlust puudutavat seadusandlust nagu seda on EPER</w:t>
      </w:r>
      <w:r w:rsidR="00913643" w:rsidRPr="00D27A41">
        <w:rPr>
          <w:rFonts w:cs="Arial"/>
        </w:rPr>
        <w:t xml:space="preserve"> register</w:t>
      </w:r>
      <w:r w:rsidRPr="00D27A41">
        <w:rPr>
          <w:rFonts w:cs="Arial"/>
        </w:rPr>
        <w:t>.</w:t>
      </w:r>
    </w:p>
    <w:p w:rsidR="00EB2ABE" w:rsidRPr="00D27A41" w:rsidRDefault="00AA4592">
      <w:pPr>
        <w:autoSpaceDE w:val="0"/>
        <w:autoSpaceDN w:val="0"/>
        <w:adjustRightInd w:val="0"/>
        <w:jc w:val="both"/>
        <w:rPr>
          <w:rFonts w:cs="Arial"/>
        </w:rPr>
      </w:pPr>
      <w:r w:rsidRPr="00D27A41">
        <w:rPr>
          <w:rFonts w:cs="Arial"/>
        </w:rPr>
        <w:t>Algaastaist alates on olnud selge</w:t>
      </w:r>
      <w:r w:rsidR="00EB2ABE" w:rsidRPr="00D27A41">
        <w:rPr>
          <w:rFonts w:cs="Arial"/>
        </w:rPr>
        <w:t xml:space="preserve">, et keemiatööstus vajab rohkemat kui </w:t>
      </w:r>
      <w:r w:rsidRPr="00D27A41">
        <w:rPr>
          <w:rFonts w:cs="Arial"/>
        </w:rPr>
        <w:t xml:space="preserve">üksnes </w:t>
      </w:r>
      <w:r w:rsidR="00EB2ABE" w:rsidRPr="00D27A41">
        <w:rPr>
          <w:rFonts w:cs="Arial"/>
        </w:rPr>
        <w:t>keskkonnaala</w:t>
      </w:r>
      <w:r w:rsidRPr="00D27A41">
        <w:rPr>
          <w:rFonts w:cs="Arial"/>
        </w:rPr>
        <w:t>st</w:t>
      </w:r>
      <w:r w:rsidR="00EB2ABE" w:rsidRPr="00D27A41">
        <w:rPr>
          <w:rFonts w:cs="Arial"/>
        </w:rPr>
        <w:t xml:space="preserve"> aruandlus</w:t>
      </w:r>
      <w:r w:rsidRPr="00D27A41">
        <w:rPr>
          <w:rFonts w:cs="Arial"/>
        </w:rPr>
        <w:t>t</w:t>
      </w:r>
      <w:r w:rsidR="00EB2ABE" w:rsidRPr="00D27A41">
        <w:rPr>
          <w:rFonts w:cs="Arial"/>
        </w:rPr>
        <w:t xml:space="preserve">. Et teavitada efektiivselt keemiatööstuse toimingutest nii </w:t>
      </w:r>
      <w:r w:rsidRPr="00D27A41">
        <w:rPr>
          <w:rFonts w:cs="Arial"/>
        </w:rPr>
        <w:t>r</w:t>
      </w:r>
      <w:r w:rsidR="00913643" w:rsidRPr="00D27A41">
        <w:rPr>
          <w:rFonts w:cs="Arial"/>
        </w:rPr>
        <w:t>iigisiseselt</w:t>
      </w:r>
      <w:r w:rsidRPr="00D27A41">
        <w:rPr>
          <w:rFonts w:cs="Arial"/>
        </w:rPr>
        <w:t xml:space="preserve"> </w:t>
      </w:r>
      <w:r w:rsidR="00EB2ABE" w:rsidRPr="00D27A41">
        <w:rPr>
          <w:rFonts w:cs="Arial"/>
        </w:rPr>
        <w:t>kui Euroopa tasandi</w:t>
      </w:r>
      <w:r w:rsidR="00913643" w:rsidRPr="00D27A41">
        <w:rPr>
          <w:rFonts w:cs="Arial"/>
        </w:rPr>
        <w:t>l</w:t>
      </w:r>
      <w:r w:rsidR="00EB2ABE" w:rsidRPr="00D27A41">
        <w:rPr>
          <w:rFonts w:cs="Arial"/>
        </w:rPr>
        <w:t xml:space="preserve">, oli vaja vastavat kvantitatiivset </w:t>
      </w:r>
      <w:r w:rsidR="00913643" w:rsidRPr="00D27A41">
        <w:rPr>
          <w:rFonts w:cs="Arial"/>
        </w:rPr>
        <w:t>töötervishoiu, tööohutuse ja keskkonnakaitse</w:t>
      </w:r>
      <w:r w:rsidR="00EB2ABE" w:rsidRPr="00D27A41">
        <w:rPr>
          <w:rFonts w:cs="Arial"/>
        </w:rPr>
        <w:t xml:space="preserve"> </w:t>
      </w:r>
      <w:r w:rsidR="00913643" w:rsidRPr="00D27A41">
        <w:rPr>
          <w:rFonts w:cs="Arial"/>
        </w:rPr>
        <w:t>tegevu</w:t>
      </w:r>
      <w:r w:rsidR="00EB2ABE" w:rsidRPr="00D27A41">
        <w:rPr>
          <w:rFonts w:cs="Arial"/>
        </w:rPr>
        <w:t xml:space="preserve">se hindamissüsteemi, mis baseeruks ühtsetel definitsioonidel. 1998. aastal otsustas CEFIC töötada välja Hoolime ja Vastutame </w:t>
      </w:r>
      <w:r w:rsidRPr="00D27A41">
        <w:rPr>
          <w:rFonts w:cs="Arial"/>
        </w:rPr>
        <w:t xml:space="preserve">(Responsible Care) </w:t>
      </w:r>
      <w:r w:rsidR="00EB2ABE" w:rsidRPr="00D27A41">
        <w:rPr>
          <w:rFonts w:cs="Arial"/>
        </w:rPr>
        <w:t xml:space="preserve">aruandluse ja monitooringu raamistiku, mis hõlmas Hoolime ja Vastutame  </w:t>
      </w:r>
      <w:r w:rsidR="00913643" w:rsidRPr="00D27A41">
        <w:rPr>
          <w:rFonts w:cs="Arial"/>
        </w:rPr>
        <w:t xml:space="preserve">töötervishoiu, tööohutuse ja keskkonnakaitse </w:t>
      </w:r>
      <w:r w:rsidR="00EB2ABE" w:rsidRPr="00D27A41">
        <w:rPr>
          <w:rFonts w:cs="Arial"/>
        </w:rPr>
        <w:t xml:space="preserve">andmeid ühtse skeemi all: „CEFIC Hoolime ja Vastutame </w:t>
      </w:r>
      <w:r w:rsidR="00DA6C0F" w:rsidRPr="00D27A41">
        <w:rPr>
          <w:rFonts w:cs="Arial"/>
        </w:rPr>
        <w:t xml:space="preserve">töötervishoiu, tööohutuse ja keskkonnakaitse alase </w:t>
      </w:r>
      <w:r w:rsidR="00EB2ABE" w:rsidRPr="00D27A41">
        <w:rPr>
          <w:rFonts w:cs="Arial"/>
        </w:rPr>
        <w:t xml:space="preserve">aruandluse juhtnöörid”. </w:t>
      </w:r>
      <w:r w:rsidR="00DA6C0F" w:rsidRPr="00D27A41">
        <w:rPr>
          <w:rFonts w:cs="Arial"/>
        </w:rPr>
        <w:t>A</w:t>
      </w:r>
      <w:r w:rsidR="00EB2ABE" w:rsidRPr="00D27A41">
        <w:rPr>
          <w:rFonts w:cs="Arial"/>
        </w:rPr>
        <w:t xml:space="preserve">llikateks olid: </w:t>
      </w:r>
      <w:r w:rsidR="00A94A4D" w:rsidRPr="00D27A41">
        <w:rPr>
          <w:rFonts w:cs="Arial"/>
        </w:rPr>
        <w:t xml:space="preserve">CEFIC </w:t>
      </w:r>
      <w:r w:rsidR="00EB2ABE" w:rsidRPr="00D27A41">
        <w:rPr>
          <w:rFonts w:cs="Arial"/>
        </w:rPr>
        <w:t xml:space="preserve">juhtnöörid keskkonna </w:t>
      </w:r>
      <w:r w:rsidR="00DA6C0F" w:rsidRPr="00D27A41">
        <w:rPr>
          <w:rFonts w:cs="Arial"/>
        </w:rPr>
        <w:t xml:space="preserve">alaseks </w:t>
      </w:r>
      <w:r w:rsidR="00EB2ABE" w:rsidRPr="00D27A41">
        <w:rPr>
          <w:rFonts w:cs="Arial"/>
        </w:rPr>
        <w:t xml:space="preserve">aruandluseks (1993), </w:t>
      </w:r>
      <w:r w:rsidR="002D1FA1" w:rsidRPr="00D27A41">
        <w:rPr>
          <w:rFonts w:cs="Arial"/>
        </w:rPr>
        <w:t xml:space="preserve">CEFIC </w:t>
      </w:r>
      <w:r w:rsidR="00EB2ABE" w:rsidRPr="00D27A41">
        <w:rPr>
          <w:rFonts w:cs="Arial"/>
        </w:rPr>
        <w:t xml:space="preserve">juhiste dokument </w:t>
      </w:r>
      <w:r w:rsidR="00DA6C0F" w:rsidRPr="00D27A41">
        <w:rPr>
          <w:rFonts w:cs="Arial"/>
        </w:rPr>
        <w:t xml:space="preserve">töötervishoidu ja tööohutust </w:t>
      </w:r>
      <w:r w:rsidR="00EB2ABE" w:rsidRPr="00D27A41">
        <w:rPr>
          <w:rFonts w:cs="Arial"/>
        </w:rPr>
        <w:t xml:space="preserve">puudutavate küsimuste aruandluseks (1995), </w:t>
      </w:r>
      <w:r w:rsidR="007B1494" w:rsidRPr="00D27A41">
        <w:rPr>
          <w:rFonts w:cs="Arial"/>
        </w:rPr>
        <w:t xml:space="preserve">CEFIC </w:t>
      </w:r>
      <w:r w:rsidR="00EB2ABE" w:rsidRPr="00D27A41">
        <w:rPr>
          <w:rFonts w:cs="Arial"/>
        </w:rPr>
        <w:t xml:space="preserve">juhtnöörid Hoolime ja Vastutame indikaatorite (1997) ja </w:t>
      </w:r>
      <w:r w:rsidR="00DA6C0F" w:rsidRPr="00D27A41">
        <w:rPr>
          <w:rFonts w:cs="Arial"/>
        </w:rPr>
        <w:t>liikmesriikide</w:t>
      </w:r>
      <w:r w:rsidR="00EB2ABE" w:rsidRPr="00D27A41">
        <w:rPr>
          <w:rFonts w:cs="Arial"/>
        </w:rPr>
        <w:t xml:space="preserve"> keemiatööstuse </w:t>
      </w:r>
      <w:r w:rsidR="00DA6C0F" w:rsidRPr="00D27A41">
        <w:rPr>
          <w:rFonts w:cs="Arial"/>
        </w:rPr>
        <w:t>liitude</w:t>
      </w:r>
      <w:r w:rsidR="00EB2ABE" w:rsidRPr="00D27A41">
        <w:rPr>
          <w:rFonts w:cs="Arial"/>
        </w:rPr>
        <w:t xml:space="preserve"> poolt väljastatavate Hoolime ja Vastutame aruannete koostamiseks.</w:t>
      </w:r>
    </w:p>
    <w:p w:rsidR="00EB2ABE" w:rsidRPr="00D27A41" w:rsidRDefault="00EB2ABE">
      <w:pPr>
        <w:autoSpaceDE w:val="0"/>
        <w:autoSpaceDN w:val="0"/>
        <w:adjustRightInd w:val="0"/>
        <w:jc w:val="both"/>
        <w:rPr>
          <w:rFonts w:cs="Arial"/>
        </w:rPr>
      </w:pPr>
      <w:r w:rsidRPr="00D27A41">
        <w:rPr>
          <w:rFonts w:cs="Arial"/>
        </w:rPr>
        <w:t>See initsiatiiv võimaldas kogu Euroopat puudutavat andmete koondamist, kuna kõik liikmes</w:t>
      </w:r>
      <w:r w:rsidR="00DA6C0F" w:rsidRPr="00D27A41">
        <w:rPr>
          <w:rFonts w:cs="Arial"/>
        </w:rPr>
        <w:t>liidud</w:t>
      </w:r>
      <w:r w:rsidRPr="00D27A41">
        <w:rPr>
          <w:rFonts w:cs="Arial"/>
        </w:rPr>
        <w:t xml:space="preserve"> pidasid kinni </w:t>
      </w:r>
      <w:r w:rsidR="00AA4592" w:rsidRPr="00D27A41">
        <w:rPr>
          <w:rFonts w:cs="Arial"/>
        </w:rPr>
        <w:t xml:space="preserve">ühtsetest </w:t>
      </w:r>
      <w:r w:rsidRPr="00D27A41">
        <w:rPr>
          <w:rFonts w:cs="Arial"/>
        </w:rPr>
        <w:t xml:space="preserve">parameetritest ning nende definitsioonidest. Samal ajal lõid nad ka baasi andmete avalikustamiseks nii </w:t>
      </w:r>
      <w:r w:rsidR="00DA6C0F" w:rsidRPr="00D27A41">
        <w:rPr>
          <w:rFonts w:cs="Arial"/>
        </w:rPr>
        <w:t>riikliku</w:t>
      </w:r>
      <w:r w:rsidRPr="00D27A41">
        <w:rPr>
          <w:rFonts w:cs="Arial"/>
        </w:rPr>
        <w:t xml:space="preserve">l kui ka ettevõtte tasandil.   </w:t>
      </w:r>
    </w:p>
    <w:p w:rsidR="00D27A41" w:rsidRPr="00D27A41" w:rsidRDefault="007C7E8E">
      <w:pPr>
        <w:autoSpaceDE w:val="0"/>
        <w:autoSpaceDN w:val="0"/>
        <w:adjustRightInd w:val="0"/>
        <w:jc w:val="both"/>
        <w:rPr>
          <w:rFonts w:cs="Arial"/>
        </w:rPr>
      </w:pPr>
      <w:r w:rsidRPr="00D27A41">
        <w:rPr>
          <w:rFonts w:cs="Arial"/>
        </w:rPr>
        <w:t>CEFIC poolt 1998.a. üllitatud juhenddokumenti „Hoolime ja Vastutame töötervishoiu, tööohutuse ja keskkonnakaitse alane aruandlus“ uuendati taaskord 2005. aastal.</w:t>
      </w:r>
    </w:p>
    <w:p w:rsidR="00EB2ABE" w:rsidRPr="00CA76D0" w:rsidRDefault="00B7701B" w:rsidP="00AB1EED">
      <w:pPr>
        <w:pStyle w:val="Pealkiri2"/>
        <w:ind w:left="720"/>
      </w:pPr>
      <w:bookmarkStart w:id="4" w:name="_Toc341362240"/>
      <w:bookmarkStart w:id="5" w:name="_Toc358822425"/>
      <w:r w:rsidRPr="00CA76D0">
        <w:lastRenderedPageBreak/>
        <w:t>Kaasajastamine</w:t>
      </w:r>
      <w:bookmarkEnd w:id="4"/>
      <w:bookmarkEnd w:id="5"/>
    </w:p>
    <w:p w:rsidR="00B7701B" w:rsidRPr="00D27A41" w:rsidRDefault="00B7701B">
      <w:pPr>
        <w:autoSpaceDE w:val="0"/>
        <w:autoSpaceDN w:val="0"/>
        <w:adjustRightInd w:val="0"/>
        <w:jc w:val="both"/>
        <w:rPr>
          <w:rFonts w:cs="Arial"/>
          <w:b/>
        </w:rPr>
      </w:pPr>
    </w:p>
    <w:p w:rsidR="00EB2ABE" w:rsidRPr="00D27A41" w:rsidRDefault="00B656F8" w:rsidP="007C7E8E">
      <w:pPr>
        <w:autoSpaceDE w:val="0"/>
        <w:autoSpaceDN w:val="0"/>
        <w:adjustRightInd w:val="0"/>
        <w:rPr>
          <w:rFonts w:cs="Arial"/>
        </w:rPr>
      </w:pPr>
      <w:r w:rsidRPr="00D27A41">
        <w:rPr>
          <w:rFonts w:cs="Arial"/>
          <w:b/>
          <w:color w:val="008000"/>
        </w:rPr>
        <w:t>EKTLi</w:t>
      </w:r>
      <w:r w:rsidR="00EB2ABE" w:rsidRPr="00D27A41">
        <w:rPr>
          <w:rFonts w:cs="Arial"/>
          <w:b/>
          <w:color w:val="008000"/>
        </w:rPr>
        <w:t xml:space="preserve"> Hoolime ja Vas</w:t>
      </w:r>
      <w:r w:rsidRPr="00D27A41">
        <w:rPr>
          <w:rFonts w:cs="Arial"/>
          <w:b/>
          <w:color w:val="008000"/>
        </w:rPr>
        <w:t xml:space="preserve">tutame </w:t>
      </w:r>
      <w:r w:rsidR="00887E3F" w:rsidRPr="00D27A41">
        <w:rPr>
          <w:rFonts w:cs="Arial"/>
          <w:b/>
          <w:color w:val="008000"/>
        </w:rPr>
        <w:t>programmi tulemuslikkuse põhinäitajate</w:t>
      </w:r>
      <w:r w:rsidRPr="00D27A41">
        <w:rPr>
          <w:rFonts w:cs="Arial"/>
          <w:b/>
          <w:color w:val="008000"/>
        </w:rPr>
        <w:t xml:space="preserve"> aruandluse suunised</w:t>
      </w:r>
      <w:r w:rsidR="005A751E" w:rsidRPr="00D27A41">
        <w:rPr>
          <w:rFonts w:cs="Arial"/>
          <w:b/>
          <w:color w:val="008000"/>
        </w:rPr>
        <w:t>.</w:t>
      </w:r>
      <w:r w:rsidR="00EB2ABE" w:rsidRPr="00D27A41">
        <w:rPr>
          <w:rFonts w:cs="Arial"/>
        </w:rPr>
        <w:t xml:space="preserve"> </w:t>
      </w:r>
    </w:p>
    <w:p w:rsidR="00EB2ABE" w:rsidRPr="00D27A41" w:rsidRDefault="00B062D9" w:rsidP="006E7A1A">
      <w:pPr>
        <w:jc w:val="both"/>
        <w:rPr>
          <w:rFonts w:cs="Arial"/>
        </w:rPr>
      </w:pPr>
      <w:r w:rsidRPr="00D27A41">
        <w:rPr>
          <w:rFonts w:cs="Arial"/>
        </w:rPr>
        <w:t>EKTL</w:t>
      </w:r>
      <w:r w:rsidR="00A94A4D" w:rsidRPr="00D27A41">
        <w:rPr>
          <w:rFonts w:cs="Arial"/>
        </w:rPr>
        <w:t xml:space="preserve"> </w:t>
      </w:r>
      <w:r w:rsidRPr="00D27A41">
        <w:rPr>
          <w:rFonts w:cs="Arial"/>
        </w:rPr>
        <w:t>viis aastatel 2011-2012 läbi ulatusliku analüüsi</w:t>
      </w:r>
      <w:r w:rsidR="00EB2ABE" w:rsidRPr="00D27A41">
        <w:rPr>
          <w:rFonts w:cs="Arial"/>
        </w:rPr>
        <w:t xml:space="preserve"> Hoolime ja Vastutame </w:t>
      </w:r>
      <w:r w:rsidR="005A751E" w:rsidRPr="00D27A41">
        <w:rPr>
          <w:rFonts w:cs="Arial"/>
        </w:rPr>
        <w:t>programmi rakendamisest</w:t>
      </w:r>
      <w:r w:rsidR="00EB2ABE" w:rsidRPr="00D27A41">
        <w:rPr>
          <w:rFonts w:cs="Arial"/>
        </w:rPr>
        <w:t xml:space="preserve">. Tulemuseks oli rida soovitusi, mis viitasid vajadusele </w:t>
      </w:r>
      <w:r w:rsidR="00D6416A" w:rsidRPr="00D27A41">
        <w:rPr>
          <w:rFonts w:cs="Arial"/>
        </w:rPr>
        <w:t>kaasajastada senini kasutuselolevad</w:t>
      </w:r>
      <w:r w:rsidR="00EB2ABE" w:rsidRPr="00D27A41">
        <w:rPr>
          <w:rFonts w:cs="Arial"/>
        </w:rPr>
        <w:t xml:space="preserve"> </w:t>
      </w:r>
      <w:r w:rsidR="00A94A4D" w:rsidRPr="00D27A41">
        <w:rPr>
          <w:rFonts w:cs="Arial"/>
        </w:rPr>
        <w:t xml:space="preserve">CEFIC </w:t>
      </w:r>
      <w:r w:rsidR="00EB2ABE" w:rsidRPr="00D27A41">
        <w:rPr>
          <w:rFonts w:cs="Arial"/>
        </w:rPr>
        <w:t xml:space="preserve">Hoolime ja Vastutame </w:t>
      </w:r>
      <w:r w:rsidR="00DA6C0F" w:rsidRPr="00D27A41">
        <w:rPr>
          <w:rFonts w:cs="Arial"/>
        </w:rPr>
        <w:t xml:space="preserve">töötervishoiu, tööohutuse ja keskkonnakaitse alase </w:t>
      </w:r>
      <w:r w:rsidR="00260C0D" w:rsidRPr="00D27A41">
        <w:rPr>
          <w:rFonts w:cs="Arial"/>
        </w:rPr>
        <w:t xml:space="preserve">aruandluse juhtnöörid, mis </w:t>
      </w:r>
      <w:r w:rsidR="00D6416A" w:rsidRPr="00D27A41">
        <w:rPr>
          <w:rFonts w:cs="Arial"/>
        </w:rPr>
        <w:t xml:space="preserve">pärinevad aastast 2005 ning on mõnes aspektis liiga üldsõnalised ja/või mitmeti tõlgendatavad. Lisaks on </w:t>
      </w:r>
      <w:r w:rsidR="00260C0D" w:rsidRPr="00D27A41">
        <w:rPr>
          <w:rFonts w:cs="Arial"/>
        </w:rPr>
        <w:t>vahepealsete aastate jooksul muutunud liitude H&amp;V-alas</w:t>
      </w:r>
      <w:r w:rsidR="00D6416A" w:rsidRPr="00D27A41">
        <w:rPr>
          <w:rFonts w:cs="Arial"/>
        </w:rPr>
        <w:t>e aruandlus</w:t>
      </w:r>
      <w:r w:rsidR="00260C0D" w:rsidRPr="00D27A41">
        <w:rPr>
          <w:rFonts w:cs="Arial"/>
        </w:rPr>
        <w:t>e kord.</w:t>
      </w:r>
      <w:r w:rsidR="00FF4F8F" w:rsidRPr="00D27A41">
        <w:rPr>
          <w:rFonts w:cs="Arial"/>
        </w:rPr>
        <w:t xml:space="preserve"> Nimelt CEFICu asemel edastab EKTL tulemuslikkuse näitajad</w:t>
      </w:r>
      <w:r w:rsidR="00260C0D" w:rsidRPr="00D27A41">
        <w:rPr>
          <w:rFonts w:cs="Arial"/>
        </w:rPr>
        <w:t xml:space="preserve"> </w:t>
      </w:r>
      <w:r w:rsidR="00D6416A" w:rsidRPr="00D27A41">
        <w:rPr>
          <w:rFonts w:cs="Arial"/>
        </w:rPr>
        <w:t>ICCA</w:t>
      </w:r>
      <w:r w:rsidR="00FF4F8F" w:rsidRPr="00D27A41">
        <w:rPr>
          <w:rFonts w:cs="Arial"/>
        </w:rPr>
        <w:t>-le</w:t>
      </w:r>
      <w:r w:rsidR="00260C0D" w:rsidRPr="00D27A41">
        <w:rPr>
          <w:rFonts w:cs="Arial"/>
        </w:rPr>
        <w:t>, kasutades selleks viimase poolt loodud vastavat</w:t>
      </w:r>
      <w:r w:rsidR="00D6416A" w:rsidRPr="00D27A41">
        <w:rPr>
          <w:rFonts w:cs="Arial"/>
        </w:rPr>
        <w:t xml:space="preserve"> veebikeskonda (KPI-portaal: </w:t>
      </w:r>
      <w:hyperlink r:id="rId11" w:history="1">
        <w:r w:rsidR="00260C0D" w:rsidRPr="00D27A41">
          <w:rPr>
            <w:rStyle w:val="Hperlink"/>
            <w:rFonts w:cs="Arial"/>
          </w:rPr>
          <w:t>http://kpi.responsiblecare.eu</w:t>
        </w:r>
      </w:hyperlink>
      <w:r w:rsidR="00260C0D" w:rsidRPr="00D27A41">
        <w:rPr>
          <w:rFonts w:cs="Arial"/>
        </w:rPr>
        <w:t>).  CEFIC saab kõik vajalikud andmed kätte samuti nimetatud KPI-portaalist. Kuivõrd ICCA on 2009.a. välja andnud tulemuslikkusest aruan</w:t>
      </w:r>
      <w:r w:rsidR="006E7A1A" w:rsidRPr="00D27A41">
        <w:rPr>
          <w:rFonts w:cs="Arial"/>
        </w:rPr>
        <w:t>dmise juhendi, siis põhineb käesolev dokument lisaks CEFICu varasematele aruandluse juhtnööridele ka mainitud ICCA juhendil.</w:t>
      </w:r>
    </w:p>
    <w:p w:rsidR="00EB2ABE" w:rsidRPr="00D27A41" w:rsidRDefault="00D6416A">
      <w:pPr>
        <w:autoSpaceDE w:val="0"/>
        <w:autoSpaceDN w:val="0"/>
        <w:adjustRightInd w:val="0"/>
        <w:jc w:val="both"/>
        <w:rPr>
          <w:rFonts w:cs="Arial"/>
        </w:rPr>
      </w:pPr>
      <w:r w:rsidRPr="00D27A41">
        <w:rPr>
          <w:rFonts w:cs="Arial"/>
        </w:rPr>
        <w:t>Käesolevad suunised pakuvad laiahaardelist põhinäitajate</w:t>
      </w:r>
      <w:r w:rsidR="00EB2ABE" w:rsidRPr="00D27A41">
        <w:rPr>
          <w:rFonts w:cs="Arial"/>
        </w:rPr>
        <w:t xml:space="preserve"> kogumit, </w:t>
      </w:r>
      <w:r w:rsidRPr="00D27A41">
        <w:rPr>
          <w:rFonts w:cs="Arial"/>
        </w:rPr>
        <w:t>mis võtab arvesse kõiki ICCA ja CEFIC poolt ülemaailmselt rahvuslikele H&amp;V programmidele kohustuslikuks määratud tulemuslikkuse põhinäitajaid.</w:t>
      </w:r>
    </w:p>
    <w:p w:rsidR="00EB2ABE" w:rsidRPr="00D27A41" w:rsidRDefault="00EB2ABE">
      <w:pPr>
        <w:autoSpaceDE w:val="0"/>
        <w:autoSpaceDN w:val="0"/>
        <w:adjustRightInd w:val="0"/>
        <w:jc w:val="both"/>
        <w:rPr>
          <w:rFonts w:cs="Arial"/>
          <w:sz w:val="22"/>
        </w:rPr>
      </w:pPr>
      <w:r w:rsidRPr="00D27A41">
        <w:rPr>
          <w:rFonts w:cs="Arial"/>
          <w:sz w:val="22"/>
        </w:rPr>
        <w:t xml:space="preserve"> </w:t>
      </w:r>
    </w:p>
    <w:p w:rsidR="00B7701B" w:rsidRPr="00556AAF" w:rsidRDefault="006E7A1A" w:rsidP="00AB1EED">
      <w:pPr>
        <w:pStyle w:val="Pealkiri2"/>
        <w:ind w:left="720"/>
      </w:pPr>
      <w:bookmarkStart w:id="6" w:name="_Toc341362241"/>
      <w:bookmarkStart w:id="7" w:name="_Toc358822426"/>
      <w:r>
        <w:t>Tulemuslikkuse põhinäitajate</w:t>
      </w:r>
      <w:r w:rsidR="00EB2ABE" w:rsidRPr="00556AAF">
        <w:t xml:space="preserve"> loetelu</w:t>
      </w:r>
      <w:bookmarkEnd w:id="6"/>
      <w:bookmarkEnd w:id="7"/>
    </w:p>
    <w:p w:rsidR="00290055" w:rsidRPr="00D27A41" w:rsidRDefault="00290055">
      <w:pPr>
        <w:autoSpaceDE w:val="0"/>
        <w:autoSpaceDN w:val="0"/>
        <w:adjustRightInd w:val="0"/>
        <w:jc w:val="both"/>
        <w:rPr>
          <w:rFonts w:cs="Arial"/>
        </w:rPr>
      </w:pPr>
    </w:p>
    <w:p w:rsidR="0076307A" w:rsidRPr="00D27A41" w:rsidRDefault="0076307A" w:rsidP="00C33FA1">
      <w:pPr>
        <w:pStyle w:val="Loendilik"/>
        <w:numPr>
          <w:ilvl w:val="0"/>
          <w:numId w:val="38"/>
        </w:numPr>
        <w:autoSpaceDE w:val="0"/>
        <w:autoSpaceDN w:val="0"/>
        <w:adjustRightInd w:val="0"/>
        <w:spacing w:before="0" w:after="0"/>
        <w:jc w:val="both"/>
        <w:rPr>
          <w:rFonts w:cs="Arial"/>
          <w:b/>
        </w:rPr>
      </w:pPr>
      <w:r w:rsidRPr="00D27A41">
        <w:rPr>
          <w:rFonts w:cs="Arial"/>
          <w:b/>
        </w:rPr>
        <w:t>Referentsandmed:</w:t>
      </w:r>
    </w:p>
    <w:p w:rsidR="0076307A" w:rsidRPr="00D27A41" w:rsidRDefault="0076307A" w:rsidP="00AB1EED">
      <w:pPr>
        <w:numPr>
          <w:ilvl w:val="0"/>
          <w:numId w:val="34"/>
        </w:numPr>
        <w:autoSpaceDE w:val="0"/>
        <w:autoSpaceDN w:val="0"/>
        <w:adjustRightInd w:val="0"/>
        <w:spacing w:before="0" w:after="0"/>
        <w:jc w:val="both"/>
        <w:rPr>
          <w:rFonts w:cs="Arial"/>
        </w:rPr>
      </w:pPr>
      <w:r w:rsidRPr="00D27A41">
        <w:rPr>
          <w:rFonts w:cs="Arial"/>
        </w:rPr>
        <w:t>Töötajate arv</w:t>
      </w:r>
    </w:p>
    <w:p w:rsidR="0076307A" w:rsidRPr="00D27A41" w:rsidRDefault="00E356FC" w:rsidP="00AB1EED">
      <w:pPr>
        <w:numPr>
          <w:ilvl w:val="0"/>
          <w:numId w:val="34"/>
        </w:numPr>
        <w:autoSpaceDE w:val="0"/>
        <w:autoSpaceDN w:val="0"/>
        <w:adjustRightInd w:val="0"/>
        <w:spacing w:before="0" w:after="0"/>
        <w:jc w:val="both"/>
        <w:rPr>
          <w:rFonts w:cs="Arial"/>
        </w:rPr>
      </w:pPr>
      <w:r w:rsidRPr="00D27A41">
        <w:rPr>
          <w:rFonts w:cs="Arial"/>
        </w:rPr>
        <w:t>Töötajate</w:t>
      </w:r>
      <w:r w:rsidR="0076307A" w:rsidRPr="00D27A41">
        <w:rPr>
          <w:rFonts w:cs="Arial"/>
        </w:rPr>
        <w:t xml:space="preserve"> töötundide arv</w:t>
      </w:r>
    </w:p>
    <w:p w:rsidR="0076307A" w:rsidRPr="00D27A41" w:rsidRDefault="0076307A" w:rsidP="00AB1EED">
      <w:pPr>
        <w:numPr>
          <w:ilvl w:val="0"/>
          <w:numId w:val="34"/>
        </w:numPr>
        <w:autoSpaceDE w:val="0"/>
        <w:autoSpaceDN w:val="0"/>
        <w:adjustRightInd w:val="0"/>
        <w:spacing w:before="0" w:after="0"/>
        <w:jc w:val="both"/>
        <w:rPr>
          <w:rFonts w:cs="Arial"/>
        </w:rPr>
      </w:pPr>
      <w:r w:rsidRPr="00D27A41">
        <w:rPr>
          <w:rFonts w:cs="Arial"/>
        </w:rPr>
        <w:t>Müügitulu</w:t>
      </w:r>
    </w:p>
    <w:p w:rsidR="00E356FC" w:rsidRPr="00D27A41" w:rsidRDefault="00E356FC" w:rsidP="00AB1EED">
      <w:pPr>
        <w:numPr>
          <w:ilvl w:val="0"/>
          <w:numId w:val="34"/>
        </w:numPr>
        <w:autoSpaceDE w:val="0"/>
        <w:autoSpaceDN w:val="0"/>
        <w:adjustRightInd w:val="0"/>
        <w:spacing w:before="0" w:after="0"/>
        <w:jc w:val="both"/>
        <w:rPr>
          <w:rFonts w:cs="Arial"/>
        </w:rPr>
      </w:pPr>
      <w:r w:rsidRPr="00D27A41">
        <w:rPr>
          <w:rFonts w:cs="Arial"/>
        </w:rPr>
        <w:t>Keskkonna</w:t>
      </w:r>
      <w:r w:rsidR="001A5674">
        <w:rPr>
          <w:rFonts w:cs="Arial"/>
        </w:rPr>
        <w:t>kaitse</w:t>
      </w:r>
      <w:r w:rsidRPr="00D27A41">
        <w:rPr>
          <w:rFonts w:cs="Arial"/>
        </w:rPr>
        <w:t>investeeringud</w:t>
      </w:r>
    </w:p>
    <w:p w:rsidR="0076307A" w:rsidRPr="00D27A41" w:rsidRDefault="0076307A" w:rsidP="00AB1EED">
      <w:pPr>
        <w:numPr>
          <w:ilvl w:val="0"/>
          <w:numId w:val="34"/>
        </w:numPr>
        <w:autoSpaceDE w:val="0"/>
        <w:autoSpaceDN w:val="0"/>
        <w:adjustRightInd w:val="0"/>
        <w:spacing w:before="0" w:after="0"/>
        <w:jc w:val="both"/>
        <w:rPr>
          <w:rFonts w:cs="Arial"/>
          <w:color w:val="A6A6A6"/>
        </w:rPr>
      </w:pPr>
      <w:r w:rsidRPr="00D27A41">
        <w:rPr>
          <w:rFonts w:cs="Arial"/>
          <w:color w:val="A6A6A6"/>
        </w:rPr>
        <w:t>Alltöövõtjate arv</w:t>
      </w:r>
      <w:r w:rsidR="00FF4F8F" w:rsidRPr="00D27A41">
        <w:rPr>
          <w:rFonts w:cs="Arial"/>
          <w:color w:val="A6A6A6"/>
        </w:rPr>
        <w:t>*</w:t>
      </w:r>
    </w:p>
    <w:p w:rsidR="0076307A" w:rsidRPr="00D27A41" w:rsidRDefault="0076307A" w:rsidP="00AB1EED">
      <w:pPr>
        <w:numPr>
          <w:ilvl w:val="0"/>
          <w:numId w:val="34"/>
        </w:numPr>
        <w:autoSpaceDE w:val="0"/>
        <w:autoSpaceDN w:val="0"/>
        <w:adjustRightInd w:val="0"/>
        <w:spacing w:before="0" w:after="0"/>
        <w:jc w:val="both"/>
        <w:rPr>
          <w:rFonts w:cs="Arial"/>
          <w:color w:val="A6A6A6"/>
        </w:rPr>
      </w:pPr>
      <w:r w:rsidRPr="00D27A41">
        <w:rPr>
          <w:rFonts w:cs="Arial"/>
          <w:color w:val="A6A6A6"/>
        </w:rPr>
        <w:t>Alltöövõtjate töötundide arv</w:t>
      </w:r>
      <w:r w:rsidR="00FF4F8F" w:rsidRPr="00D27A41">
        <w:rPr>
          <w:rFonts w:cs="Arial"/>
          <w:color w:val="A6A6A6"/>
        </w:rPr>
        <w:t>*</w:t>
      </w:r>
    </w:p>
    <w:p w:rsidR="0076307A" w:rsidRPr="00D27A41" w:rsidRDefault="0076307A" w:rsidP="00AB1EED">
      <w:pPr>
        <w:autoSpaceDE w:val="0"/>
        <w:autoSpaceDN w:val="0"/>
        <w:adjustRightInd w:val="0"/>
        <w:spacing w:before="0" w:after="0"/>
        <w:jc w:val="both"/>
        <w:rPr>
          <w:rFonts w:cs="Arial"/>
        </w:rPr>
      </w:pPr>
    </w:p>
    <w:p w:rsidR="00EB2ABE" w:rsidRPr="00D27A41" w:rsidRDefault="0076307A" w:rsidP="00C33FA1">
      <w:pPr>
        <w:pStyle w:val="Loendilik"/>
        <w:numPr>
          <w:ilvl w:val="0"/>
          <w:numId w:val="38"/>
        </w:numPr>
        <w:autoSpaceDE w:val="0"/>
        <w:autoSpaceDN w:val="0"/>
        <w:adjustRightInd w:val="0"/>
        <w:spacing w:before="0" w:after="0"/>
        <w:jc w:val="both"/>
        <w:rPr>
          <w:rFonts w:cs="Arial"/>
          <w:b/>
        </w:rPr>
      </w:pPr>
      <w:r w:rsidRPr="00D27A41">
        <w:rPr>
          <w:rFonts w:cs="Arial"/>
          <w:b/>
        </w:rPr>
        <w:t>Tervis ja ohutus</w:t>
      </w:r>
      <w:r w:rsidR="00EB2ABE" w:rsidRPr="00D27A41">
        <w:rPr>
          <w:rFonts w:cs="Arial"/>
          <w:b/>
        </w:rPr>
        <w:t>:</w:t>
      </w:r>
    </w:p>
    <w:p w:rsidR="00EB2ABE" w:rsidRPr="00D27A41" w:rsidRDefault="006E7A1A" w:rsidP="00AB1EED">
      <w:pPr>
        <w:numPr>
          <w:ilvl w:val="0"/>
          <w:numId w:val="1"/>
        </w:numPr>
        <w:autoSpaceDE w:val="0"/>
        <w:autoSpaceDN w:val="0"/>
        <w:adjustRightInd w:val="0"/>
        <w:spacing w:before="0" w:after="0"/>
        <w:jc w:val="both"/>
        <w:rPr>
          <w:rFonts w:cs="Arial"/>
        </w:rPr>
      </w:pPr>
      <w:r w:rsidRPr="00D27A41">
        <w:rPr>
          <w:rFonts w:cs="Arial"/>
        </w:rPr>
        <w:t>Surma</w:t>
      </w:r>
      <w:r w:rsidR="00EB2ABE" w:rsidRPr="00D27A41">
        <w:rPr>
          <w:rFonts w:cs="Arial"/>
        </w:rPr>
        <w:t>juhtumite</w:t>
      </w:r>
      <w:r w:rsidRPr="00D27A41">
        <w:rPr>
          <w:rFonts w:cs="Arial"/>
        </w:rPr>
        <w:t xml:space="preserve"> </w:t>
      </w:r>
      <w:r w:rsidR="00EB2ABE" w:rsidRPr="00D27A41">
        <w:rPr>
          <w:rFonts w:cs="Arial"/>
        </w:rPr>
        <w:t xml:space="preserve">arv (põhi- ja </w:t>
      </w:r>
      <w:r w:rsidR="003745CD" w:rsidRPr="00D27A41">
        <w:rPr>
          <w:rFonts w:cs="Arial"/>
          <w:color w:val="A6A6A6"/>
        </w:rPr>
        <w:t>all</w:t>
      </w:r>
      <w:r w:rsidR="003745CD" w:rsidRPr="00D27A41">
        <w:rPr>
          <w:rFonts w:cs="Arial"/>
        </w:rPr>
        <w:t>töövõtjate</w:t>
      </w:r>
      <w:r w:rsidR="00EB2ABE" w:rsidRPr="00D27A41">
        <w:rPr>
          <w:rFonts w:cs="Arial"/>
        </w:rPr>
        <w:t xml:space="preserve"> kohta)</w:t>
      </w:r>
      <w:r w:rsidR="00290055" w:rsidRPr="00D27A41">
        <w:rPr>
          <w:rFonts w:cs="Arial"/>
        </w:rPr>
        <w:t>;</w:t>
      </w:r>
      <w:r w:rsidR="00EB2ABE" w:rsidRPr="00D27A41">
        <w:rPr>
          <w:rFonts w:cs="Arial"/>
        </w:rPr>
        <w:t xml:space="preserve"> </w:t>
      </w:r>
    </w:p>
    <w:p w:rsidR="00EB2ABE" w:rsidRPr="00D27A41" w:rsidRDefault="00E356FC" w:rsidP="00AB1EED">
      <w:pPr>
        <w:numPr>
          <w:ilvl w:val="0"/>
          <w:numId w:val="1"/>
        </w:numPr>
        <w:autoSpaceDE w:val="0"/>
        <w:autoSpaceDN w:val="0"/>
        <w:adjustRightInd w:val="0"/>
        <w:spacing w:before="0" w:after="0"/>
        <w:jc w:val="both"/>
        <w:rPr>
          <w:rFonts w:cs="Arial"/>
          <w:i/>
        </w:rPr>
      </w:pPr>
      <w:r w:rsidRPr="00D27A41">
        <w:rPr>
          <w:rFonts w:cs="Arial"/>
        </w:rPr>
        <w:t xml:space="preserve">Kaotatud tööajaga vigastuste arv (põhi- ja </w:t>
      </w:r>
      <w:r w:rsidRPr="00D27A41">
        <w:rPr>
          <w:rFonts w:cs="Arial"/>
          <w:color w:val="A6A6A6"/>
        </w:rPr>
        <w:t>all</w:t>
      </w:r>
      <w:r w:rsidRPr="00D27A41">
        <w:rPr>
          <w:rFonts w:cs="Arial"/>
        </w:rPr>
        <w:t xml:space="preserve">töövõtjate töötajate kohta). </w:t>
      </w:r>
      <w:r w:rsidRPr="00D27A41">
        <w:rPr>
          <w:rFonts w:cs="Arial"/>
          <w:i/>
        </w:rPr>
        <w:t>Märkus: Liit kasutab näitajat v</w:t>
      </w:r>
      <w:r w:rsidR="00EB2ABE" w:rsidRPr="00D27A41">
        <w:rPr>
          <w:rFonts w:cs="Arial"/>
          <w:i/>
        </w:rPr>
        <w:t>igastuste esinemise sagedus</w:t>
      </w:r>
      <w:r w:rsidRPr="00D27A41">
        <w:rPr>
          <w:rFonts w:cs="Arial"/>
          <w:i/>
        </w:rPr>
        <w:t>e arvutamiseks</w:t>
      </w:r>
      <w:r w:rsidR="00EB2ABE" w:rsidRPr="00D27A41">
        <w:rPr>
          <w:rFonts w:cs="Arial"/>
          <w:i/>
        </w:rPr>
        <w:t xml:space="preserve"> </w:t>
      </w:r>
    </w:p>
    <w:p w:rsidR="00EB2ABE" w:rsidRPr="00D27A41" w:rsidRDefault="00EB2ABE" w:rsidP="00AB1EED">
      <w:pPr>
        <w:autoSpaceDE w:val="0"/>
        <w:autoSpaceDN w:val="0"/>
        <w:adjustRightInd w:val="0"/>
        <w:spacing w:before="0" w:after="0"/>
        <w:jc w:val="both"/>
        <w:rPr>
          <w:rFonts w:cs="Arial"/>
        </w:rPr>
      </w:pPr>
    </w:p>
    <w:p w:rsidR="00EB2ABE" w:rsidRPr="00D27A41" w:rsidRDefault="0076307A" w:rsidP="00C33FA1">
      <w:pPr>
        <w:pStyle w:val="Loendilik"/>
        <w:numPr>
          <w:ilvl w:val="0"/>
          <w:numId w:val="38"/>
        </w:numPr>
        <w:autoSpaceDE w:val="0"/>
        <w:autoSpaceDN w:val="0"/>
        <w:adjustRightInd w:val="0"/>
        <w:spacing w:before="0" w:after="0"/>
        <w:jc w:val="both"/>
        <w:rPr>
          <w:rFonts w:cs="Arial"/>
          <w:b/>
        </w:rPr>
      </w:pPr>
      <w:r w:rsidRPr="00D27A41">
        <w:rPr>
          <w:rFonts w:cs="Arial"/>
          <w:b/>
        </w:rPr>
        <w:t>Keskkond</w:t>
      </w:r>
      <w:r w:rsidR="00EB2ABE" w:rsidRPr="00D27A41">
        <w:rPr>
          <w:rFonts w:cs="Arial"/>
          <w:b/>
        </w:rPr>
        <w:t>, ka</w:t>
      </w:r>
      <w:r w:rsidR="003745CD" w:rsidRPr="00D27A41">
        <w:rPr>
          <w:rFonts w:cs="Arial"/>
          <w:b/>
        </w:rPr>
        <w:t xml:space="preserve">asa arvatud </w:t>
      </w:r>
      <w:r w:rsidR="00EB2ABE" w:rsidRPr="00D27A41">
        <w:rPr>
          <w:rFonts w:cs="Arial"/>
          <w:b/>
        </w:rPr>
        <w:t>kliimamuutus</w:t>
      </w:r>
      <w:r w:rsidR="00290055" w:rsidRPr="00D27A41">
        <w:rPr>
          <w:rFonts w:cs="Arial"/>
          <w:b/>
        </w:rPr>
        <w:t>:</w:t>
      </w:r>
    </w:p>
    <w:p w:rsidR="00EB2ABE" w:rsidRPr="00D27A41" w:rsidRDefault="00EB2ABE" w:rsidP="00AB1EED">
      <w:pPr>
        <w:numPr>
          <w:ilvl w:val="0"/>
          <w:numId w:val="2"/>
        </w:numPr>
        <w:autoSpaceDE w:val="0"/>
        <w:autoSpaceDN w:val="0"/>
        <w:adjustRightInd w:val="0"/>
        <w:spacing w:before="0" w:after="0"/>
        <w:jc w:val="both"/>
        <w:rPr>
          <w:rFonts w:cs="Arial"/>
        </w:rPr>
      </w:pPr>
      <w:r w:rsidRPr="00D27A41">
        <w:rPr>
          <w:rFonts w:cs="Arial"/>
        </w:rPr>
        <w:t>Ohtlik</w:t>
      </w:r>
      <w:r w:rsidR="00D07F52" w:rsidRPr="00D27A41">
        <w:rPr>
          <w:rFonts w:cs="Arial"/>
        </w:rPr>
        <w:t>e</w:t>
      </w:r>
      <w:r w:rsidRPr="00D27A41">
        <w:rPr>
          <w:rFonts w:cs="Arial"/>
        </w:rPr>
        <w:t xml:space="preserve"> jäätme</w:t>
      </w:r>
      <w:r w:rsidR="00D07F52" w:rsidRPr="00D27A41">
        <w:rPr>
          <w:rFonts w:cs="Arial"/>
        </w:rPr>
        <w:t>te</w:t>
      </w:r>
      <w:r w:rsidRPr="00D27A41">
        <w:rPr>
          <w:rFonts w:cs="Arial"/>
        </w:rPr>
        <w:t xml:space="preserve"> </w:t>
      </w:r>
      <w:r w:rsidR="003745CD" w:rsidRPr="00D27A41">
        <w:rPr>
          <w:rFonts w:cs="Arial"/>
        </w:rPr>
        <w:t>kõrvaldamine</w:t>
      </w:r>
    </w:p>
    <w:p w:rsidR="00EB2ABE" w:rsidRPr="00D27A41" w:rsidRDefault="00D07F52" w:rsidP="00AB1EED">
      <w:pPr>
        <w:numPr>
          <w:ilvl w:val="0"/>
          <w:numId w:val="2"/>
        </w:numPr>
        <w:autoSpaceDE w:val="0"/>
        <w:autoSpaceDN w:val="0"/>
        <w:adjustRightInd w:val="0"/>
        <w:spacing w:before="0" w:after="0"/>
        <w:jc w:val="both"/>
        <w:rPr>
          <w:rFonts w:cs="Arial"/>
        </w:rPr>
      </w:pPr>
      <w:r w:rsidRPr="00D27A41">
        <w:rPr>
          <w:rFonts w:cs="Arial"/>
        </w:rPr>
        <w:t>Tava</w:t>
      </w:r>
      <w:r w:rsidR="00EB2ABE" w:rsidRPr="00D27A41">
        <w:rPr>
          <w:rFonts w:cs="Arial"/>
        </w:rPr>
        <w:t>jäätme</w:t>
      </w:r>
      <w:r w:rsidRPr="00D27A41">
        <w:rPr>
          <w:rFonts w:cs="Arial"/>
        </w:rPr>
        <w:t>te</w:t>
      </w:r>
      <w:r w:rsidR="00EB2ABE" w:rsidRPr="00D27A41">
        <w:rPr>
          <w:rFonts w:cs="Arial"/>
        </w:rPr>
        <w:t xml:space="preserve"> </w:t>
      </w:r>
      <w:r w:rsidR="003745CD" w:rsidRPr="00D27A41">
        <w:rPr>
          <w:rFonts w:cs="Arial"/>
        </w:rPr>
        <w:t>kõrvald</w:t>
      </w:r>
      <w:r w:rsidRPr="00D27A41">
        <w:rPr>
          <w:rFonts w:cs="Arial"/>
        </w:rPr>
        <w:t>amine</w:t>
      </w:r>
      <w:r w:rsidR="00EB2ABE" w:rsidRPr="00D27A41">
        <w:rPr>
          <w:rFonts w:cs="Arial"/>
        </w:rPr>
        <w:t xml:space="preserve"> </w:t>
      </w:r>
    </w:p>
    <w:p w:rsidR="00EB2ABE" w:rsidRPr="00D27A41" w:rsidRDefault="00EB2ABE" w:rsidP="00AB1EED">
      <w:pPr>
        <w:numPr>
          <w:ilvl w:val="0"/>
          <w:numId w:val="2"/>
        </w:numPr>
        <w:autoSpaceDE w:val="0"/>
        <w:autoSpaceDN w:val="0"/>
        <w:adjustRightInd w:val="0"/>
        <w:spacing w:before="0" w:after="0"/>
        <w:jc w:val="both"/>
        <w:rPr>
          <w:rFonts w:cs="Arial"/>
        </w:rPr>
      </w:pPr>
      <w:r w:rsidRPr="00D27A41">
        <w:rPr>
          <w:rFonts w:cs="Arial"/>
        </w:rPr>
        <w:t xml:space="preserve">Vääveldioksiid </w:t>
      </w:r>
    </w:p>
    <w:p w:rsidR="00EB2ABE" w:rsidRPr="00D27A41" w:rsidRDefault="00D13A5E" w:rsidP="00AB1EED">
      <w:pPr>
        <w:numPr>
          <w:ilvl w:val="0"/>
          <w:numId w:val="2"/>
        </w:numPr>
        <w:autoSpaceDE w:val="0"/>
        <w:autoSpaceDN w:val="0"/>
        <w:adjustRightInd w:val="0"/>
        <w:spacing w:before="0" w:after="0"/>
        <w:jc w:val="both"/>
        <w:rPr>
          <w:rFonts w:cs="Arial"/>
        </w:rPr>
      </w:pPr>
      <w:r w:rsidRPr="00D27A41">
        <w:rPr>
          <w:rFonts w:cs="Arial"/>
        </w:rPr>
        <w:t>Lämmastikoksiidid</w:t>
      </w:r>
    </w:p>
    <w:p w:rsidR="00EB2ABE" w:rsidRPr="00D27A41" w:rsidRDefault="00EB2ABE" w:rsidP="00AB1EED">
      <w:pPr>
        <w:numPr>
          <w:ilvl w:val="0"/>
          <w:numId w:val="2"/>
        </w:numPr>
        <w:autoSpaceDE w:val="0"/>
        <w:autoSpaceDN w:val="0"/>
        <w:adjustRightInd w:val="0"/>
        <w:spacing w:before="0" w:after="0"/>
        <w:jc w:val="both"/>
        <w:rPr>
          <w:rFonts w:cs="Arial"/>
        </w:rPr>
      </w:pPr>
      <w:r w:rsidRPr="00D27A41">
        <w:rPr>
          <w:rFonts w:cs="Arial"/>
        </w:rPr>
        <w:t>Lenduvad orgaanilised</w:t>
      </w:r>
      <w:r w:rsidR="00D13A5E" w:rsidRPr="00D27A41">
        <w:rPr>
          <w:rFonts w:cs="Arial"/>
        </w:rPr>
        <w:t xml:space="preserve"> </w:t>
      </w:r>
      <w:r w:rsidR="00290055" w:rsidRPr="00D27A41">
        <w:rPr>
          <w:rFonts w:cs="Arial"/>
        </w:rPr>
        <w:t>ühendid</w:t>
      </w:r>
    </w:p>
    <w:p w:rsidR="003745CD" w:rsidRPr="00D27A41" w:rsidRDefault="003745CD" w:rsidP="00AB1EED">
      <w:pPr>
        <w:numPr>
          <w:ilvl w:val="0"/>
          <w:numId w:val="2"/>
        </w:numPr>
        <w:autoSpaceDE w:val="0"/>
        <w:autoSpaceDN w:val="0"/>
        <w:adjustRightInd w:val="0"/>
        <w:spacing w:before="0" w:after="0"/>
        <w:jc w:val="both"/>
        <w:rPr>
          <w:rFonts w:cs="Arial"/>
        </w:rPr>
      </w:pPr>
      <w:r w:rsidRPr="00D27A41">
        <w:rPr>
          <w:rFonts w:cs="Arial"/>
        </w:rPr>
        <w:t>Süsinikdioksiid</w:t>
      </w:r>
    </w:p>
    <w:p w:rsidR="00EB2ABE" w:rsidRPr="00D27A41" w:rsidRDefault="00EB2ABE" w:rsidP="00AB1EED">
      <w:pPr>
        <w:numPr>
          <w:ilvl w:val="0"/>
          <w:numId w:val="2"/>
        </w:numPr>
        <w:autoSpaceDE w:val="0"/>
        <w:autoSpaceDN w:val="0"/>
        <w:adjustRightInd w:val="0"/>
        <w:spacing w:before="0" w:after="0"/>
        <w:jc w:val="both"/>
        <w:rPr>
          <w:rFonts w:cs="Arial"/>
        </w:rPr>
      </w:pPr>
      <w:r w:rsidRPr="00D27A41">
        <w:rPr>
          <w:rFonts w:cs="Arial"/>
        </w:rPr>
        <w:lastRenderedPageBreak/>
        <w:t>Keemili</w:t>
      </w:r>
      <w:r w:rsidR="00D07F52" w:rsidRPr="00D27A41">
        <w:rPr>
          <w:rFonts w:cs="Arial"/>
        </w:rPr>
        <w:t>n</w:t>
      </w:r>
      <w:r w:rsidRPr="00D27A41">
        <w:rPr>
          <w:rFonts w:cs="Arial"/>
        </w:rPr>
        <w:t>e hapniku</w:t>
      </w:r>
      <w:r w:rsidR="00D07F52" w:rsidRPr="00D27A41">
        <w:rPr>
          <w:rFonts w:cs="Arial"/>
        </w:rPr>
        <w:t>tarve</w:t>
      </w:r>
    </w:p>
    <w:p w:rsidR="00EB2ABE" w:rsidRPr="00D27A41" w:rsidRDefault="00EB2ABE" w:rsidP="00AB1EED">
      <w:pPr>
        <w:numPr>
          <w:ilvl w:val="0"/>
          <w:numId w:val="2"/>
        </w:numPr>
        <w:autoSpaceDE w:val="0"/>
        <w:autoSpaceDN w:val="0"/>
        <w:adjustRightInd w:val="0"/>
        <w:spacing w:before="0" w:after="0"/>
        <w:jc w:val="both"/>
        <w:rPr>
          <w:rFonts w:cs="Arial"/>
        </w:rPr>
      </w:pPr>
      <w:r w:rsidRPr="00D27A41">
        <w:rPr>
          <w:rFonts w:cs="Arial"/>
        </w:rPr>
        <w:t>Fosforühendid</w:t>
      </w:r>
    </w:p>
    <w:p w:rsidR="00EB2ABE" w:rsidRPr="00D27A41" w:rsidRDefault="00E356FC" w:rsidP="00AB1EED">
      <w:pPr>
        <w:numPr>
          <w:ilvl w:val="0"/>
          <w:numId w:val="2"/>
        </w:numPr>
        <w:autoSpaceDE w:val="0"/>
        <w:autoSpaceDN w:val="0"/>
        <w:adjustRightInd w:val="0"/>
        <w:spacing w:before="0" w:after="0"/>
        <w:jc w:val="both"/>
        <w:rPr>
          <w:rFonts w:cs="Arial"/>
        </w:rPr>
      </w:pPr>
      <w:r w:rsidRPr="00D27A41">
        <w:rPr>
          <w:rFonts w:cs="Arial"/>
        </w:rPr>
        <w:t>Lämmastikühendid</w:t>
      </w:r>
    </w:p>
    <w:p w:rsidR="00EB2ABE" w:rsidRPr="00D27A41" w:rsidRDefault="00EB2ABE" w:rsidP="00AB1EED">
      <w:pPr>
        <w:autoSpaceDE w:val="0"/>
        <w:autoSpaceDN w:val="0"/>
        <w:adjustRightInd w:val="0"/>
        <w:spacing w:before="0" w:after="0"/>
        <w:ind w:left="360"/>
        <w:jc w:val="both"/>
        <w:rPr>
          <w:rFonts w:cs="Arial"/>
        </w:rPr>
      </w:pPr>
    </w:p>
    <w:p w:rsidR="00EB2ABE" w:rsidRPr="00D27A41" w:rsidRDefault="0076307A" w:rsidP="00C33FA1">
      <w:pPr>
        <w:pStyle w:val="Loendilik"/>
        <w:numPr>
          <w:ilvl w:val="0"/>
          <w:numId w:val="38"/>
        </w:numPr>
        <w:autoSpaceDE w:val="0"/>
        <w:autoSpaceDN w:val="0"/>
        <w:adjustRightInd w:val="0"/>
        <w:spacing w:before="0" w:after="0"/>
        <w:jc w:val="both"/>
        <w:rPr>
          <w:rFonts w:cs="Arial"/>
          <w:b/>
        </w:rPr>
      </w:pPr>
      <w:r w:rsidRPr="00D27A41">
        <w:rPr>
          <w:rFonts w:cs="Arial"/>
          <w:b/>
        </w:rPr>
        <w:t>Loodusvarade</w:t>
      </w:r>
      <w:r w:rsidR="00EB2ABE" w:rsidRPr="00D27A41">
        <w:rPr>
          <w:rFonts w:cs="Arial"/>
          <w:b/>
        </w:rPr>
        <w:t xml:space="preserve"> kasutamine</w:t>
      </w:r>
      <w:r w:rsidR="00290055" w:rsidRPr="00D27A41">
        <w:rPr>
          <w:rFonts w:cs="Arial"/>
          <w:b/>
        </w:rPr>
        <w:t>:</w:t>
      </w:r>
    </w:p>
    <w:p w:rsidR="00EB2ABE" w:rsidRPr="00D27A41" w:rsidRDefault="00EB2ABE" w:rsidP="00AB1EED">
      <w:pPr>
        <w:numPr>
          <w:ilvl w:val="0"/>
          <w:numId w:val="3"/>
        </w:numPr>
        <w:autoSpaceDE w:val="0"/>
        <w:autoSpaceDN w:val="0"/>
        <w:adjustRightInd w:val="0"/>
        <w:spacing w:before="0" w:after="0"/>
        <w:jc w:val="both"/>
        <w:rPr>
          <w:rFonts w:cs="Arial"/>
        </w:rPr>
      </w:pPr>
      <w:r w:rsidRPr="00D27A41">
        <w:rPr>
          <w:rFonts w:cs="Arial"/>
        </w:rPr>
        <w:t>Energi</w:t>
      </w:r>
      <w:r w:rsidR="0076307A" w:rsidRPr="00D27A41">
        <w:rPr>
          <w:rFonts w:cs="Arial"/>
        </w:rPr>
        <w:t>a tarbimine</w:t>
      </w:r>
      <w:r w:rsidR="00B559DE">
        <w:rPr>
          <w:rFonts w:cs="Arial"/>
        </w:rPr>
        <w:t xml:space="preserve">; </w:t>
      </w:r>
      <w:r w:rsidR="00B559DE" w:rsidRPr="00B559DE">
        <w:rPr>
          <w:rFonts w:cs="Arial"/>
          <w:color w:val="FF0000"/>
        </w:rPr>
        <w:t>energiatõhusus</w:t>
      </w:r>
    </w:p>
    <w:p w:rsidR="00EB2ABE" w:rsidRPr="00D27A41" w:rsidRDefault="00E356FC" w:rsidP="00AB1EED">
      <w:pPr>
        <w:numPr>
          <w:ilvl w:val="0"/>
          <w:numId w:val="3"/>
        </w:numPr>
        <w:autoSpaceDE w:val="0"/>
        <w:autoSpaceDN w:val="0"/>
        <w:adjustRightInd w:val="0"/>
        <w:spacing w:before="0" w:after="0"/>
        <w:jc w:val="both"/>
        <w:rPr>
          <w:rFonts w:cs="Arial"/>
        </w:rPr>
      </w:pPr>
      <w:r w:rsidRPr="00D27A41">
        <w:rPr>
          <w:rFonts w:cs="Arial"/>
        </w:rPr>
        <w:t>Vee tarbimine</w:t>
      </w:r>
    </w:p>
    <w:p w:rsidR="00EB2ABE" w:rsidRPr="00D27A41" w:rsidRDefault="00EB2ABE" w:rsidP="00AB1EED">
      <w:pPr>
        <w:autoSpaceDE w:val="0"/>
        <w:autoSpaceDN w:val="0"/>
        <w:adjustRightInd w:val="0"/>
        <w:spacing w:before="0" w:after="0"/>
        <w:ind w:left="360"/>
        <w:jc w:val="both"/>
        <w:rPr>
          <w:rFonts w:cs="Arial"/>
        </w:rPr>
      </w:pPr>
    </w:p>
    <w:p w:rsidR="00EB2ABE" w:rsidRPr="00D27A41" w:rsidRDefault="00EB2ABE" w:rsidP="00C33FA1">
      <w:pPr>
        <w:pStyle w:val="Loendilik"/>
        <w:numPr>
          <w:ilvl w:val="0"/>
          <w:numId w:val="38"/>
        </w:numPr>
        <w:autoSpaceDE w:val="0"/>
        <w:autoSpaceDN w:val="0"/>
        <w:adjustRightInd w:val="0"/>
        <w:spacing w:before="0" w:after="0"/>
        <w:jc w:val="both"/>
        <w:rPr>
          <w:rFonts w:cs="Arial"/>
          <w:b/>
        </w:rPr>
      </w:pPr>
      <w:r w:rsidRPr="00D27A41">
        <w:rPr>
          <w:rFonts w:cs="Arial"/>
          <w:b/>
        </w:rPr>
        <w:t xml:space="preserve">Transport </w:t>
      </w:r>
    </w:p>
    <w:p w:rsidR="0076307A" w:rsidRPr="00D27A41" w:rsidRDefault="0076307A" w:rsidP="00AB1EED">
      <w:pPr>
        <w:numPr>
          <w:ilvl w:val="0"/>
          <w:numId w:val="3"/>
        </w:numPr>
        <w:autoSpaceDE w:val="0"/>
        <w:autoSpaceDN w:val="0"/>
        <w:adjustRightInd w:val="0"/>
        <w:spacing w:before="0" w:after="0"/>
        <w:jc w:val="both"/>
        <w:rPr>
          <w:rFonts w:cs="Arial"/>
        </w:rPr>
      </w:pPr>
      <w:r w:rsidRPr="00D27A41">
        <w:rPr>
          <w:rFonts w:cs="Arial"/>
        </w:rPr>
        <w:t>T</w:t>
      </w:r>
      <w:r w:rsidR="00EB2ABE" w:rsidRPr="00D27A41">
        <w:rPr>
          <w:rFonts w:cs="Arial"/>
        </w:rPr>
        <w:t>ranspordi</w:t>
      </w:r>
      <w:r w:rsidR="00D07F52" w:rsidRPr="00D27A41">
        <w:rPr>
          <w:rFonts w:cs="Arial"/>
        </w:rPr>
        <w:t>juhtumid</w:t>
      </w:r>
    </w:p>
    <w:p w:rsidR="00EB2ABE" w:rsidRPr="00D27A41" w:rsidRDefault="0076307A" w:rsidP="00415657">
      <w:pPr>
        <w:autoSpaceDE w:val="0"/>
        <w:autoSpaceDN w:val="0"/>
        <w:adjustRightInd w:val="0"/>
        <w:spacing w:before="0" w:after="0"/>
        <w:jc w:val="both"/>
        <w:rPr>
          <w:rFonts w:cs="Arial"/>
        </w:rPr>
      </w:pPr>
      <w:r w:rsidRPr="00D27A41">
        <w:rPr>
          <w:rFonts w:cs="Arial"/>
        </w:rPr>
        <w:t xml:space="preserve"> </w:t>
      </w:r>
    </w:p>
    <w:p w:rsidR="00D27A41" w:rsidRDefault="00FA2A55">
      <w:pPr>
        <w:autoSpaceDE w:val="0"/>
        <w:autoSpaceDN w:val="0"/>
        <w:adjustRightInd w:val="0"/>
        <w:ind w:left="360"/>
        <w:jc w:val="both"/>
        <w:rPr>
          <w:rFonts w:cs="Arial"/>
          <w:color w:val="A6A6A6"/>
        </w:rPr>
      </w:pPr>
      <w:r w:rsidRPr="00D27A41">
        <w:rPr>
          <w:rFonts w:cs="Arial"/>
          <w:sz w:val="22"/>
        </w:rPr>
        <w:t>Märkus</w:t>
      </w:r>
      <w:r w:rsidR="00B559DE">
        <w:rPr>
          <w:rFonts w:cs="Arial"/>
          <w:sz w:val="22"/>
        </w:rPr>
        <w:t xml:space="preserve"> 1</w:t>
      </w:r>
      <w:r w:rsidRPr="00D27A41">
        <w:rPr>
          <w:rFonts w:cs="Arial"/>
          <w:sz w:val="22"/>
        </w:rPr>
        <w:t xml:space="preserve">: </w:t>
      </w:r>
      <w:r w:rsidRPr="00D27A41">
        <w:rPr>
          <w:rFonts w:cs="Arial"/>
          <w:color w:val="A6A6A6"/>
        </w:rPr>
        <w:t>* tähistatud näitajad on ICCA/CEFIC poolt nimetatud soovituslikeks mitte kohustuslikeks näitajateks</w:t>
      </w:r>
      <w:r w:rsidR="00B46C91">
        <w:rPr>
          <w:rFonts w:cs="Arial"/>
          <w:color w:val="A6A6A6"/>
        </w:rPr>
        <w:t>. EKTL kogub H&amp;V liikmesettevõtetelt kohustuslikke näitajaid ning * tähistatud soovituslik</w:t>
      </w:r>
      <w:r w:rsidR="00B559DE">
        <w:rPr>
          <w:rFonts w:cs="Arial"/>
          <w:color w:val="A6A6A6"/>
        </w:rPr>
        <w:t>k</w:t>
      </w:r>
      <w:r w:rsidR="00B46C91">
        <w:rPr>
          <w:rFonts w:cs="Arial"/>
          <w:color w:val="A6A6A6"/>
        </w:rPr>
        <w:t>e näitaj</w:t>
      </w:r>
      <w:r w:rsidR="00B559DE">
        <w:rPr>
          <w:rFonts w:cs="Arial"/>
          <w:color w:val="A6A6A6"/>
        </w:rPr>
        <w:t xml:space="preserve">aid ainult nendelt ettevõtetelt, kellel on paigas vastavad protseduurid kõnealuste näitajate üle arvestuse pidamiseks. Kui soovituslike näitajate osas on vastavad protseduurid paigas kõigil ettevõtetel, võib HVJK teha otsuse muuta soovituslik näitaja Liidu tasandil kohustuslikuks. </w:t>
      </w:r>
    </w:p>
    <w:p w:rsidR="00B559DE" w:rsidRDefault="00B559DE">
      <w:pPr>
        <w:autoSpaceDE w:val="0"/>
        <w:autoSpaceDN w:val="0"/>
        <w:adjustRightInd w:val="0"/>
        <w:ind w:left="360"/>
        <w:jc w:val="both"/>
        <w:rPr>
          <w:rFonts w:cs="Arial"/>
        </w:rPr>
      </w:pPr>
      <w:r w:rsidRPr="00B559DE">
        <w:rPr>
          <w:rFonts w:cs="Arial"/>
          <w:sz w:val="22"/>
        </w:rPr>
        <w:t xml:space="preserve">Märkus 2: </w:t>
      </w:r>
      <w:r w:rsidRPr="00D3425E">
        <w:rPr>
          <w:rFonts w:cs="Arial"/>
          <w:color w:val="FF0000"/>
        </w:rPr>
        <w:t>punase tekstivärviga on tähistatud üks põhinäitaja – energiatõhusus</w:t>
      </w:r>
      <w:r w:rsidRPr="00D3425E">
        <w:rPr>
          <w:rFonts w:cs="Arial"/>
        </w:rPr>
        <w:t>. Tegemist on ainukese ICCA/CEFIC mõistes kohustusliku näitajaga, mille kogumist EKTLi tasandil hetkel ei toimu, kuivõrd puudub selge, üheselt mõistetav ja kõigile liikmes-ettevõtetele aktsepteeritav mõiste</w:t>
      </w:r>
      <w:r w:rsidR="00D3425E" w:rsidRPr="00D3425E">
        <w:rPr>
          <w:rFonts w:cs="Arial"/>
        </w:rPr>
        <w:t>. Kõnealuse mõiste sisustamine on problemaatiline, kuivõrd sisaldab ühe komponendina toodangu mahtu või toodangu</w:t>
      </w:r>
      <w:r w:rsidR="002E62DB">
        <w:rPr>
          <w:rFonts w:cs="Arial"/>
        </w:rPr>
        <w:t xml:space="preserve"> mahu</w:t>
      </w:r>
      <w:r w:rsidR="00D3425E" w:rsidRPr="00D3425E">
        <w:rPr>
          <w:rFonts w:cs="Arial"/>
        </w:rPr>
        <w:t xml:space="preserve">indeksit, mis on aga olemuslikult äriliselt sensitiivne ja konfidentsiaalne teave. </w:t>
      </w:r>
    </w:p>
    <w:p w:rsidR="00D3425E" w:rsidRPr="00D3425E" w:rsidRDefault="00D3425E">
      <w:pPr>
        <w:autoSpaceDE w:val="0"/>
        <w:autoSpaceDN w:val="0"/>
        <w:adjustRightInd w:val="0"/>
        <w:ind w:left="360"/>
        <w:jc w:val="both"/>
        <w:rPr>
          <w:rFonts w:cs="Arial"/>
        </w:rPr>
      </w:pPr>
    </w:p>
    <w:p w:rsidR="00B7701B" w:rsidRPr="00CA76D0" w:rsidRDefault="00EB2ABE" w:rsidP="00AB1EED">
      <w:pPr>
        <w:pStyle w:val="Pealkiri2"/>
        <w:ind w:left="720"/>
      </w:pPr>
      <w:bookmarkStart w:id="8" w:name="_Toc341362242"/>
      <w:bookmarkStart w:id="9" w:name="_Toc358822427"/>
      <w:r w:rsidRPr="00CA76D0">
        <w:t>Aruandluse protsess</w:t>
      </w:r>
      <w:bookmarkEnd w:id="8"/>
      <w:bookmarkEnd w:id="9"/>
      <w:r w:rsidRPr="00CA76D0">
        <w:t xml:space="preserve"> </w:t>
      </w:r>
    </w:p>
    <w:p w:rsidR="00CA76D0" w:rsidRPr="00D27A41" w:rsidRDefault="00EB2ABE">
      <w:pPr>
        <w:autoSpaceDE w:val="0"/>
        <w:autoSpaceDN w:val="0"/>
        <w:adjustRightInd w:val="0"/>
        <w:jc w:val="both"/>
        <w:rPr>
          <w:rFonts w:cs="Arial"/>
        </w:rPr>
      </w:pPr>
      <w:r w:rsidRPr="00D27A41">
        <w:rPr>
          <w:rFonts w:cs="Arial"/>
        </w:rPr>
        <w:tab/>
      </w:r>
    </w:p>
    <w:p w:rsidR="00F928EA" w:rsidRPr="00D27A41" w:rsidRDefault="00D07F52">
      <w:pPr>
        <w:autoSpaceDE w:val="0"/>
        <w:autoSpaceDN w:val="0"/>
        <w:adjustRightInd w:val="0"/>
        <w:jc w:val="both"/>
        <w:rPr>
          <w:rFonts w:cs="Arial"/>
        </w:rPr>
      </w:pPr>
      <w:r w:rsidRPr="00D27A41">
        <w:rPr>
          <w:rFonts w:cs="Arial"/>
        </w:rPr>
        <w:t>Liikmesriikide</w:t>
      </w:r>
      <w:r w:rsidR="00EB2ABE" w:rsidRPr="00D27A41">
        <w:rPr>
          <w:rFonts w:cs="Arial"/>
        </w:rPr>
        <w:t xml:space="preserve"> </w:t>
      </w:r>
      <w:r w:rsidRPr="00D27A41">
        <w:rPr>
          <w:rFonts w:cs="Arial"/>
        </w:rPr>
        <w:t>keemiatööstuse liidud</w:t>
      </w:r>
      <w:r w:rsidR="00EB2ABE" w:rsidRPr="00D27A41">
        <w:rPr>
          <w:rFonts w:cs="Arial"/>
        </w:rPr>
        <w:t xml:space="preserve"> koguvad kokku andmed nende koondamiseks r</w:t>
      </w:r>
      <w:r w:rsidR="00C9076A" w:rsidRPr="00D27A41">
        <w:rPr>
          <w:rFonts w:cs="Arial"/>
        </w:rPr>
        <w:t>iigi</w:t>
      </w:r>
      <w:r w:rsidR="00EB2ABE" w:rsidRPr="00D27A41">
        <w:rPr>
          <w:rFonts w:cs="Arial"/>
        </w:rPr>
        <w:t xml:space="preserve"> tasandil ning </w:t>
      </w:r>
      <w:r w:rsidR="001A69F5" w:rsidRPr="00D27A41">
        <w:rPr>
          <w:rFonts w:cs="Arial"/>
        </w:rPr>
        <w:t>liitudelt eeldatakse iga</w:t>
      </w:r>
      <w:r w:rsidR="00FA2A55" w:rsidRPr="00D27A41">
        <w:rPr>
          <w:rFonts w:cs="Arial"/>
        </w:rPr>
        <w:t>-</w:t>
      </w:r>
      <w:r w:rsidR="001A69F5" w:rsidRPr="00D27A41">
        <w:rPr>
          <w:rFonts w:cs="Arial"/>
        </w:rPr>
        <w:t>aastast aruandmist käesolevas dokumendis väljatoodud tulemuslikkuse põhinäitajatest ICCA KPI-portaali vahendusel.</w:t>
      </w:r>
      <w:r w:rsidR="004E62DC" w:rsidRPr="00D27A41">
        <w:rPr>
          <w:rFonts w:cs="Arial"/>
        </w:rPr>
        <w:t xml:space="preserve"> </w:t>
      </w:r>
    </w:p>
    <w:p w:rsidR="00EB2ABE" w:rsidRPr="00D27A41" w:rsidRDefault="004E62DC">
      <w:pPr>
        <w:autoSpaceDE w:val="0"/>
        <w:autoSpaceDN w:val="0"/>
        <w:adjustRightInd w:val="0"/>
        <w:jc w:val="both"/>
        <w:rPr>
          <w:rFonts w:cs="Arial"/>
        </w:rPr>
      </w:pPr>
      <w:r w:rsidRPr="00D27A41">
        <w:rPr>
          <w:rFonts w:cs="Arial"/>
        </w:rPr>
        <w:t>Aruandluse tööri</w:t>
      </w:r>
      <w:r w:rsidR="00FA2A55" w:rsidRPr="00D27A41">
        <w:rPr>
          <w:rFonts w:cs="Arial"/>
        </w:rPr>
        <w:t>i</w:t>
      </w:r>
      <w:r w:rsidRPr="00D27A41">
        <w:rPr>
          <w:rFonts w:cs="Arial"/>
        </w:rPr>
        <w:t xml:space="preserve">sta kaudu esitatud andmeid ja teavet kasutatakse mitmetel erinevatel eesmärkidel. Esiteks vaatab selle iga-aastaselt üle ICCA RCLG (Responsible Care Leadership Group) hindamaks tulemuslikkust ning tuvastamaks parendamist vajavad valdkonnad. </w:t>
      </w:r>
      <w:r w:rsidR="006A5187" w:rsidRPr="00D27A41">
        <w:rPr>
          <w:rFonts w:cs="Arial"/>
        </w:rPr>
        <w:t>Teiseks esitatakse seda regulaarselt ICCA direktorite nõukogule ning juhtkomiteele, kes jälgivad edusamme Ülemaailmse Harta ja GPSi</w:t>
      </w:r>
      <w:r w:rsidR="00FA2A55" w:rsidRPr="00D27A41">
        <w:rPr>
          <w:rFonts w:cs="Arial"/>
        </w:rPr>
        <w:t xml:space="preserve"> (Globaalse Tootestrateegia)</w:t>
      </w:r>
      <w:r w:rsidR="006A5187" w:rsidRPr="00D27A41">
        <w:rPr>
          <w:rFonts w:cs="Arial"/>
        </w:rPr>
        <w:t xml:space="preserve"> eesmärkide kontekstis. Lisaks kasutab KPI-portaali informatsiooni CEFIC ning seda võidakse ka esitada tuleviku aruannete koostamisel s.h </w:t>
      </w:r>
      <w:r w:rsidR="00F928EA" w:rsidRPr="00D27A41">
        <w:rPr>
          <w:rFonts w:cs="Arial"/>
        </w:rPr>
        <w:t>RC staatuse aruanded, ÜRO-le suunatud aruanded rahvusvahelise kemikaalijuhtimise strateegilise lähenemise (SAICM) kohta.</w:t>
      </w:r>
    </w:p>
    <w:p w:rsidR="00EB2ABE" w:rsidRPr="00D27A41" w:rsidRDefault="00F928EA">
      <w:pPr>
        <w:autoSpaceDE w:val="0"/>
        <w:autoSpaceDN w:val="0"/>
        <w:adjustRightInd w:val="0"/>
        <w:jc w:val="both"/>
        <w:rPr>
          <w:rFonts w:cs="Arial"/>
        </w:rPr>
      </w:pPr>
      <w:r w:rsidRPr="00D27A41">
        <w:rPr>
          <w:rFonts w:cs="Arial"/>
        </w:rPr>
        <w:t xml:space="preserve">Võttes arvesse kõnealuste andmete märkimisväärset nähtavust, on äärmiselt oluline, et liidud ja nende liikmesettevõtted raporteerivad iga-aastaselt võimalikult täielikult ja täpselt. </w:t>
      </w:r>
    </w:p>
    <w:p w:rsidR="00B7701B" w:rsidRPr="00556AAF" w:rsidRDefault="00B7701B">
      <w:pPr>
        <w:autoSpaceDE w:val="0"/>
        <w:autoSpaceDN w:val="0"/>
        <w:adjustRightInd w:val="0"/>
        <w:jc w:val="both"/>
        <w:rPr>
          <w:rFonts w:ascii="Arial" w:hAnsi="Arial" w:cs="Arial"/>
        </w:rPr>
      </w:pPr>
    </w:p>
    <w:p w:rsidR="00EB2ABE" w:rsidRPr="00556AAF" w:rsidRDefault="00EB2ABE" w:rsidP="00AB1EED">
      <w:pPr>
        <w:pStyle w:val="Pealkiri2"/>
        <w:ind w:left="720"/>
      </w:pPr>
      <w:bookmarkStart w:id="10" w:name="_Toc341362243"/>
      <w:bookmarkStart w:id="11" w:name="_Toc358822428"/>
      <w:r w:rsidRPr="00556AAF">
        <w:lastRenderedPageBreak/>
        <w:t>Tulevik</w:t>
      </w:r>
      <w:bookmarkEnd w:id="10"/>
      <w:bookmarkEnd w:id="11"/>
    </w:p>
    <w:p w:rsidR="00B7701B" w:rsidRPr="00556AAF" w:rsidRDefault="00B7701B" w:rsidP="00B7701B"/>
    <w:p w:rsidR="001A69F5" w:rsidRPr="00D27A41" w:rsidRDefault="00EB2ABE">
      <w:pPr>
        <w:autoSpaceDE w:val="0"/>
        <w:autoSpaceDN w:val="0"/>
        <w:adjustRightInd w:val="0"/>
        <w:jc w:val="both"/>
        <w:rPr>
          <w:rFonts w:cs="Arial"/>
        </w:rPr>
      </w:pPr>
      <w:r w:rsidRPr="00D27A41">
        <w:rPr>
          <w:rFonts w:cs="Arial"/>
        </w:rPr>
        <w:t>Käesolevaid uuendatud</w:t>
      </w:r>
      <w:r w:rsidR="001A69F5" w:rsidRPr="00D27A41">
        <w:rPr>
          <w:rFonts w:cs="Arial"/>
        </w:rPr>
        <w:t xml:space="preserve"> suuniseid vaadatakse regulaarselt üle ning täiendatakse ja korrigeeritakse vastavalt vajadusele, kindlustamaks kooskõla ning sidusus ICCA ja CEFIC programmide nõuete ning seadusandlusest ja sotsiaal-majanduslikest arengutest tulenevate aspektidega. </w:t>
      </w:r>
      <w:r w:rsidRPr="00D27A41">
        <w:rPr>
          <w:rFonts w:cs="Arial"/>
        </w:rPr>
        <w:t xml:space="preserve"> </w:t>
      </w:r>
    </w:p>
    <w:p w:rsidR="001B78DA" w:rsidRPr="00D27A41" w:rsidRDefault="00EB2ABE" w:rsidP="0050254A">
      <w:pPr>
        <w:autoSpaceDE w:val="0"/>
        <w:autoSpaceDN w:val="0"/>
        <w:adjustRightInd w:val="0"/>
        <w:jc w:val="both"/>
        <w:rPr>
          <w:rFonts w:cs="Arial"/>
        </w:rPr>
      </w:pPr>
      <w:r w:rsidRPr="00D27A41">
        <w:rPr>
          <w:rFonts w:cs="Arial"/>
        </w:rPr>
        <w:t>Hoolime ja Vastutame on vä</w:t>
      </w:r>
      <w:r w:rsidR="00FA15CB" w:rsidRPr="00D27A41">
        <w:rPr>
          <w:rFonts w:cs="Arial"/>
        </w:rPr>
        <w:t>g</w:t>
      </w:r>
      <w:r w:rsidRPr="00D27A41">
        <w:rPr>
          <w:rFonts w:cs="Arial"/>
        </w:rPr>
        <w:t>a oluline vahend, mis võimaldab keemiatööstusel vast</w:t>
      </w:r>
      <w:r w:rsidR="00FA15CB" w:rsidRPr="00D27A41">
        <w:rPr>
          <w:rFonts w:cs="Arial"/>
        </w:rPr>
        <w:t>ata</w:t>
      </w:r>
      <w:r w:rsidRPr="00D27A41">
        <w:rPr>
          <w:rFonts w:cs="Arial"/>
        </w:rPr>
        <w:t xml:space="preserve"> jätkusuutliku arengu väljakutsete</w:t>
      </w:r>
      <w:r w:rsidR="00FA15CB" w:rsidRPr="00D27A41">
        <w:rPr>
          <w:rFonts w:cs="Arial"/>
        </w:rPr>
        <w:t>le</w:t>
      </w:r>
      <w:r w:rsidRPr="00D27A41">
        <w:rPr>
          <w:rFonts w:cs="Arial"/>
        </w:rPr>
        <w:t xml:space="preserve"> ning samuti ühineda sotsiaalse vastutuse</w:t>
      </w:r>
      <w:r w:rsidR="00C9076A" w:rsidRPr="00D27A41">
        <w:rPr>
          <w:rFonts w:cs="Arial"/>
        </w:rPr>
        <w:t xml:space="preserve"> programmide</w:t>
      </w:r>
      <w:r w:rsidRPr="00D27A41">
        <w:rPr>
          <w:rFonts w:cs="Arial"/>
        </w:rPr>
        <w:t>ga. Hooli</w:t>
      </w:r>
      <w:r w:rsidR="001B78DA" w:rsidRPr="00D27A41">
        <w:rPr>
          <w:rFonts w:cs="Arial"/>
        </w:rPr>
        <w:t>me ja Vastutame initsiatiivi eesmärgiks on</w:t>
      </w:r>
      <w:r w:rsidRPr="00D27A41">
        <w:rPr>
          <w:rFonts w:cs="Arial"/>
        </w:rPr>
        <w:t xml:space="preserve"> kindlustada osalej</w:t>
      </w:r>
      <w:r w:rsidR="001B78DA" w:rsidRPr="00D27A41">
        <w:rPr>
          <w:rFonts w:cs="Arial"/>
        </w:rPr>
        <w:t>ate suurem panus</w:t>
      </w:r>
      <w:r w:rsidR="004E62DC" w:rsidRPr="00D27A41">
        <w:rPr>
          <w:rFonts w:cs="Arial"/>
        </w:rPr>
        <w:t xml:space="preserve"> pideva parendamisprotsessi kaudu</w:t>
      </w:r>
      <w:r w:rsidR="001B78DA" w:rsidRPr="00D27A41">
        <w:rPr>
          <w:rFonts w:cs="Arial"/>
        </w:rPr>
        <w:t>, tegelemaks kest</w:t>
      </w:r>
      <w:r w:rsidRPr="00D27A41">
        <w:rPr>
          <w:rFonts w:cs="Arial"/>
        </w:rPr>
        <w:t xml:space="preserve">liku arengu küsimustega </w:t>
      </w:r>
      <w:r w:rsidR="004E62DC" w:rsidRPr="00D27A41">
        <w:rPr>
          <w:rFonts w:cs="Arial"/>
        </w:rPr>
        <w:t>üha</w:t>
      </w:r>
      <w:r w:rsidRPr="00D27A41">
        <w:rPr>
          <w:rFonts w:cs="Arial"/>
        </w:rPr>
        <w:t xml:space="preserve"> ulatuslikumalt.</w:t>
      </w:r>
    </w:p>
    <w:p w:rsidR="001B78DA" w:rsidRPr="00556AAF" w:rsidRDefault="001B78DA" w:rsidP="00AB1EED">
      <w:pPr>
        <w:pStyle w:val="Pealkiri1"/>
      </w:pPr>
      <w:r>
        <w:br w:type="page"/>
      </w:r>
      <w:bookmarkStart w:id="12" w:name="_Toc341362244"/>
      <w:bookmarkStart w:id="13" w:name="_Toc358822429"/>
      <w:r>
        <w:lastRenderedPageBreak/>
        <w:t>Põhinäitajate</w:t>
      </w:r>
      <w:r w:rsidRPr="00556AAF">
        <w:t xml:space="preserve"> definitsioon</w:t>
      </w:r>
      <w:r>
        <w:t>id</w:t>
      </w:r>
      <w:bookmarkEnd w:id="12"/>
      <w:bookmarkEnd w:id="13"/>
      <w:r w:rsidRPr="00556AAF">
        <w:t xml:space="preserve"> </w:t>
      </w:r>
    </w:p>
    <w:p w:rsidR="001B78DA" w:rsidRPr="00556AAF" w:rsidRDefault="001B78DA" w:rsidP="001B78DA">
      <w:pPr>
        <w:jc w:val="both"/>
      </w:pPr>
    </w:p>
    <w:p w:rsidR="001B78DA" w:rsidRPr="00606C0D" w:rsidRDefault="00606C0D" w:rsidP="00D6024D">
      <w:pPr>
        <w:pStyle w:val="Pealkiri2"/>
        <w:ind w:left="360"/>
      </w:pPr>
      <w:bookmarkStart w:id="14" w:name="_Toc341362245"/>
      <w:bookmarkStart w:id="15" w:name="_Toc358822430"/>
      <w:r w:rsidRPr="00606C0D">
        <w:t>Üldised selgitused</w:t>
      </w:r>
      <w:bookmarkEnd w:id="14"/>
      <w:bookmarkEnd w:id="15"/>
    </w:p>
    <w:p w:rsidR="001B78DA" w:rsidRPr="00556AAF" w:rsidRDefault="001B78DA" w:rsidP="00CE54CD">
      <w:pPr>
        <w:pStyle w:val="Normaallaadveeb"/>
        <w:numPr>
          <w:ilvl w:val="0"/>
          <w:numId w:val="17"/>
        </w:numPr>
        <w:jc w:val="both"/>
        <w:rPr>
          <w:lang w:val="et-EE"/>
        </w:rPr>
      </w:pPr>
      <w:r w:rsidRPr="00556AAF">
        <w:rPr>
          <w:rStyle w:val="Tugev"/>
          <w:rFonts w:ascii="Verdana" w:hAnsi="Verdana"/>
          <w:lang w:val="et-EE"/>
        </w:rPr>
        <w:t xml:space="preserve">Tööandja: </w:t>
      </w:r>
      <w:r w:rsidRPr="00556AAF">
        <w:rPr>
          <w:rStyle w:val="Tugev"/>
          <w:rFonts w:ascii="Verdana" w:hAnsi="Verdana"/>
          <w:b w:val="0"/>
          <w:bCs w:val="0"/>
          <w:lang w:val="et-EE"/>
        </w:rPr>
        <w:t>Mistahes juriidiline või füüsiline isik, kellel on töösuhted töövõtjaga ja kellel on vastutus viia sisse ja esitada aruandlust tööohutuse ja töötervishoiu näitajate kohta.</w:t>
      </w:r>
    </w:p>
    <w:p w:rsidR="00871DE4" w:rsidRPr="00871DE4" w:rsidRDefault="001B78DA" w:rsidP="00CE54CD">
      <w:pPr>
        <w:pStyle w:val="Normaallaadveeb"/>
        <w:numPr>
          <w:ilvl w:val="0"/>
          <w:numId w:val="18"/>
        </w:numPr>
        <w:spacing w:after="240" w:afterAutospacing="0"/>
        <w:ind w:left="714" w:hanging="357"/>
        <w:jc w:val="both"/>
        <w:rPr>
          <w:rStyle w:val="Tugev"/>
          <w:b w:val="0"/>
          <w:bCs w:val="0"/>
          <w:lang w:val="et-EE"/>
        </w:rPr>
      </w:pPr>
      <w:r w:rsidRPr="00556AAF">
        <w:rPr>
          <w:rStyle w:val="Tugev"/>
          <w:rFonts w:ascii="Verdana" w:hAnsi="Verdana"/>
          <w:lang w:val="et-EE"/>
        </w:rPr>
        <w:t>Töövõtja:</w:t>
      </w:r>
      <w:r w:rsidRPr="00556AAF">
        <w:rPr>
          <w:rFonts w:ascii="Verdana" w:hAnsi="Verdana"/>
          <w:lang w:val="et-EE"/>
        </w:rPr>
        <w:t xml:space="preserve"> Mistahes isik, kes on tööle võetud tööandja poolt. Siia kuuluvad ka praktikandid ja teised väljaõpet saavad töötajad.</w:t>
      </w:r>
    </w:p>
    <w:p w:rsidR="001B78DA" w:rsidRPr="00556AAF" w:rsidRDefault="00871DE4" w:rsidP="00CE54CD">
      <w:pPr>
        <w:pStyle w:val="Normaallaadveeb"/>
        <w:numPr>
          <w:ilvl w:val="0"/>
          <w:numId w:val="18"/>
        </w:numPr>
        <w:jc w:val="both"/>
        <w:rPr>
          <w:lang w:val="et-EE"/>
        </w:rPr>
      </w:pPr>
      <w:r w:rsidRPr="00735AC6">
        <w:rPr>
          <w:rStyle w:val="Tugev"/>
          <w:rFonts w:ascii="Verdana" w:hAnsi="Verdana"/>
          <w:color w:val="A6A6A6"/>
          <w:lang w:val="et-EE"/>
        </w:rPr>
        <w:t>Alltöövõtja</w:t>
      </w:r>
      <w:r w:rsidR="00931DBC">
        <w:rPr>
          <w:rStyle w:val="Tugev"/>
          <w:rFonts w:ascii="Verdana" w:hAnsi="Verdana"/>
          <w:color w:val="A6A6A6"/>
          <w:lang w:val="et-EE"/>
        </w:rPr>
        <w:t>*</w:t>
      </w:r>
      <w:r w:rsidR="001B78DA" w:rsidRPr="00735AC6">
        <w:rPr>
          <w:rStyle w:val="Tugev"/>
          <w:rFonts w:ascii="Verdana" w:hAnsi="Verdana"/>
          <w:color w:val="A6A6A6"/>
          <w:lang w:val="et-EE"/>
        </w:rPr>
        <w:t xml:space="preserve">: </w:t>
      </w:r>
      <w:r w:rsidR="001B78DA" w:rsidRPr="00735AC6">
        <w:rPr>
          <w:rStyle w:val="Tugev"/>
          <w:rFonts w:ascii="Verdana" w:hAnsi="Verdana"/>
          <w:b w:val="0"/>
          <w:bCs w:val="0"/>
          <w:color w:val="A6A6A6"/>
          <w:lang w:val="et-EE"/>
        </w:rPr>
        <w:t>Mistahes inimene, kes ei ole antud ettevõtte töötaja, kuid kes osutab e</w:t>
      </w:r>
      <w:r w:rsidR="00C80452" w:rsidRPr="00735AC6">
        <w:rPr>
          <w:rStyle w:val="Tugev"/>
          <w:rFonts w:ascii="Verdana" w:hAnsi="Verdana"/>
          <w:b w:val="0"/>
          <w:bCs w:val="0"/>
          <w:color w:val="A6A6A6"/>
          <w:lang w:val="et-EE"/>
        </w:rPr>
        <w:t>ttevõttele teenuseid selle valdus</w:t>
      </w:r>
      <w:r w:rsidR="001B78DA" w:rsidRPr="00735AC6">
        <w:rPr>
          <w:rStyle w:val="Tugev"/>
          <w:rFonts w:ascii="Verdana" w:hAnsi="Verdana"/>
          <w:b w:val="0"/>
          <w:bCs w:val="0"/>
          <w:color w:val="A6A6A6"/>
          <w:lang w:val="et-EE"/>
        </w:rPr>
        <w:t>des (omanduses olev vara</w:t>
      </w:r>
      <w:r w:rsidR="00C80452" w:rsidRPr="00735AC6">
        <w:rPr>
          <w:rStyle w:val="Tugev"/>
          <w:rFonts w:ascii="Verdana" w:hAnsi="Verdana"/>
          <w:b w:val="0"/>
          <w:bCs w:val="0"/>
          <w:color w:val="A6A6A6"/>
          <w:lang w:val="et-EE"/>
        </w:rPr>
        <w:t xml:space="preserve"> – omanduses olev, vahetult halla</w:t>
      </w:r>
      <w:r w:rsidR="001B78DA" w:rsidRPr="00735AC6">
        <w:rPr>
          <w:rStyle w:val="Tugev"/>
          <w:rFonts w:ascii="Verdana" w:hAnsi="Verdana"/>
          <w:b w:val="0"/>
          <w:bCs w:val="0"/>
          <w:color w:val="A6A6A6"/>
          <w:lang w:val="et-EE"/>
        </w:rPr>
        <w:t>tav või täisajaga renditav transport – liisitud</w:t>
      </w:r>
      <w:r w:rsidR="00C80452" w:rsidRPr="00735AC6">
        <w:rPr>
          <w:rStyle w:val="Tugev"/>
          <w:rFonts w:ascii="Verdana" w:hAnsi="Verdana"/>
          <w:b w:val="0"/>
          <w:bCs w:val="0"/>
          <w:color w:val="A6A6A6"/>
          <w:lang w:val="et-EE"/>
        </w:rPr>
        <w:t xml:space="preserve"> vara või ettevõtte poolt tagatud ligipääsuõigusega </w:t>
      </w:r>
      <w:r w:rsidR="001B78DA" w:rsidRPr="00735AC6">
        <w:rPr>
          <w:rStyle w:val="Tugev"/>
          <w:rFonts w:ascii="Verdana" w:hAnsi="Verdana"/>
          <w:b w:val="0"/>
          <w:bCs w:val="0"/>
          <w:color w:val="A6A6A6"/>
          <w:lang w:val="et-EE"/>
        </w:rPr>
        <w:t>vara</w:t>
      </w:r>
      <w:r w:rsidR="001B78DA" w:rsidRPr="00735AC6">
        <w:rPr>
          <w:rFonts w:ascii="Verdana" w:hAnsi="Verdana"/>
          <w:bCs/>
          <w:color w:val="A6A6A6"/>
          <w:lang w:val="et-EE"/>
        </w:rPr>
        <w:t>).</w:t>
      </w:r>
    </w:p>
    <w:p w:rsidR="001B78DA" w:rsidRPr="00C80452" w:rsidRDefault="001B78DA" w:rsidP="00CE54CD">
      <w:pPr>
        <w:pStyle w:val="Normaallaadveeb"/>
        <w:numPr>
          <w:ilvl w:val="0"/>
          <w:numId w:val="19"/>
        </w:numPr>
        <w:spacing w:after="240" w:afterAutospacing="0"/>
        <w:ind w:left="714" w:hanging="357"/>
        <w:jc w:val="both"/>
        <w:rPr>
          <w:rStyle w:val="Tugev"/>
          <w:b w:val="0"/>
          <w:bCs w:val="0"/>
          <w:lang w:val="et-EE"/>
        </w:rPr>
      </w:pPr>
      <w:r w:rsidRPr="00556AAF">
        <w:rPr>
          <w:rStyle w:val="Tugev"/>
          <w:rFonts w:ascii="Verdana" w:hAnsi="Verdana"/>
          <w:lang w:val="et-EE"/>
        </w:rPr>
        <w:t xml:space="preserve">Töö: </w:t>
      </w:r>
      <w:r w:rsidR="00C80452">
        <w:rPr>
          <w:rStyle w:val="Tugev"/>
          <w:rFonts w:ascii="Verdana" w:hAnsi="Verdana"/>
          <w:b w:val="0"/>
          <w:bCs w:val="0"/>
          <w:lang w:val="et-EE"/>
        </w:rPr>
        <w:t>Tööandja valdus</w:t>
      </w:r>
      <w:r w:rsidRPr="00556AAF">
        <w:rPr>
          <w:rStyle w:val="Tugev"/>
          <w:rFonts w:ascii="Verdana" w:hAnsi="Verdana"/>
          <w:b w:val="0"/>
          <w:bCs w:val="0"/>
          <w:lang w:val="et-EE"/>
        </w:rPr>
        <w:t>des või teistel territooriumidel teostatav tööga seotud tegevus või kus töötajad viibivad vastavuses oma töövõtu tingimustega. Samuti puudutab see kõiki materjale ja vahendeid, mida töövõtja kasutab töö tegemise ajal. Lähetusi arvestatakse kui töö tegemist, kuid kodust tööle minek ja töölt kojuminek töö tegemise hulka ei kuulu.</w:t>
      </w:r>
    </w:p>
    <w:p w:rsidR="00C80452" w:rsidRPr="007D402B" w:rsidRDefault="00C80452" w:rsidP="00CE54CD">
      <w:pPr>
        <w:pStyle w:val="Normaallaadveeb"/>
        <w:numPr>
          <w:ilvl w:val="0"/>
          <w:numId w:val="19"/>
        </w:numPr>
        <w:jc w:val="both"/>
        <w:rPr>
          <w:rStyle w:val="Tugev"/>
          <w:rFonts w:ascii="Verdana" w:hAnsi="Verdana"/>
          <w:b w:val="0"/>
          <w:bCs w:val="0"/>
          <w:lang w:val="et-EE"/>
        </w:rPr>
      </w:pPr>
      <w:r>
        <w:rPr>
          <w:rStyle w:val="Tugev"/>
          <w:rFonts w:ascii="Verdana" w:hAnsi="Verdana"/>
          <w:lang w:val="et-EE"/>
        </w:rPr>
        <w:t>Kokkupuude:</w:t>
      </w:r>
      <w:r>
        <w:rPr>
          <w:rStyle w:val="Tugev"/>
          <w:b w:val="0"/>
          <w:bCs w:val="0"/>
          <w:lang w:val="et-EE"/>
        </w:rPr>
        <w:t xml:space="preserve"> </w:t>
      </w:r>
      <w:r w:rsidRPr="007D402B">
        <w:rPr>
          <w:rStyle w:val="Tugev"/>
          <w:rFonts w:ascii="Verdana" w:hAnsi="Verdana"/>
          <w:b w:val="0"/>
          <w:bCs w:val="0"/>
          <w:lang w:val="et-EE"/>
        </w:rPr>
        <w:t>kokkupuude on tea</w:t>
      </w:r>
      <w:r w:rsidR="00143055" w:rsidRPr="007D402B">
        <w:rPr>
          <w:rStyle w:val="Tugev"/>
          <w:rFonts w:ascii="Verdana" w:hAnsi="Verdana"/>
          <w:b w:val="0"/>
          <w:bCs w:val="0"/>
          <w:lang w:val="et-EE"/>
        </w:rPr>
        <w:t>tud aine kontsentratsioon või kogus, mis jõuab sihtorganismi, süsteemi või (ala)populatsioonini</w:t>
      </w:r>
      <w:r w:rsidRPr="007D402B">
        <w:rPr>
          <w:rStyle w:val="Tugev"/>
          <w:rFonts w:ascii="Verdana" w:hAnsi="Verdana"/>
          <w:b w:val="0"/>
          <w:bCs w:val="0"/>
          <w:lang w:val="et-EE"/>
        </w:rPr>
        <w:t xml:space="preserve"> </w:t>
      </w:r>
      <w:r w:rsidR="00143055" w:rsidRPr="007D402B">
        <w:rPr>
          <w:rStyle w:val="Tugev"/>
          <w:rFonts w:ascii="Verdana" w:hAnsi="Verdana"/>
          <w:b w:val="0"/>
          <w:bCs w:val="0"/>
          <w:lang w:val="et-EE"/>
        </w:rPr>
        <w:t>kindla</w:t>
      </w:r>
      <w:r w:rsidRPr="007D402B">
        <w:rPr>
          <w:rStyle w:val="Tugev"/>
          <w:rFonts w:ascii="Verdana" w:hAnsi="Verdana"/>
          <w:b w:val="0"/>
          <w:bCs w:val="0"/>
          <w:lang w:val="et-EE"/>
        </w:rPr>
        <w:t xml:space="preserve"> sageduse ja piiritletud kestvusega.</w:t>
      </w:r>
    </w:p>
    <w:p w:rsidR="000977F9" w:rsidRPr="00A03D31" w:rsidRDefault="00A03D31" w:rsidP="0050254A">
      <w:pPr>
        <w:pStyle w:val="Pealkiri2"/>
        <w:numPr>
          <w:ilvl w:val="0"/>
          <w:numId w:val="39"/>
        </w:numPr>
      </w:pPr>
      <w:bookmarkStart w:id="16" w:name="_Toc341362246"/>
      <w:bookmarkStart w:id="17" w:name="_Toc358822431"/>
      <w:r>
        <w:t>Referentsandmed</w:t>
      </w:r>
      <w:bookmarkEnd w:id="16"/>
      <w:bookmarkEnd w:id="17"/>
      <w:r w:rsidR="000977F9" w:rsidRPr="00A03D31">
        <w:t xml:space="preserve"> </w:t>
      </w:r>
    </w:p>
    <w:p w:rsidR="009A2C39" w:rsidRPr="007D402B" w:rsidRDefault="009A2C39" w:rsidP="009A2C39">
      <w:pPr>
        <w:pStyle w:val="Normaallaadveeb"/>
        <w:spacing w:after="240" w:afterAutospacing="0"/>
        <w:jc w:val="both"/>
        <w:rPr>
          <w:rStyle w:val="Tugev"/>
          <w:rFonts w:ascii="Verdana" w:hAnsi="Verdana"/>
          <w:b w:val="0"/>
          <w:bCs w:val="0"/>
          <w:lang w:val="et-EE"/>
        </w:rPr>
      </w:pPr>
      <w:r w:rsidRPr="007D402B">
        <w:rPr>
          <w:rStyle w:val="Tugev"/>
          <w:rFonts w:ascii="Verdana" w:hAnsi="Verdana"/>
          <w:b w:val="0"/>
          <w:bCs w:val="0"/>
          <w:lang w:val="et-EE"/>
        </w:rPr>
        <w:t>Andmeid kogutakse suure hulga andmetekogu saamiseks ja selleks, et leida kõikvõimalikke suhteid põhinäitajate, töötajate arvu</w:t>
      </w:r>
      <w:r w:rsidR="001A5674">
        <w:rPr>
          <w:rStyle w:val="Tugev"/>
          <w:rFonts w:ascii="Verdana" w:hAnsi="Verdana"/>
          <w:b w:val="0"/>
          <w:bCs w:val="0"/>
          <w:lang w:val="et-EE"/>
        </w:rPr>
        <w:t xml:space="preserve"> ja muude referentsandmete </w:t>
      </w:r>
      <w:r w:rsidRPr="007D402B">
        <w:rPr>
          <w:rStyle w:val="Tugev"/>
          <w:rFonts w:ascii="Verdana" w:hAnsi="Verdana"/>
          <w:b w:val="0"/>
          <w:bCs w:val="0"/>
          <w:lang w:val="et-EE"/>
        </w:rPr>
        <w:t>vahel.</w:t>
      </w:r>
    </w:p>
    <w:p w:rsidR="000977F9" w:rsidRPr="00FB401F" w:rsidRDefault="00931DBC" w:rsidP="00AB5751">
      <w:pPr>
        <w:pStyle w:val="Normaallaadveeb"/>
        <w:jc w:val="both"/>
        <w:rPr>
          <w:rFonts w:ascii="Verdana" w:hAnsi="Verdana"/>
          <w:lang w:val="et-EE"/>
        </w:rPr>
      </w:pPr>
      <w:r>
        <w:rPr>
          <w:rFonts w:ascii="Verdana" w:hAnsi="Verdana"/>
          <w:u w:val="single"/>
          <w:lang w:val="et-EE"/>
        </w:rPr>
        <w:t xml:space="preserve">1.1 </w:t>
      </w:r>
      <w:r w:rsidR="003B6CE8">
        <w:rPr>
          <w:rFonts w:ascii="Verdana" w:hAnsi="Verdana"/>
          <w:u w:val="single"/>
          <w:lang w:val="et-EE"/>
        </w:rPr>
        <w:t>Töötajate arv</w:t>
      </w:r>
      <w:r w:rsidR="00764DD7">
        <w:rPr>
          <w:rFonts w:ascii="Verdana" w:hAnsi="Verdana"/>
          <w:u w:val="single"/>
          <w:lang w:val="et-EE"/>
        </w:rPr>
        <w:t xml:space="preserve">: </w:t>
      </w:r>
      <w:r w:rsidR="00FB401F">
        <w:rPr>
          <w:rFonts w:ascii="Verdana" w:hAnsi="Verdana"/>
          <w:lang w:val="et-EE"/>
        </w:rPr>
        <w:t xml:space="preserve">töötajate arvu osas tuleb anda vaid see osa töötajate arvust, kes otseselt töötavad selle ettevõtte või korporatsiooni allüksuses või tütarettevõttes, mis on otseselt EKTLi H&amp;V programmi liige. Kui näiteks EKTLi ja H&amp;V programmiga on korporatsiooni puhul liitunud vaid üks tütarettevõtetest, siis kõiki tulemuslikkuse põhinäitajaid ning samuti referentsandmeid s.h töötajate arvu tuleb anda vaid selle tütarettevõtte kohta.  </w:t>
      </w:r>
    </w:p>
    <w:p w:rsidR="003B6CE8" w:rsidRPr="00A03D31" w:rsidRDefault="00931DBC" w:rsidP="00AB5751">
      <w:pPr>
        <w:pStyle w:val="Normaallaadveeb"/>
        <w:jc w:val="both"/>
        <w:rPr>
          <w:rFonts w:ascii="Verdana" w:hAnsi="Verdana"/>
          <w:lang w:val="et-EE"/>
        </w:rPr>
      </w:pPr>
      <w:r>
        <w:rPr>
          <w:rFonts w:ascii="Verdana" w:hAnsi="Verdana"/>
          <w:u w:val="single"/>
          <w:lang w:val="et-EE"/>
        </w:rPr>
        <w:t xml:space="preserve">1.2 </w:t>
      </w:r>
      <w:r w:rsidR="003B6CE8">
        <w:rPr>
          <w:rFonts w:ascii="Verdana" w:hAnsi="Verdana"/>
          <w:u w:val="single"/>
          <w:lang w:val="et-EE"/>
        </w:rPr>
        <w:t>Töötajate töötundide arv:</w:t>
      </w:r>
      <w:r w:rsidR="003B6CE8" w:rsidRPr="00A03D31">
        <w:rPr>
          <w:rFonts w:ascii="Verdana" w:hAnsi="Verdana"/>
          <w:lang w:val="et-EE"/>
        </w:rPr>
        <w:t xml:space="preserve"> ettevõtte töövõtjate poolt aasta jooksul töötatud tundide koguarv</w:t>
      </w:r>
      <w:r>
        <w:rPr>
          <w:rFonts w:ascii="Verdana" w:hAnsi="Verdana"/>
          <w:lang w:val="et-EE"/>
        </w:rPr>
        <w:t>.</w:t>
      </w:r>
    </w:p>
    <w:p w:rsidR="003B6CE8" w:rsidRDefault="00931DBC" w:rsidP="00AB5751">
      <w:pPr>
        <w:pStyle w:val="Normaallaadveeb"/>
        <w:jc w:val="both"/>
        <w:rPr>
          <w:rFonts w:ascii="Verdana" w:hAnsi="Verdana"/>
          <w:lang w:val="et-EE"/>
        </w:rPr>
      </w:pPr>
      <w:r>
        <w:rPr>
          <w:rFonts w:ascii="Verdana" w:hAnsi="Verdana"/>
          <w:u w:val="single"/>
          <w:lang w:val="et-EE"/>
        </w:rPr>
        <w:t xml:space="preserve">1.3 </w:t>
      </w:r>
      <w:r w:rsidR="003B6CE8">
        <w:rPr>
          <w:rFonts w:ascii="Verdana" w:hAnsi="Verdana"/>
          <w:u w:val="single"/>
          <w:lang w:val="et-EE"/>
        </w:rPr>
        <w:t>Müügitulu:</w:t>
      </w:r>
      <w:r w:rsidR="002B1B50" w:rsidRPr="002B1B50">
        <w:t xml:space="preserve"> </w:t>
      </w:r>
      <w:r w:rsidR="002B1B50" w:rsidRPr="002B1B50">
        <w:rPr>
          <w:rFonts w:ascii="Verdana" w:hAnsi="Verdana"/>
          <w:lang w:val="et-EE"/>
        </w:rPr>
        <w:t>toodete</w:t>
      </w:r>
      <w:r w:rsidR="002B1B50">
        <w:rPr>
          <w:rFonts w:ascii="Verdana" w:hAnsi="Verdana"/>
          <w:lang w:val="et-EE"/>
        </w:rPr>
        <w:t>, teenuste</w:t>
      </w:r>
      <w:r w:rsidR="002B1B50" w:rsidRPr="002B1B50">
        <w:rPr>
          <w:rFonts w:ascii="Verdana" w:hAnsi="Verdana"/>
          <w:lang w:val="et-EE"/>
        </w:rPr>
        <w:t xml:space="preserve"> ja kaupade müügist saadud või saadaolev müügitulu, mis ei </w:t>
      </w:r>
      <w:r w:rsidR="002B1B50">
        <w:rPr>
          <w:rFonts w:ascii="Verdana" w:hAnsi="Verdana"/>
          <w:lang w:val="et-EE"/>
        </w:rPr>
        <w:t>sisalda käibemaksu ega aktsiise (€)</w:t>
      </w:r>
      <w:r w:rsidR="00FB401F">
        <w:rPr>
          <w:rFonts w:ascii="Verdana" w:hAnsi="Verdana"/>
          <w:lang w:val="et-EE"/>
        </w:rPr>
        <w:t xml:space="preserve">. Tuleb anda vaid see osa müügitulust, mille alusel on määratletud ettevõtte EKTLi </w:t>
      </w:r>
      <w:r>
        <w:rPr>
          <w:rFonts w:ascii="Verdana" w:hAnsi="Verdana"/>
          <w:lang w:val="et-EE"/>
        </w:rPr>
        <w:t xml:space="preserve">H&amp;V programmi </w:t>
      </w:r>
      <w:r w:rsidR="00FB401F">
        <w:rPr>
          <w:rFonts w:ascii="Verdana" w:hAnsi="Verdana"/>
          <w:lang w:val="et-EE"/>
        </w:rPr>
        <w:t>liikmelisus</w:t>
      </w:r>
      <w:r w:rsidR="00651328">
        <w:rPr>
          <w:rFonts w:ascii="Verdana" w:hAnsi="Verdana"/>
          <w:lang w:val="et-EE"/>
        </w:rPr>
        <w:t>.</w:t>
      </w:r>
      <w:r w:rsidR="00FB401F">
        <w:rPr>
          <w:rFonts w:ascii="Verdana" w:hAnsi="Verdana"/>
          <w:lang w:val="et-EE"/>
        </w:rPr>
        <w:t xml:space="preserve"> </w:t>
      </w:r>
    </w:p>
    <w:p w:rsidR="001A5674" w:rsidRDefault="00931DBC" w:rsidP="00AB5751">
      <w:pPr>
        <w:pStyle w:val="Normaallaadveeb"/>
        <w:jc w:val="both"/>
        <w:rPr>
          <w:rFonts w:ascii="Verdana" w:hAnsi="Verdana"/>
          <w:lang w:val="et-EE"/>
        </w:rPr>
      </w:pPr>
      <w:r>
        <w:rPr>
          <w:rFonts w:ascii="Verdana" w:hAnsi="Verdana"/>
          <w:u w:val="single"/>
          <w:lang w:val="et-EE"/>
        </w:rPr>
        <w:t xml:space="preserve">1.4 </w:t>
      </w:r>
      <w:r w:rsidR="009A2C39">
        <w:rPr>
          <w:rFonts w:ascii="Verdana" w:hAnsi="Verdana"/>
          <w:u w:val="single"/>
          <w:lang w:val="et-EE"/>
        </w:rPr>
        <w:t>K</w:t>
      </w:r>
      <w:r w:rsidR="001A5674">
        <w:rPr>
          <w:rFonts w:ascii="Verdana" w:hAnsi="Verdana"/>
          <w:u w:val="single"/>
          <w:lang w:val="et-EE"/>
        </w:rPr>
        <w:t>eskkonnakaitseinvesteeringud</w:t>
      </w:r>
      <w:r w:rsidR="009A2C39" w:rsidRPr="009A2C39">
        <w:rPr>
          <w:rFonts w:ascii="Verdana" w:hAnsi="Verdana"/>
          <w:lang w:val="et-EE"/>
        </w:rPr>
        <w:t xml:space="preserve">: </w:t>
      </w:r>
      <w:r w:rsidR="005C2660">
        <w:rPr>
          <w:rFonts w:ascii="Verdana" w:hAnsi="Verdana"/>
          <w:lang w:val="et-EE"/>
        </w:rPr>
        <w:t xml:space="preserve">näitajat väljendatakse kui </w:t>
      </w:r>
      <w:r w:rsidR="009A2C39" w:rsidRPr="009A2C39">
        <w:rPr>
          <w:rFonts w:ascii="Verdana" w:hAnsi="Verdana"/>
          <w:lang w:val="et-EE"/>
        </w:rPr>
        <w:t>kogusumma</w:t>
      </w:r>
      <w:r w:rsidR="001A5674">
        <w:rPr>
          <w:rFonts w:ascii="Verdana" w:hAnsi="Verdana"/>
          <w:lang w:val="et-EE"/>
        </w:rPr>
        <w:t>t</w:t>
      </w:r>
      <w:r w:rsidR="009A2C39" w:rsidRPr="009A2C39">
        <w:rPr>
          <w:rFonts w:ascii="Verdana" w:hAnsi="Verdana"/>
          <w:lang w:val="et-EE"/>
        </w:rPr>
        <w:t xml:space="preserve"> </w:t>
      </w:r>
      <w:r w:rsidR="00651328" w:rsidRPr="005C2660">
        <w:rPr>
          <w:rFonts w:ascii="Verdana" w:hAnsi="Verdana"/>
          <w:b/>
          <w:lang w:val="et-EE"/>
        </w:rPr>
        <w:t>(€)</w:t>
      </w:r>
      <w:r w:rsidR="005C2660" w:rsidRPr="005C2660">
        <w:rPr>
          <w:rFonts w:ascii="Verdana" w:hAnsi="Verdana"/>
          <w:b/>
          <w:lang w:val="et-EE"/>
        </w:rPr>
        <w:t>/aastas</w:t>
      </w:r>
      <w:r w:rsidR="009A2C39" w:rsidRPr="009A2C39">
        <w:rPr>
          <w:rFonts w:ascii="Verdana" w:hAnsi="Verdana"/>
          <w:lang w:val="et-EE"/>
        </w:rPr>
        <w:t>.</w:t>
      </w:r>
    </w:p>
    <w:p w:rsidR="00914855" w:rsidRDefault="001A5674" w:rsidP="00914855">
      <w:pPr>
        <w:pStyle w:val="Normaallaadveeb"/>
        <w:jc w:val="both"/>
        <w:rPr>
          <w:rFonts w:ascii="Verdana" w:hAnsi="Verdana"/>
          <w:lang w:val="et-EE"/>
        </w:rPr>
      </w:pPr>
      <w:r w:rsidRPr="00A37871">
        <w:rPr>
          <w:rFonts w:ascii="Verdana" w:hAnsi="Verdana"/>
          <w:lang w:val="et-EE"/>
        </w:rPr>
        <w:lastRenderedPageBreak/>
        <w:t xml:space="preserve">Keskkonnakaitseinvesteering </w:t>
      </w:r>
      <w:r>
        <w:rPr>
          <w:rFonts w:ascii="Verdana" w:hAnsi="Verdana"/>
          <w:lang w:val="et-EE"/>
        </w:rPr>
        <w:t>on</w:t>
      </w:r>
      <w:r>
        <w:rPr>
          <w:rFonts w:ascii="Verdana" w:hAnsi="Verdana"/>
          <w:lang w:val="et-EE"/>
        </w:rPr>
        <w:tab/>
        <w:t>i</w:t>
      </w:r>
      <w:r w:rsidRPr="00A37871">
        <w:rPr>
          <w:rFonts w:ascii="Verdana" w:hAnsi="Verdana"/>
          <w:lang w:val="et-EE"/>
        </w:rPr>
        <w:t>nvesteering, mille eesmärk on hoida ära keskkonnasaastet või seda vähendada.</w:t>
      </w:r>
      <w:r>
        <w:rPr>
          <w:rFonts w:ascii="Verdana" w:hAnsi="Verdana"/>
          <w:lang w:val="et-EE"/>
        </w:rPr>
        <w:t xml:space="preserve"> </w:t>
      </w:r>
      <w:r w:rsidR="00914855" w:rsidRPr="001E4B78">
        <w:rPr>
          <w:rFonts w:ascii="Verdana" w:hAnsi="Verdana"/>
          <w:lang w:val="et-EE"/>
        </w:rPr>
        <w:t>Investeering on kasu saamise eesmärgil tehtud pikaajaline kapitalimahutus</w:t>
      </w:r>
      <w:r w:rsidR="00914855">
        <w:rPr>
          <w:rFonts w:ascii="Verdana" w:hAnsi="Verdana"/>
          <w:lang w:val="et-EE"/>
        </w:rPr>
        <w:t xml:space="preserve">. </w:t>
      </w:r>
      <w:r w:rsidR="00914855" w:rsidRPr="001E4B78">
        <w:rPr>
          <w:rFonts w:ascii="Verdana" w:hAnsi="Verdana"/>
          <w:lang w:val="et-EE"/>
        </w:rPr>
        <w:t>Kapital on väärtus või omand, mida saab kasutada lisaväärtuste loomiseks. Kapitaliks võib olla raha, kinnisvara, oskusteave, seadmed jne.</w:t>
      </w:r>
    </w:p>
    <w:p w:rsidR="001A5674" w:rsidRDefault="00914855" w:rsidP="00AB5751">
      <w:pPr>
        <w:pStyle w:val="Normaallaadveeb"/>
        <w:jc w:val="both"/>
        <w:rPr>
          <w:rFonts w:ascii="Verdana" w:hAnsi="Verdana"/>
          <w:lang w:val="et-EE"/>
        </w:rPr>
      </w:pPr>
      <w:r>
        <w:rPr>
          <w:rFonts w:ascii="Verdana" w:hAnsi="Verdana"/>
          <w:lang w:val="et-EE"/>
        </w:rPr>
        <w:t xml:space="preserve">Kui ettevõtte poolt tehtud investeering teenib samaaegselt mitmeid erinevaid eesmärke, siis tuleb kõnealuse näitaja raames anda aru vaid sellisest investeeringu hinnangulisest osast, mis on seotud keskkonnakaitse eesmärkidega. </w:t>
      </w:r>
    </w:p>
    <w:p w:rsidR="003B6CE8" w:rsidRPr="00735AC6" w:rsidRDefault="001A5674" w:rsidP="00AB5751">
      <w:pPr>
        <w:pStyle w:val="Normaallaadveeb"/>
        <w:jc w:val="both"/>
        <w:rPr>
          <w:rFonts w:ascii="Verdana" w:hAnsi="Verdana"/>
          <w:color w:val="A6A6A6"/>
          <w:lang w:val="et-EE"/>
        </w:rPr>
      </w:pPr>
      <w:r>
        <w:rPr>
          <w:rFonts w:ascii="Verdana" w:hAnsi="Verdana"/>
          <w:color w:val="A6A6A6"/>
          <w:u w:val="single"/>
          <w:lang w:val="et-EE"/>
        </w:rPr>
        <w:t>1.5</w:t>
      </w:r>
      <w:r w:rsidR="00931DBC">
        <w:rPr>
          <w:rFonts w:ascii="Verdana" w:hAnsi="Verdana"/>
          <w:color w:val="A6A6A6"/>
          <w:u w:val="single"/>
          <w:lang w:val="et-EE"/>
        </w:rPr>
        <w:t xml:space="preserve"> </w:t>
      </w:r>
      <w:r w:rsidR="002B1B50" w:rsidRPr="00735AC6">
        <w:rPr>
          <w:rFonts w:ascii="Verdana" w:hAnsi="Verdana"/>
          <w:color w:val="A6A6A6"/>
          <w:u w:val="single"/>
          <w:lang w:val="et-EE"/>
        </w:rPr>
        <w:t>Alltöövõtjate arv</w:t>
      </w:r>
      <w:r w:rsidR="00931DBC">
        <w:rPr>
          <w:rFonts w:ascii="Verdana" w:hAnsi="Verdana"/>
          <w:color w:val="A6A6A6"/>
          <w:u w:val="single"/>
          <w:lang w:val="et-EE"/>
        </w:rPr>
        <w:t>*</w:t>
      </w:r>
      <w:r w:rsidR="0030492D" w:rsidRPr="00735AC6">
        <w:rPr>
          <w:rFonts w:ascii="Verdana" w:hAnsi="Verdana"/>
          <w:color w:val="A6A6A6"/>
          <w:u w:val="single"/>
          <w:lang w:val="et-EE"/>
        </w:rPr>
        <w:t>:</w:t>
      </w:r>
      <w:r w:rsidR="003B6CE8" w:rsidRPr="00735AC6">
        <w:rPr>
          <w:rFonts w:ascii="Verdana" w:hAnsi="Verdana"/>
          <w:color w:val="A6A6A6"/>
          <w:u w:val="single"/>
          <w:lang w:val="et-EE"/>
        </w:rPr>
        <w:t xml:space="preserve"> </w:t>
      </w:r>
      <w:r w:rsidR="0030492D" w:rsidRPr="00735AC6">
        <w:rPr>
          <w:rFonts w:ascii="Verdana" w:hAnsi="Verdana"/>
          <w:color w:val="A6A6A6"/>
          <w:lang w:val="et-EE"/>
        </w:rPr>
        <w:t>peetakse silmas alltöövõttu osutavate töötajate mitte ettevõtete arvu</w:t>
      </w:r>
    </w:p>
    <w:p w:rsidR="00A03D31" w:rsidRPr="00735AC6" w:rsidRDefault="001A5674" w:rsidP="00AB5751">
      <w:pPr>
        <w:pStyle w:val="Normaallaadveeb"/>
        <w:jc w:val="both"/>
        <w:rPr>
          <w:rFonts w:ascii="Verdana" w:hAnsi="Verdana"/>
          <w:color w:val="A6A6A6"/>
          <w:lang w:val="et-EE"/>
        </w:rPr>
      </w:pPr>
      <w:r>
        <w:rPr>
          <w:rFonts w:ascii="Verdana" w:hAnsi="Verdana"/>
          <w:color w:val="A6A6A6"/>
          <w:u w:val="single"/>
          <w:lang w:val="et-EE"/>
        </w:rPr>
        <w:t>1.6</w:t>
      </w:r>
      <w:r w:rsidR="00931DBC">
        <w:rPr>
          <w:rFonts w:ascii="Verdana" w:hAnsi="Verdana"/>
          <w:color w:val="A6A6A6"/>
          <w:u w:val="single"/>
          <w:lang w:val="et-EE"/>
        </w:rPr>
        <w:t xml:space="preserve"> </w:t>
      </w:r>
      <w:r w:rsidR="003B6CE8" w:rsidRPr="00735AC6">
        <w:rPr>
          <w:rFonts w:ascii="Verdana" w:hAnsi="Verdana"/>
          <w:color w:val="A6A6A6"/>
          <w:u w:val="single"/>
          <w:lang w:val="et-EE"/>
        </w:rPr>
        <w:t>Alltöövõtjate töötundide arv</w:t>
      </w:r>
      <w:r w:rsidR="00931DBC">
        <w:rPr>
          <w:rFonts w:ascii="Verdana" w:hAnsi="Verdana"/>
          <w:color w:val="A6A6A6"/>
          <w:u w:val="single"/>
          <w:lang w:val="et-EE"/>
        </w:rPr>
        <w:t>*</w:t>
      </w:r>
      <w:r w:rsidR="003B6CE8" w:rsidRPr="00735AC6">
        <w:rPr>
          <w:rFonts w:ascii="Verdana" w:hAnsi="Verdana"/>
          <w:color w:val="A6A6A6"/>
          <w:u w:val="single"/>
          <w:lang w:val="et-EE"/>
        </w:rPr>
        <w:t>:</w:t>
      </w:r>
      <w:r w:rsidR="003B6CE8" w:rsidRPr="00735AC6">
        <w:rPr>
          <w:rFonts w:ascii="Verdana" w:hAnsi="Verdana"/>
          <w:color w:val="A6A6A6"/>
          <w:lang w:val="et-EE"/>
        </w:rPr>
        <w:t xml:space="preserve"> </w:t>
      </w:r>
    </w:p>
    <w:p w:rsidR="00A03D31" w:rsidRPr="00735AC6" w:rsidRDefault="00A03D31" w:rsidP="00CE54CD">
      <w:pPr>
        <w:pStyle w:val="Normaallaadveeb"/>
        <w:numPr>
          <w:ilvl w:val="0"/>
          <w:numId w:val="36"/>
        </w:numPr>
        <w:jc w:val="both"/>
        <w:rPr>
          <w:rFonts w:ascii="Verdana" w:hAnsi="Verdana"/>
          <w:color w:val="A6A6A6"/>
          <w:lang w:val="et-EE"/>
        </w:rPr>
      </w:pPr>
      <w:r w:rsidRPr="00735AC6">
        <w:rPr>
          <w:rFonts w:ascii="Verdana" w:hAnsi="Verdana"/>
          <w:color w:val="A6A6A6"/>
          <w:lang w:val="et-EE"/>
        </w:rPr>
        <w:t xml:space="preserve">Definitsioon: </w:t>
      </w:r>
      <w:r w:rsidR="003B6CE8" w:rsidRPr="00735AC6">
        <w:rPr>
          <w:rFonts w:ascii="Verdana" w:hAnsi="Verdana"/>
          <w:color w:val="A6A6A6"/>
          <w:lang w:val="et-EE"/>
        </w:rPr>
        <w:t xml:space="preserve">tundide koguarv, mille alltöövõtjad veetsid tööandja valdustes viibides. Kuivõrd ettevõtetel ei pruugi olla otsest ligipääsu oma alltöövõtjate töötundide arvule, siis </w:t>
      </w:r>
      <w:r w:rsidRPr="00735AC6">
        <w:rPr>
          <w:rFonts w:ascii="Verdana" w:hAnsi="Verdana"/>
          <w:color w:val="A6A6A6"/>
          <w:lang w:val="et-EE"/>
        </w:rPr>
        <w:t xml:space="preserve">võib selle arvutada hinnanguliselt korrutades alltöövõtjate koguarvu tüüpilise tööpäeva tundide arvu ning ettevõtte valdustes aastas veedetud päevade arvuga. </w:t>
      </w:r>
    </w:p>
    <w:p w:rsidR="00A03D31" w:rsidRPr="00735AC6" w:rsidRDefault="00A03D31" w:rsidP="00CE54CD">
      <w:pPr>
        <w:pStyle w:val="Normaallaadveeb"/>
        <w:numPr>
          <w:ilvl w:val="0"/>
          <w:numId w:val="36"/>
        </w:numPr>
        <w:jc w:val="both"/>
        <w:rPr>
          <w:rFonts w:ascii="Verdana" w:hAnsi="Verdana"/>
          <w:color w:val="A6A6A6"/>
          <w:lang w:val="et-EE"/>
        </w:rPr>
      </w:pPr>
      <w:r w:rsidRPr="00735AC6">
        <w:rPr>
          <w:rFonts w:ascii="Verdana" w:hAnsi="Verdana"/>
          <w:color w:val="A6A6A6"/>
          <w:lang w:val="et-EE"/>
        </w:rPr>
        <w:t>Kuigi paljudes riikides ei nõuta seadusega alltöövõtjate ohutusandmete kogumist, siis H&amp;V eetika näeb et</w:t>
      </w:r>
      <w:r w:rsidR="00954209">
        <w:rPr>
          <w:rFonts w:ascii="Verdana" w:hAnsi="Verdana"/>
          <w:color w:val="A6A6A6"/>
          <w:lang w:val="et-EE"/>
        </w:rPr>
        <w:t>te vastutuse võtmist nii töövõt</w:t>
      </w:r>
      <w:r w:rsidRPr="00735AC6">
        <w:rPr>
          <w:rFonts w:ascii="Verdana" w:hAnsi="Verdana"/>
          <w:color w:val="A6A6A6"/>
          <w:lang w:val="et-EE"/>
        </w:rPr>
        <w:t xml:space="preserve">jate kui ka alltöövõtjate eest. </w:t>
      </w:r>
    </w:p>
    <w:p w:rsidR="00A03D31" w:rsidRPr="00556AAF" w:rsidRDefault="00A03D31" w:rsidP="0050254A">
      <w:pPr>
        <w:pStyle w:val="Pealkiri2"/>
        <w:numPr>
          <w:ilvl w:val="0"/>
          <w:numId w:val="39"/>
        </w:numPr>
      </w:pPr>
      <w:bookmarkStart w:id="18" w:name="_Toc341362247"/>
      <w:bookmarkStart w:id="19" w:name="_Toc358822432"/>
      <w:r>
        <w:t>Tervis ja ohutus</w:t>
      </w:r>
      <w:bookmarkEnd w:id="18"/>
      <w:bookmarkEnd w:id="19"/>
    </w:p>
    <w:p w:rsidR="001B78DA" w:rsidRPr="00556AAF" w:rsidRDefault="00C80452" w:rsidP="00C748E8">
      <w:pPr>
        <w:pStyle w:val="Pealkiri4"/>
      </w:pPr>
      <w:r>
        <w:rPr>
          <w:u w:val="single"/>
        </w:rPr>
        <w:t>Põhinäitaja</w:t>
      </w:r>
      <w:r w:rsidR="001B78DA" w:rsidRPr="00556AAF">
        <w:rPr>
          <w:u w:val="single"/>
        </w:rPr>
        <w:t xml:space="preserve"> </w:t>
      </w:r>
      <w:r w:rsidR="003A68CF">
        <w:rPr>
          <w:u w:val="single"/>
        </w:rPr>
        <w:t>2.</w:t>
      </w:r>
      <w:r w:rsidR="001B78DA" w:rsidRPr="00556AAF">
        <w:rPr>
          <w:u w:val="single"/>
        </w:rPr>
        <w:t>1</w:t>
      </w:r>
      <w:r w:rsidR="001B78DA" w:rsidRPr="00556AAF">
        <w:t>: Töövõtjate surmajuhtumite arv</w:t>
      </w:r>
    </w:p>
    <w:p w:rsidR="001B78DA" w:rsidRPr="00556AAF" w:rsidRDefault="001B78DA" w:rsidP="00CE54CD">
      <w:pPr>
        <w:numPr>
          <w:ilvl w:val="0"/>
          <w:numId w:val="20"/>
        </w:numPr>
        <w:spacing w:before="100" w:beforeAutospacing="1" w:after="100" w:afterAutospacing="1"/>
        <w:jc w:val="both"/>
      </w:pPr>
      <w:r w:rsidRPr="00556AAF">
        <w:rPr>
          <w:rFonts w:ascii="Verdana" w:hAnsi="Verdana"/>
        </w:rPr>
        <w:t>Definitsioon: Surmajuhtumiks peetakse vahetult tööga seotud õnnetusjuhtumit</w:t>
      </w:r>
      <w:r w:rsidR="00C80452">
        <w:rPr>
          <w:rFonts w:ascii="Verdana" w:hAnsi="Verdana"/>
        </w:rPr>
        <w:t xml:space="preserve"> või kokkupuudet</w:t>
      </w:r>
      <w:r w:rsidRPr="00556AAF">
        <w:rPr>
          <w:rFonts w:ascii="Verdana" w:hAnsi="Verdana"/>
        </w:rPr>
        <w:t>, mille tagajärjel inimene sureb aasta jooksul.</w:t>
      </w:r>
      <w:r w:rsidRPr="00556AAF">
        <w:t xml:space="preserve"> </w:t>
      </w:r>
    </w:p>
    <w:p w:rsidR="001B78DA" w:rsidRPr="00556AAF" w:rsidRDefault="00C80452" w:rsidP="00CE54CD">
      <w:pPr>
        <w:numPr>
          <w:ilvl w:val="0"/>
          <w:numId w:val="20"/>
        </w:numPr>
        <w:spacing w:before="100" w:beforeAutospacing="1" w:after="100" w:afterAutospacing="1"/>
        <w:jc w:val="both"/>
        <w:rPr>
          <w:rFonts w:ascii="Verdana" w:hAnsi="Verdana"/>
        </w:rPr>
      </w:pPr>
      <w:r>
        <w:rPr>
          <w:rFonts w:ascii="Verdana" w:hAnsi="Verdana"/>
        </w:rPr>
        <w:t>Näitaja</w:t>
      </w:r>
      <w:r w:rsidR="00972068">
        <w:rPr>
          <w:rFonts w:ascii="Verdana" w:hAnsi="Verdana"/>
        </w:rPr>
        <w:t>t</w:t>
      </w:r>
      <w:r>
        <w:rPr>
          <w:rFonts w:ascii="Verdana" w:hAnsi="Verdana"/>
        </w:rPr>
        <w:t xml:space="preserve"> </w:t>
      </w:r>
      <w:r w:rsidR="00972068">
        <w:rPr>
          <w:rFonts w:ascii="Verdana" w:hAnsi="Verdana"/>
        </w:rPr>
        <w:t>väljendatakse kui</w:t>
      </w:r>
      <w:r w:rsidR="001B78DA" w:rsidRPr="00556AAF">
        <w:rPr>
          <w:rFonts w:ascii="Verdana" w:hAnsi="Verdana"/>
        </w:rPr>
        <w:t xml:space="preserve"> </w:t>
      </w:r>
      <w:r w:rsidR="001B78DA" w:rsidRPr="00556AAF">
        <w:rPr>
          <w:rFonts w:ascii="Verdana" w:hAnsi="Verdana"/>
          <w:b/>
          <w:bCs/>
        </w:rPr>
        <w:t>surmajuhtumite arvu</w:t>
      </w:r>
      <w:r w:rsidR="00972068">
        <w:rPr>
          <w:rFonts w:ascii="Verdana" w:hAnsi="Verdana"/>
          <w:b/>
          <w:bCs/>
        </w:rPr>
        <w:t>/aastas</w:t>
      </w:r>
      <w:r w:rsidR="001B78DA" w:rsidRPr="00556AAF">
        <w:rPr>
          <w:rFonts w:ascii="Verdana" w:hAnsi="Verdana"/>
          <w:bCs/>
        </w:rPr>
        <w:t>.</w:t>
      </w:r>
    </w:p>
    <w:p w:rsidR="001B78DA" w:rsidRPr="00556AAF" w:rsidRDefault="00143055" w:rsidP="00C748E8">
      <w:pPr>
        <w:pStyle w:val="Pealkiri4"/>
      </w:pPr>
      <w:r>
        <w:rPr>
          <w:u w:val="single"/>
        </w:rPr>
        <w:t>Põhinäitaja</w:t>
      </w:r>
      <w:r w:rsidR="001B78DA" w:rsidRPr="00556AAF">
        <w:rPr>
          <w:u w:val="single"/>
        </w:rPr>
        <w:t xml:space="preserve"> 2</w:t>
      </w:r>
      <w:r w:rsidR="003A68CF">
        <w:rPr>
          <w:u w:val="single"/>
        </w:rPr>
        <w:t>.2</w:t>
      </w:r>
      <w:r w:rsidR="001B78DA" w:rsidRPr="00556AAF">
        <w:t xml:space="preserve">: Töövõtjate </w:t>
      </w:r>
      <w:r w:rsidR="009911CC">
        <w:t>kaotatud tööajaga vigastuste</w:t>
      </w:r>
      <w:r w:rsidR="001B78DA" w:rsidRPr="00556AAF">
        <w:t xml:space="preserve"> </w:t>
      </w:r>
      <w:r w:rsidR="007F3B51">
        <w:t>Arv (</w:t>
      </w:r>
      <w:r w:rsidR="001B78DA" w:rsidRPr="00556AAF">
        <w:t>sagedus</w:t>
      </w:r>
      <w:r w:rsidR="007F3B51">
        <w:t>E ehk tööõnnetuste sageduskoefitsendi arvutab liit</w:t>
      </w:r>
      <w:r w:rsidR="009911CC">
        <w:t>)</w:t>
      </w:r>
      <w:r w:rsidR="001B78DA" w:rsidRPr="00556AAF">
        <w:t xml:space="preserve"> </w:t>
      </w:r>
    </w:p>
    <w:p w:rsidR="001B78DA" w:rsidRPr="00556AAF" w:rsidRDefault="001B78DA" w:rsidP="00CE54CD">
      <w:pPr>
        <w:numPr>
          <w:ilvl w:val="0"/>
          <w:numId w:val="21"/>
        </w:numPr>
        <w:spacing w:before="100" w:beforeAutospacing="1" w:after="100" w:afterAutospacing="1"/>
        <w:jc w:val="both"/>
        <w:rPr>
          <w:rFonts w:ascii="Verdana" w:hAnsi="Verdana"/>
        </w:rPr>
      </w:pPr>
      <w:r w:rsidRPr="00556AAF">
        <w:rPr>
          <w:rFonts w:ascii="Verdana" w:hAnsi="Verdana"/>
        </w:rPr>
        <w:t xml:space="preserve">Definitsioon: </w:t>
      </w:r>
      <w:r w:rsidR="009911CC">
        <w:rPr>
          <w:rFonts w:ascii="Verdana" w:hAnsi="Verdana"/>
        </w:rPr>
        <w:t>Kaotatud tööajaga vigastus</w:t>
      </w:r>
      <w:r w:rsidRPr="00556AAF">
        <w:rPr>
          <w:rFonts w:ascii="Verdana" w:hAnsi="Verdana"/>
        </w:rPr>
        <w:t xml:space="preserve"> on selline terviserike, mille puhul inimene ei o</w:t>
      </w:r>
      <w:r w:rsidR="006E7A5D">
        <w:rPr>
          <w:rFonts w:ascii="Verdana" w:hAnsi="Verdana"/>
        </w:rPr>
        <w:t>le kas füüsiliselt või vaimselt</w:t>
      </w:r>
      <w:r w:rsidRPr="00556AAF">
        <w:rPr>
          <w:rFonts w:ascii="Verdana" w:hAnsi="Verdana"/>
        </w:rPr>
        <w:t xml:space="preserve"> – vastavalt </w:t>
      </w:r>
      <w:r w:rsidR="009911CC">
        <w:rPr>
          <w:rFonts w:ascii="Verdana" w:hAnsi="Verdana"/>
        </w:rPr>
        <w:t>kompetentse meediku diagnoosile</w:t>
      </w:r>
      <w:r w:rsidRPr="00556AAF">
        <w:rPr>
          <w:rFonts w:ascii="Verdana" w:hAnsi="Verdana"/>
        </w:rPr>
        <w:t xml:space="preserve"> – võimeline töötama graafikujärgses vahetuses või tööpäeval, mis viib vähemalt </w:t>
      </w:r>
      <w:r w:rsidRPr="00556AAF">
        <w:rPr>
          <w:rFonts w:ascii="Verdana" w:hAnsi="Verdana"/>
          <w:b/>
        </w:rPr>
        <w:t>ühepäevasele</w:t>
      </w:r>
      <w:r w:rsidRPr="00556AAF">
        <w:rPr>
          <w:rFonts w:ascii="Verdana" w:hAnsi="Verdana"/>
        </w:rPr>
        <w:t xml:space="preserve"> töölt puudumisele</w:t>
      </w:r>
      <w:r w:rsidR="009911CC">
        <w:rPr>
          <w:rFonts w:ascii="Verdana" w:hAnsi="Verdana"/>
        </w:rPr>
        <w:t xml:space="preserve"> (siinkohal lähevad arvesse ka surmajuhtumid)</w:t>
      </w:r>
      <w:r w:rsidRPr="00556AAF">
        <w:rPr>
          <w:rFonts w:ascii="Verdana" w:hAnsi="Verdana"/>
        </w:rPr>
        <w:t xml:space="preserve">. </w:t>
      </w:r>
    </w:p>
    <w:p w:rsidR="001B78DA" w:rsidRPr="00556AAF" w:rsidRDefault="001B78DA" w:rsidP="00CE54CD">
      <w:pPr>
        <w:numPr>
          <w:ilvl w:val="0"/>
          <w:numId w:val="21"/>
        </w:numPr>
        <w:spacing w:before="100" w:beforeAutospacing="1" w:after="100" w:afterAutospacing="1"/>
        <w:jc w:val="both"/>
      </w:pPr>
      <w:r w:rsidRPr="00556AAF">
        <w:rPr>
          <w:rFonts w:ascii="Verdana" w:hAnsi="Verdana"/>
        </w:rPr>
        <w:t xml:space="preserve">Esinemissagedust väljendatakse </w:t>
      </w:r>
      <w:r w:rsidR="009911CC">
        <w:rPr>
          <w:rFonts w:ascii="Verdana" w:hAnsi="Verdana"/>
        </w:rPr>
        <w:t xml:space="preserve">kui </w:t>
      </w:r>
      <w:r w:rsidR="009911CC" w:rsidRPr="004215DE">
        <w:rPr>
          <w:rFonts w:ascii="Verdana" w:hAnsi="Verdana"/>
          <w:b/>
          <w:bCs/>
        </w:rPr>
        <w:t>kaotatud tööajaga vigastuste arv</w:t>
      </w:r>
      <w:r w:rsidRPr="00556AAF">
        <w:rPr>
          <w:rFonts w:ascii="Verdana" w:hAnsi="Verdana"/>
          <w:b/>
        </w:rPr>
        <w:t xml:space="preserve"> miljoni töötunni kohta</w:t>
      </w:r>
      <w:r w:rsidR="00972068">
        <w:rPr>
          <w:rFonts w:ascii="Verdana" w:hAnsi="Verdana"/>
          <w:b/>
        </w:rPr>
        <w:t xml:space="preserve"> aastas</w:t>
      </w:r>
      <w:r w:rsidRPr="00556AAF">
        <w:rPr>
          <w:rFonts w:ascii="Verdana" w:hAnsi="Verdana"/>
        </w:rPr>
        <w:t>.</w:t>
      </w:r>
    </w:p>
    <w:p w:rsidR="006E7A5D" w:rsidRPr="006E7A5D" w:rsidRDefault="001B78DA" w:rsidP="00CE54CD">
      <w:pPr>
        <w:numPr>
          <w:ilvl w:val="0"/>
          <w:numId w:val="21"/>
        </w:numPr>
        <w:spacing w:before="100" w:beforeAutospacing="1" w:after="100" w:afterAutospacing="1"/>
        <w:jc w:val="both"/>
      </w:pPr>
      <w:r w:rsidRPr="00556AAF">
        <w:rPr>
          <w:rFonts w:ascii="Verdana" w:hAnsi="Verdana"/>
        </w:rPr>
        <w:t xml:space="preserve">Mõnedes riikides on kehtestatud aruandlus vastavalt nn kolme  päeva reeglile. CEFIC kohandab need ühe päeva reeglile, kasutades selleks asendustabelit </w:t>
      </w:r>
      <w:r w:rsidRPr="00556AAF">
        <w:rPr>
          <w:rFonts w:ascii="Verdana" w:hAnsi="Verdana"/>
          <w:b/>
        </w:rPr>
        <w:t xml:space="preserve">Lisa </w:t>
      </w:r>
      <w:r w:rsidR="00914855">
        <w:rPr>
          <w:rFonts w:ascii="Verdana" w:hAnsi="Verdana"/>
          <w:b/>
        </w:rPr>
        <w:t>1</w:t>
      </w:r>
      <w:r w:rsidRPr="00556AAF">
        <w:rPr>
          <w:rFonts w:ascii="Verdana" w:hAnsi="Verdana"/>
        </w:rPr>
        <w:t>, mis annab aga üksnes ligikaudse tulemuse.</w:t>
      </w:r>
    </w:p>
    <w:p w:rsidR="001B78DA" w:rsidRPr="00B31019" w:rsidRDefault="006E7A5D" w:rsidP="00CE54CD">
      <w:pPr>
        <w:numPr>
          <w:ilvl w:val="0"/>
          <w:numId w:val="21"/>
        </w:numPr>
        <w:spacing w:before="100" w:beforeAutospacing="1" w:after="100" w:afterAutospacing="1"/>
        <w:jc w:val="both"/>
        <w:rPr>
          <w:b/>
        </w:rPr>
      </w:pPr>
      <w:r w:rsidRPr="00B31019">
        <w:rPr>
          <w:rFonts w:ascii="Verdana" w:hAnsi="Verdana"/>
          <w:b/>
        </w:rPr>
        <w:t xml:space="preserve">NB: </w:t>
      </w:r>
      <w:r w:rsidR="00B31019" w:rsidRPr="00B31019">
        <w:rPr>
          <w:rFonts w:ascii="Verdana" w:hAnsi="Verdana"/>
          <w:b/>
        </w:rPr>
        <w:t>Vigastuste sageduse arvutab EKT</w:t>
      </w:r>
      <w:r w:rsidR="00914855">
        <w:rPr>
          <w:rFonts w:ascii="Verdana" w:hAnsi="Verdana"/>
          <w:b/>
        </w:rPr>
        <w:t>L ise, kasutades selleks Lisas 1</w:t>
      </w:r>
      <w:r w:rsidR="00B31019" w:rsidRPr="00B31019">
        <w:rPr>
          <w:rFonts w:ascii="Verdana" w:hAnsi="Verdana"/>
          <w:b/>
        </w:rPr>
        <w:t xml:space="preserve"> toodud valemit. Arvutuse teostamiseks on ettevõtetelt tarvis koguda andmed kaotatud tööajaga vigastuste koguarvu kohta ning töötajate töötundide arvu kohta. EKTL summeerib kõigi ettevõtete vigastuste arvud ja töötundide arvud ning alles seejärel leiab vastava suhte ekh sageduse.</w:t>
      </w:r>
      <w:r w:rsidR="001B78DA" w:rsidRPr="00B31019">
        <w:rPr>
          <w:b/>
        </w:rPr>
        <w:t xml:space="preserve"> </w:t>
      </w:r>
    </w:p>
    <w:p w:rsidR="001B78DA" w:rsidRPr="00735AC6" w:rsidRDefault="004215DE">
      <w:pPr>
        <w:spacing w:before="100" w:beforeAutospacing="1" w:after="100" w:afterAutospacing="1"/>
        <w:jc w:val="both"/>
        <w:rPr>
          <w:rFonts w:ascii="Verdana" w:hAnsi="Verdana"/>
          <w:color w:val="A6A6A6"/>
        </w:rPr>
      </w:pPr>
      <w:r w:rsidRPr="00735AC6">
        <w:rPr>
          <w:rFonts w:ascii="Verdana" w:hAnsi="Verdana"/>
          <w:color w:val="A6A6A6"/>
          <w:u w:val="single"/>
        </w:rPr>
        <w:lastRenderedPageBreak/>
        <w:t>Põhinäitaja</w:t>
      </w:r>
      <w:r w:rsidR="001B78DA" w:rsidRPr="00735AC6">
        <w:rPr>
          <w:rFonts w:ascii="Verdana" w:hAnsi="Verdana"/>
          <w:color w:val="A6A6A6"/>
          <w:u w:val="single"/>
        </w:rPr>
        <w:t xml:space="preserve"> </w:t>
      </w:r>
      <w:r w:rsidR="007F3B51">
        <w:rPr>
          <w:rFonts w:ascii="Verdana" w:hAnsi="Verdana"/>
          <w:color w:val="A6A6A6"/>
          <w:u w:val="single"/>
        </w:rPr>
        <w:t>2.</w:t>
      </w:r>
      <w:r w:rsidR="001B78DA" w:rsidRPr="00735AC6">
        <w:rPr>
          <w:rFonts w:ascii="Verdana" w:hAnsi="Verdana"/>
          <w:color w:val="A6A6A6"/>
          <w:u w:val="single"/>
        </w:rPr>
        <w:t>3</w:t>
      </w:r>
      <w:r w:rsidR="001B78DA" w:rsidRPr="00735AC6">
        <w:rPr>
          <w:rFonts w:ascii="Verdana" w:hAnsi="Verdana"/>
          <w:color w:val="A6A6A6"/>
        </w:rPr>
        <w:t>: A</w:t>
      </w:r>
      <w:r w:rsidR="007F3B51">
        <w:rPr>
          <w:rFonts w:ascii="Verdana" w:hAnsi="Verdana"/>
          <w:color w:val="A6A6A6"/>
        </w:rPr>
        <w:t>lltöövõtjate surmajuhtumite arv</w:t>
      </w:r>
      <w:r w:rsidR="00954209">
        <w:rPr>
          <w:rFonts w:ascii="Verdana" w:hAnsi="Verdana"/>
          <w:color w:val="A6A6A6"/>
        </w:rPr>
        <w:t>*</w:t>
      </w:r>
    </w:p>
    <w:p w:rsidR="001B78DA" w:rsidRPr="00735AC6" w:rsidRDefault="001B78DA" w:rsidP="00CE54CD">
      <w:pPr>
        <w:numPr>
          <w:ilvl w:val="0"/>
          <w:numId w:val="20"/>
        </w:numPr>
        <w:spacing w:before="100" w:beforeAutospacing="1" w:after="100" w:afterAutospacing="1"/>
        <w:jc w:val="both"/>
        <w:rPr>
          <w:color w:val="A6A6A6"/>
        </w:rPr>
      </w:pPr>
      <w:r w:rsidRPr="00735AC6">
        <w:rPr>
          <w:rFonts w:ascii="Verdana" w:hAnsi="Verdana"/>
          <w:color w:val="A6A6A6"/>
        </w:rPr>
        <w:t>Definitsioon: Vahetult tööga seotud õnnetusjuhtum</w:t>
      </w:r>
      <w:r w:rsidR="009911CC" w:rsidRPr="00735AC6">
        <w:rPr>
          <w:rFonts w:ascii="Verdana" w:hAnsi="Verdana"/>
          <w:color w:val="A6A6A6"/>
        </w:rPr>
        <w:t xml:space="preserve"> või kokkupuude</w:t>
      </w:r>
      <w:r w:rsidRPr="00735AC6">
        <w:rPr>
          <w:rFonts w:ascii="Verdana" w:hAnsi="Verdana"/>
          <w:color w:val="A6A6A6"/>
        </w:rPr>
        <w:t>, mille tagajärjel sureb inimene ühe aasta jooksul.</w:t>
      </w:r>
      <w:r w:rsidRPr="00735AC6">
        <w:rPr>
          <w:color w:val="A6A6A6"/>
        </w:rPr>
        <w:t xml:space="preserve"> </w:t>
      </w:r>
    </w:p>
    <w:p w:rsidR="001B78DA" w:rsidRPr="00735AC6" w:rsidRDefault="009911CC" w:rsidP="00CE54CD">
      <w:pPr>
        <w:numPr>
          <w:ilvl w:val="0"/>
          <w:numId w:val="20"/>
        </w:numPr>
        <w:spacing w:before="100" w:beforeAutospacing="1" w:after="100" w:afterAutospacing="1"/>
        <w:jc w:val="both"/>
        <w:rPr>
          <w:rFonts w:ascii="Verdana" w:hAnsi="Verdana"/>
          <w:color w:val="A6A6A6"/>
        </w:rPr>
      </w:pPr>
      <w:r w:rsidRPr="00735AC6">
        <w:rPr>
          <w:rFonts w:ascii="Verdana" w:hAnsi="Verdana"/>
          <w:color w:val="A6A6A6"/>
        </w:rPr>
        <w:t>Näitaja</w:t>
      </w:r>
      <w:r w:rsidR="001B78DA" w:rsidRPr="00735AC6">
        <w:rPr>
          <w:rFonts w:ascii="Verdana" w:hAnsi="Verdana"/>
          <w:color w:val="A6A6A6"/>
        </w:rPr>
        <w:t>t väljendatakse</w:t>
      </w:r>
      <w:r w:rsidR="00972068" w:rsidRPr="00735AC6">
        <w:rPr>
          <w:rFonts w:ascii="Verdana" w:hAnsi="Verdana"/>
          <w:color w:val="A6A6A6"/>
        </w:rPr>
        <w:t xml:space="preserve"> kui</w:t>
      </w:r>
      <w:r w:rsidR="001B78DA" w:rsidRPr="00735AC6">
        <w:rPr>
          <w:rFonts w:ascii="Verdana" w:hAnsi="Verdana"/>
          <w:color w:val="A6A6A6"/>
        </w:rPr>
        <w:t xml:space="preserve"> </w:t>
      </w:r>
      <w:r w:rsidR="001B78DA" w:rsidRPr="00735AC6">
        <w:rPr>
          <w:rFonts w:ascii="Verdana" w:hAnsi="Verdana"/>
          <w:b/>
          <w:color w:val="A6A6A6"/>
        </w:rPr>
        <w:t>surmajuhtumite arvu</w:t>
      </w:r>
      <w:r w:rsidR="00972068" w:rsidRPr="00735AC6">
        <w:rPr>
          <w:rFonts w:ascii="Verdana" w:hAnsi="Verdana"/>
          <w:b/>
          <w:color w:val="A6A6A6"/>
        </w:rPr>
        <w:t>/aastas</w:t>
      </w:r>
      <w:r w:rsidR="001B78DA" w:rsidRPr="00735AC6">
        <w:rPr>
          <w:rFonts w:ascii="Verdana" w:hAnsi="Verdana"/>
          <w:color w:val="A6A6A6"/>
        </w:rPr>
        <w:t xml:space="preserve">. </w:t>
      </w:r>
    </w:p>
    <w:p w:rsidR="004215DE" w:rsidRPr="00735AC6" w:rsidRDefault="004215DE" w:rsidP="004215DE">
      <w:pPr>
        <w:pStyle w:val="Normaallaadveeb"/>
        <w:jc w:val="both"/>
        <w:rPr>
          <w:color w:val="A6A6A6"/>
          <w:lang w:val="et-EE"/>
        </w:rPr>
      </w:pPr>
      <w:r w:rsidRPr="00735AC6">
        <w:rPr>
          <w:rFonts w:ascii="Verdana" w:hAnsi="Verdana"/>
          <w:color w:val="A6A6A6"/>
          <w:u w:val="single"/>
          <w:lang w:val="et-EE"/>
        </w:rPr>
        <w:t>Põhinäitaja</w:t>
      </w:r>
      <w:r w:rsidR="001B78DA" w:rsidRPr="00735AC6">
        <w:rPr>
          <w:rFonts w:ascii="Verdana" w:hAnsi="Verdana"/>
          <w:color w:val="A6A6A6"/>
          <w:u w:val="single"/>
          <w:lang w:val="et-EE"/>
        </w:rPr>
        <w:t xml:space="preserve"> </w:t>
      </w:r>
      <w:r w:rsidR="007F3B51">
        <w:rPr>
          <w:rFonts w:ascii="Verdana" w:hAnsi="Verdana"/>
          <w:color w:val="A6A6A6"/>
          <w:u w:val="single"/>
          <w:lang w:val="et-EE"/>
        </w:rPr>
        <w:t>2.</w:t>
      </w:r>
      <w:r w:rsidR="001B78DA" w:rsidRPr="00735AC6">
        <w:rPr>
          <w:rFonts w:ascii="Verdana" w:hAnsi="Verdana"/>
          <w:color w:val="A6A6A6"/>
          <w:u w:val="single"/>
          <w:lang w:val="et-EE"/>
        </w:rPr>
        <w:t>4</w:t>
      </w:r>
      <w:r w:rsidR="001B78DA" w:rsidRPr="00735AC6">
        <w:rPr>
          <w:rFonts w:ascii="Verdana" w:hAnsi="Verdana"/>
          <w:color w:val="A6A6A6"/>
          <w:lang w:val="et-EE"/>
        </w:rPr>
        <w:t xml:space="preserve">: Alltöövõtjate </w:t>
      </w:r>
      <w:r w:rsidRPr="00735AC6">
        <w:rPr>
          <w:rFonts w:ascii="Verdana" w:hAnsi="Verdana"/>
          <w:color w:val="A6A6A6"/>
          <w:lang w:val="et-EE"/>
        </w:rPr>
        <w:t>kaotatud tööajaga vigastuste sagedus</w:t>
      </w:r>
      <w:r w:rsidR="00954209">
        <w:rPr>
          <w:rFonts w:ascii="Verdana" w:hAnsi="Verdana"/>
          <w:color w:val="A6A6A6"/>
          <w:lang w:val="et-EE"/>
        </w:rPr>
        <w:t>*</w:t>
      </w:r>
      <w:r w:rsidRPr="00735AC6">
        <w:rPr>
          <w:rFonts w:ascii="Verdana" w:hAnsi="Verdana"/>
          <w:color w:val="A6A6A6"/>
          <w:lang w:val="et-EE"/>
        </w:rPr>
        <w:t xml:space="preserve"> (</w:t>
      </w:r>
      <w:r w:rsidR="00954209">
        <w:rPr>
          <w:rFonts w:ascii="Verdana" w:hAnsi="Verdana"/>
          <w:color w:val="A6A6A6"/>
          <w:lang w:val="et-EE"/>
        </w:rPr>
        <w:t>tööõnnetuste sageduskoefitsent)</w:t>
      </w:r>
      <w:r w:rsidRPr="00735AC6">
        <w:rPr>
          <w:rFonts w:ascii="Verdana" w:hAnsi="Verdana"/>
          <w:color w:val="A6A6A6"/>
          <w:lang w:val="et-EE"/>
        </w:rPr>
        <w:t xml:space="preserve"> </w:t>
      </w:r>
    </w:p>
    <w:p w:rsidR="001B78DA" w:rsidRPr="00735AC6" w:rsidRDefault="001B78DA" w:rsidP="00CE54CD">
      <w:pPr>
        <w:numPr>
          <w:ilvl w:val="0"/>
          <w:numId w:val="35"/>
        </w:numPr>
        <w:spacing w:before="100" w:beforeAutospacing="1" w:after="100" w:afterAutospacing="1"/>
        <w:jc w:val="both"/>
        <w:rPr>
          <w:rFonts w:ascii="Verdana" w:hAnsi="Verdana"/>
          <w:color w:val="A6A6A6"/>
        </w:rPr>
      </w:pPr>
      <w:r w:rsidRPr="00735AC6">
        <w:rPr>
          <w:rFonts w:ascii="Verdana" w:hAnsi="Verdana"/>
          <w:color w:val="A6A6A6"/>
        </w:rPr>
        <w:t xml:space="preserve">Definitsioon: </w:t>
      </w:r>
      <w:r w:rsidR="009911CC" w:rsidRPr="00735AC6">
        <w:rPr>
          <w:rFonts w:ascii="Verdana" w:hAnsi="Verdana"/>
          <w:color w:val="A6A6A6"/>
        </w:rPr>
        <w:t xml:space="preserve">Kaotatud tööajaga vigastus on selline terviserike, mille puhul inimene ei ole kas füüsiliselt või vaimselt  – vastavalt kompetentse meediku diagnoosile – võimeline töötama graafikujärgses vahetuses või tööpäeval, mis viib vähemalt </w:t>
      </w:r>
      <w:r w:rsidR="009911CC" w:rsidRPr="00735AC6">
        <w:rPr>
          <w:rFonts w:ascii="Verdana" w:hAnsi="Verdana"/>
          <w:b/>
          <w:color w:val="A6A6A6"/>
        </w:rPr>
        <w:t>ühepäevasele</w:t>
      </w:r>
      <w:r w:rsidR="009911CC" w:rsidRPr="00735AC6">
        <w:rPr>
          <w:rFonts w:ascii="Verdana" w:hAnsi="Verdana"/>
          <w:color w:val="A6A6A6"/>
        </w:rPr>
        <w:t xml:space="preserve"> töölt puudumisele (siinkohal lähevad arvesse ka surmajuhtumid). </w:t>
      </w:r>
    </w:p>
    <w:p w:rsidR="004215DE" w:rsidRPr="00735AC6" w:rsidRDefault="001B78DA" w:rsidP="00CE54CD">
      <w:pPr>
        <w:numPr>
          <w:ilvl w:val="0"/>
          <w:numId w:val="21"/>
        </w:numPr>
        <w:spacing w:before="100" w:beforeAutospacing="1" w:after="100" w:afterAutospacing="1"/>
        <w:jc w:val="both"/>
        <w:rPr>
          <w:color w:val="A6A6A6"/>
        </w:rPr>
      </w:pPr>
      <w:r w:rsidRPr="00735AC6">
        <w:rPr>
          <w:rFonts w:ascii="Verdana" w:hAnsi="Verdana"/>
          <w:color w:val="A6A6A6"/>
        </w:rPr>
        <w:t xml:space="preserve">Esinemissagedust väljendatakse </w:t>
      </w:r>
      <w:r w:rsidR="004215DE" w:rsidRPr="00735AC6">
        <w:rPr>
          <w:rFonts w:ascii="Verdana" w:hAnsi="Verdana"/>
          <w:color w:val="A6A6A6"/>
        </w:rPr>
        <w:t xml:space="preserve">kui </w:t>
      </w:r>
      <w:r w:rsidR="004215DE" w:rsidRPr="00735AC6">
        <w:rPr>
          <w:rFonts w:ascii="Verdana" w:hAnsi="Verdana"/>
          <w:b/>
          <w:bCs/>
          <w:color w:val="A6A6A6"/>
        </w:rPr>
        <w:t>kaotatud tööajaga vigastuste arv</w:t>
      </w:r>
      <w:r w:rsidR="004215DE" w:rsidRPr="00735AC6">
        <w:rPr>
          <w:rFonts w:ascii="Verdana" w:hAnsi="Verdana"/>
          <w:b/>
          <w:color w:val="A6A6A6"/>
        </w:rPr>
        <w:t xml:space="preserve"> miljoni töötunni kohta</w:t>
      </w:r>
      <w:r w:rsidR="00972068" w:rsidRPr="00735AC6">
        <w:rPr>
          <w:rFonts w:ascii="Verdana" w:hAnsi="Verdana"/>
          <w:b/>
          <w:color w:val="A6A6A6"/>
        </w:rPr>
        <w:t xml:space="preserve"> aastas</w:t>
      </w:r>
      <w:r w:rsidR="004215DE" w:rsidRPr="00735AC6">
        <w:rPr>
          <w:rFonts w:ascii="Verdana" w:hAnsi="Verdana"/>
          <w:color w:val="A6A6A6"/>
        </w:rPr>
        <w:t>.</w:t>
      </w:r>
    </w:p>
    <w:p w:rsidR="001B78DA" w:rsidRPr="00735AC6" w:rsidRDefault="001B78DA" w:rsidP="00CE54CD">
      <w:pPr>
        <w:numPr>
          <w:ilvl w:val="0"/>
          <w:numId w:val="21"/>
        </w:numPr>
        <w:spacing w:before="100" w:beforeAutospacing="1" w:after="100" w:afterAutospacing="1"/>
        <w:jc w:val="both"/>
        <w:rPr>
          <w:color w:val="A6A6A6"/>
        </w:rPr>
      </w:pPr>
      <w:r w:rsidRPr="00735AC6">
        <w:rPr>
          <w:rFonts w:ascii="Verdana" w:hAnsi="Verdana"/>
          <w:color w:val="A6A6A6"/>
        </w:rPr>
        <w:t xml:space="preserve">Mõnedes riikides on kehtestatud aruandlus vastavalt nn kolme päeva reeglile. CEFIC kohandab need ühe päeva reeglile, kasutades selleks asendustabelit </w:t>
      </w:r>
      <w:r w:rsidRPr="00735AC6">
        <w:rPr>
          <w:rFonts w:ascii="Verdana" w:hAnsi="Verdana"/>
          <w:b/>
          <w:color w:val="A6A6A6"/>
        </w:rPr>
        <w:t xml:space="preserve">Lisa </w:t>
      </w:r>
      <w:r w:rsidR="00914855">
        <w:rPr>
          <w:rFonts w:ascii="Verdana" w:hAnsi="Verdana"/>
          <w:b/>
          <w:color w:val="A6A6A6"/>
        </w:rPr>
        <w:t>1</w:t>
      </w:r>
      <w:r w:rsidRPr="00735AC6">
        <w:rPr>
          <w:rFonts w:ascii="Verdana" w:hAnsi="Verdana"/>
          <w:color w:val="A6A6A6"/>
        </w:rPr>
        <w:t>. See annab aga üksnes ligikaudse tulemuse.</w:t>
      </w:r>
      <w:r w:rsidRPr="00735AC6">
        <w:rPr>
          <w:color w:val="A6A6A6"/>
        </w:rPr>
        <w:t xml:space="preserve"> </w:t>
      </w:r>
    </w:p>
    <w:p w:rsidR="00B31019" w:rsidRPr="00735AC6" w:rsidRDefault="00B31019" w:rsidP="007D402B">
      <w:pPr>
        <w:numPr>
          <w:ilvl w:val="0"/>
          <w:numId w:val="21"/>
        </w:numPr>
        <w:spacing w:before="100" w:beforeAutospacing="1" w:after="100" w:afterAutospacing="1"/>
        <w:jc w:val="both"/>
        <w:rPr>
          <w:rFonts w:ascii="Verdana" w:hAnsi="Verdana"/>
          <w:b/>
          <w:color w:val="A6A6A6"/>
        </w:rPr>
      </w:pPr>
      <w:r w:rsidRPr="00735AC6">
        <w:rPr>
          <w:rFonts w:ascii="Verdana" w:hAnsi="Verdana"/>
          <w:b/>
          <w:color w:val="A6A6A6"/>
        </w:rPr>
        <w:t>NB: Vigastuste sageduse arvutab EKT</w:t>
      </w:r>
      <w:r w:rsidR="00914855">
        <w:rPr>
          <w:rFonts w:ascii="Verdana" w:hAnsi="Verdana"/>
          <w:b/>
          <w:color w:val="A6A6A6"/>
        </w:rPr>
        <w:t>L ise, kasutades selleks Lisas 1</w:t>
      </w:r>
      <w:r w:rsidRPr="00735AC6">
        <w:rPr>
          <w:rFonts w:ascii="Verdana" w:hAnsi="Verdana"/>
          <w:b/>
          <w:color w:val="A6A6A6"/>
        </w:rPr>
        <w:t xml:space="preserve"> toodud valemit. Arvutuse teostamiseks on ettevõtetelt tarvis koguda andmed kaotatud tööajaga vigastuste koguarvu kohta ning töötajate töötundide arvu kohta. EKTL summeerib kõigi ettevõtete vigastuste arvud ja töötundide arvud ning alles seejärel leiab vastava suhte ekh sageduse. </w:t>
      </w:r>
    </w:p>
    <w:p w:rsidR="00B31019" w:rsidRPr="00556AAF" w:rsidRDefault="00B31019" w:rsidP="00B31019">
      <w:pPr>
        <w:spacing w:before="100" w:beforeAutospacing="1" w:after="100" w:afterAutospacing="1"/>
        <w:ind w:left="720"/>
        <w:jc w:val="both"/>
      </w:pPr>
    </w:p>
    <w:p w:rsidR="001B78DA" w:rsidRPr="00556AAF" w:rsidRDefault="001B78DA" w:rsidP="0050254A">
      <w:pPr>
        <w:pStyle w:val="Pealkiri2"/>
        <w:numPr>
          <w:ilvl w:val="0"/>
          <w:numId w:val="39"/>
        </w:numPr>
      </w:pPr>
      <w:bookmarkStart w:id="20" w:name="_Toc341362248"/>
      <w:bookmarkStart w:id="21" w:name="_Toc358822433"/>
      <w:r w:rsidRPr="00556AAF">
        <w:t>Keskkonnakaitse</w:t>
      </w:r>
      <w:bookmarkEnd w:id="20"/>
      <w:bookmarkEnd w:id="21"/>
    </w:p>
    <w:p w:rsidR="001B78DA" w:rsidRPr="00556AAF" w:rsidRDefault="00251705" w:rsidP="007F3B51">
      <w:pPr>
        <w:pStyle w:val="Pealkiri6"/>
      </w:pPr>
      <w:r>
        <w:t>Jäätmekäitlus</w:t>
      </w:r>
    </w:p>
    <w:p w:rsidR="001B78DA" w:rsidRDefault="00251705" w:rsidP="00D6024D">
      <w:pPr>
        <w:pStyle w:val="Pealkiri4"/>
      </w:pPr>
      <w:r>
        <w:rPr>
          <w:u w:val="single"/>
        </w:rPr>
        <w:t>Põhinäitaja</w:t>
      </w:r>
      <w:r w:rsidR="001B78DA" w:rsidRPr="00556AAF">
        <w:rPr>
          <w:u w:val="single"/>
        </w:rPr>
        <w:t xml:space="preserve"> </w:t>
      </w:r>
      <w:r w:rsidR="007F3B51">
        <w:rPr>
          <w:u w:val="single"/>
        </w:rPr>
        <w:t>3.1</w:t>
      </w:r>
      <w:r w:rsidR="001B78DA" w:rsidRPr="00556AAF">
        <w:t>: Ohtlike jäätmete kõrvaldamine</w:t>
      </w:r>
    </w:p>
    <w:p w:rsidR="00D6024D" w:rsidRPr="00D6024D" w:rsidRDefault="00D6024D" w:rsidP="00D6024D"/>
    <w:p w:rsidR="001B78DA" w:rsidRPr="00556AAF" w:rsidRDefault="00251705" w:rsidP="00D6024D">
      <w:pPr>
        <w:pStyle w:val="Pealkiri4"/>
      </w:pPr>
      <w:r>
        <w:rPr>
          <w:u w:val="single"/>
        </w:rPr>
        <w:t>Põhinäitaja</w:t>
      </w:r>
      <w:r w:rsidR="001B78DA" w:rsidRPr="00556AAF">
        <w:rPr>
          <w:u w:val="single"/>
        </w:rPr>
        <w:t xml:space="preserve"> </w:t>
      </w:r>
      <w:r w:rsidR="007F3B51">
        <w:rPr>
          <w:u w:val="single"/>
        </w:rPr>
        <w:t>3.2</w:t>
      </w:r>
      <w:r w:rsidR="001B78DA" w:rsidRPr="00556AAF">
        <w:t>: Tavajäätmete kõrvaldamine</w:t>
      </w:r>
    </w:p>
    <w:p w:rsidR="00AF23E6" w:rsidRPr="00AF23E6" w:rsidRDefault="001B78DA" w:rsidP="00CE54CD">
      <w:pPr>
        <w:numPr>
          <w:ilvl w:val="0"/>
          <w:numId w:val="22"/>
        </w:numPr>
        <w:spacing w:before="100" w:beforeAutospacing="1" w:after="100" w:afterAutospacing="1"/>
        <w:jc w:val="both"/>
      </w:pPr>
      <w:r w:rsidRPr="00556AAF">
        <w:rPr>
          <w:rFonts w:ascii="Verdana" w:hAnsi="Verdana"/>
        </w:rPr>
        <w:t>Definitsioonid:</w:t>
      </w:r>
      <w:r w:rsidR="007F3B51">
        <w:rPr>
          <w:rFonts w:ascii="Verdana" w:hAnsi="Verdana"/>
        </w:rPr>
        <w:t xml:space="preserve"> </w:t>
      </w:r>
      <w:r w:rsidRPr="00556AAF">
        <w:rPr>
          <w:rFonts w:ascii="Verdana" w:hAnsi="Verdana"/>
        </w:rPr>
        <w:t xml:space="preserve">”jäätmed”, “ohtlikud jäätmed” ja “kõrvaldamine” vastavalt </w:t>
      </w:r>
      <w:r w:rsidR="00EC380D">
        <w:rPr>
          <w:rFonts w:ascii="Verdana" w:hAnsi="Verdana"/>
        </w:rPr>
        <w:t>Eesti Vabariigi Jäätmeseadusele ning selle alusel kehtestatud määrustele (viimati uuendatud 2011.a.)</w:t>
      </w:r>
      <w:r w:rsidRPr="00556AAF">
        <w:rPr>
          <w:rFonts w:ascii="Verdana" w:hAnsi="Verdana"/>
        </w:rPr>
        <w:t xml:space="preserve"> vaata </w:t>
      </w:r>
      <w:r w:rsidRPr="00556AAF">
        <w:rPr>
          <w:rFonts w:ascii="Verdana" w:hAnsi="Verdana"/>
          <w:b/>
        </w:rPr>
        <w:t xml:space="preserve">Lisa </w:t>
      </w:r>
      <w:r w:rsidR="00914855">
        <w:rPr>
          <w:rFonts w:ascii="Verdana" w:hAnsi="Verdana"/>
          <w:b/>
        </w:rPr>
        <w:t>2</w:t>
      </w:r>
      <w:r w:rsidRPr="00556AAF">
        <w:rPr>
          <w:rFonts w:ascii="Verdana" w:hAnsi="Verdana"/>
        </w:rPr>
        <w:t xml:space="preserve"> ja </w:t>
      </w:r>
      <w:r w:rsidRPr="00556AAF">
        <w:rPr>
          <w:rFonts w:ascii="Verdana" w:hAnsi="Verdana"/>
          <w:b/>
        </w:rPr>
        <w:t xml:space="preserve">Lisa </w:t>
      </w:r>
      <w:r w:rsidR="00914855">
        <w:rPr>
          <w:rFonts w:ascii="Verdana" w:hAnsi="Verdana"/>
          <w:b/>
        </w:rPr>
        <w:t>3</w:t>
      </w:r>
      <w:r w:rsidRPr="00556AAF">
        <w:rPr>
          <w:rFonts w:ascii="Verdana" w:hAnsi="Verdana"/>
        </w:rPr>
        <w:t>.</w:t>
      </w:r>
    </w:p>
    <w:p w:rsidR="001B78DA" w:rsidRPr="00556AAF" w:rsidRDefault="00251705" w:rsidP="00CE54CD">
      <w:pPr>
        <w:numPr>
          <w:ilvl w:val="0"/>
          <w:numId w:val="22"/>
        </w:numPr>
        <w:spacing w:before="100" w:beforeAutospacing="1" w:after="100" w:afterAutospacing="1"/>
        <w:jc w:val="both"/>
      </w:pPr>
      <w:r>
        <w:rPr>
          <w:rFonts w:ascii="Verdana" w:hAnsi="Verdana"/>
        </w:rPr>
        <w:t>Mõlemaid näitaja</w:t>
      </w:r>
      <w:r w:rsidR="001B78DA" w:rsidRPr="00556AAF">
        <w:rPr>
          <w:rFonts w:ascii="Verdana" w:hAnsi="Verdana"/>
        </w:rPr>
        <w:t>id väljendatakse</w:t>
      </w:r>
      <w:r w:rsidR="00972068">
        <w:rPr>
          <w:rFonts w:ascii="Verdana" w:hAnsi="Verdana"/>
        </w:rPr>
        <w:t xml:space="preserve"> kui</w:t>
      </w:r>
      <w:r w:rsidR="001B78DA" w:rsidRPr="00556AAF">
        <w:rPr>
          <w:rFonts w:ascii="Verdana" w:hAnsi="Verdana"/>
        </w:rPr>
        <w:t xml:space="preserve"> </w:t>
      </w:r>
      <w:r w:rsidR="001B78DA" w:rsidRPr="00556AAF">
        <w:rPr>
          <w:rFonts w:ascii="Verdana" w:hAnsi="Verdana"/>
          <w:b/>
        </w:rPr>
        <w:t>tonni</w:t>
      </w:r>
      <w:r w:rsidR="00972068">
        <w:rPr>
          <w:rFonts w:ascii="Verdana" w:hAnsi="Verdana"/>
          <w:b/>
        </w:rPr>
        <w:t>/aastas</w:t>
      </w:r>
      <w:r>
        <w:rPr>
          <w:rFonts w:ascii="Verdana" w:hAnsi="Verdana"/>
        </w:rPr>
        <w:t xml:space="preserve"> ega tehta</w:t>
      </w:r>
      <w:r w:rsidR="001B78DA" w:rsidRPr="00556AAF">
        <w:rPr>
          <w:rFonts w:ascii="Verdana" w:hAnsi="Verdana"/>
        </w:rPr>
        <w:t xml:space="preserve"> vahet selles, kas kõrvaldamine toimub objektil või väljaspool objekti.</w:t>
      </w:r>
      <w:r w:rsidR="001B78DA" w:rsidRPr="00556AAF">
        <w:t xml:space="preserve"> </w:t>
      </w:r>
    </w:p>
    <w:p w:rsidR="001B78DA" w:rsidRPr="005C2660" w:rsidRDefault="005849CC" w:rsidP="00CE54CD">
      <w:pPr>
        <w:numPr>
          <w:ilvl w:val="0"/>
          <w:numId w:val="22"/>
        </w:numPr>
        <w:spacing w:before="100" w:beforeAutospacing="1" w:after="100" w:afterAutospacing="1"/>
        <w:jc w:val="both"/>
      </w:pPr>
      <w:r>
        <w:rPr>
          <w:rFonts w:ascii="Verdana" w:hAnsi="Verdana"/>
        </w:rPr>
        <w:t>Eraldi</w:t>
      </w:r>
      <w:r w:rsidR="001B78DA" w:rsidRPr="00556AAF">
        <w:rPr>
          <w:rFonts w:ascii="Verdana" w:hAnsi="Verdana"/>
        </w:rPr>
        <w:t xml:space="preserve"> peab </w:t>
      </w:r>
      <w:r w:rsidR="007F3B51">
        <w:rPr>
          <w:rFonts w:ascii="Verdana" w:hAnsi="Verdana"/>
        </w:rPr>
        <w:t>välja tooma kõik</w:t>
      </w:r>
      <w:r>
        <w:rPr>
          <w:rFonts w:ascii="Verdana" w:hAnsi="Verdana"/>
        </w:rPr>
        <w:t xml:space="preserve"> suuremad koguse</w:t>
      </w:r>
      <w:r w:rsidR="001B78DA" w:rsidRPr="00556AAF">
        <w:rPr>
          <w:rFonts w:ascii="Verdana" w:hAnsi="Verdana"/>
        </w:rPr>
        <w:t xml:space="preserve">d pinnast, mis saadetud puhastamiseks või kõrvaldamiseks ja </w:t>
      </w:r>
      <w:r>
        <w:rPr>
          <w:rFonts w:ascii="Verdana" w:hAnsi="Verdana"/>
        </w:rPr>
        <w:t>kaevandamisjäätmed.</w:t>
      </w:r>
    </w:p>
    <w:p w:rsidR="005C2660" w:rsidRPr="00556AAF" w:rsidRDefault="005C2660" w:rsidP="005C2660">
      <w:pPr>
        <w:spacing w:before="100" w:beforeAutospacing="1" w:after="100" w:afterAutospacing="1"/>
        <w:ind w:left="720"/>
        <w:jc w:val="both"/>
      </w:pPr>
    </w:p>
    <w:p w:rsidR="001B78DA" w:rsidRPr="00556AAF" w:rsidRDefault="005849CC" w:rsidP="007F3B51">
      <w:pPr>
        <w:pStyle w:val="Pealkiri6"/>
      </w:pPr>
      <w:r>
        <w:lastRenderedPageBreak/>
        <w:t>Õhuheitmed</w:t>
      </w:r>
    </w:p>
    <w:p w:rsidR="001B78DA" w:rsidRPr="00556AAF" w:rsidRDefault="005849CC" w:rsidP="00D6024D">
      <w:pPr>
        <w:pStyle w:val="Pealkiri4"/>
      </w:pPr>
      <w:r>
        <w:rPr>
          <w:u w:val="single"/>
        </w:rPr>
        <w:t>Põhinäitaja</w:t>
      </w:r>
      <w:r w:rsidR="001B78DA" w:rsidRPr="00556AAF">
        <w:rPr>
          <w:u w:val="single"/>
        </w:rPr>
        <w:t xml:space="preserve"> </w:t>
      </w:r>
      <w:r w:rsidR="007F3B51">
        <w:rPr>
          <w:u w:val="single"/>
        </w:rPr>
        <w:t>3.3</w:t>
      </w:r>
      <w:r w:rsidR="001B78DA" w:rsidRPr="00556AAF">
        <w:t>: Vääveldioksiid (SO</w:t>
      </w:r>
      <w:r w:rsidR="001B78DA" w:rsidRPr="00556AAF">
        <w:rPr>
          <w:vertAlign w:val="subscript"/>
        </w:rPr>
        <w:t>2</w:t>
      </w:r>
      <w:r w:rsidR="007F3B51">
        <w:t>)</w:t>
      </w:r>
    </w:p>
    <w:p w:rsidR="001B78DA" w:rsidRPr="00556AAF" w:rsidRDefault="001B78DA" w:rsidP="00CE54CD">
      <w:pPr>
        <w:numPr>
          <w:ilvl w:val="0"/>
          <w:numId w:val="23"/>
        </w:numPr>
        <w:spacing w:before="100" w:beforeAutospacing="1" w:after="100" w:afterAutospacing="1"/>
        <w:jc w:val="both"/>
      </w:pPr>
      <w:r w:rsidRPr="00556AAF">
        <w:rPr>
          <w:rFonts w:ascii="Verdana" w:hAnsi="Verdana"/>
        </w:rPr>
        <w:t>Definitsioon: Väävli ja selle ühendite</w:t>
      </w:r>
      <w:r w:rsidR="00EE0A73">
        <w:rPr>
          <w:rFonts w:ascii="Verdana" w:hAnsi="Verdana"/>
        </w:rPr>
        <w:t xml:space="preserve"> (SO</w:t>
      </w:r>
      <w:r w:rsidR="00EE0A73" w:rsidRPr="005C2660">
        <w:rPr>
          <w:rFonts w:ascii="Verdana" w:hAnsi="Verdana"/>
          <w:vertAlign w:val="subscript"/>
        </w:rPr>
        <w:t>2</w:t>
      </w:r>
      <w:r w:rsidR="00EE0A73">
        <w:rPr>
          <w:rFonts w:ascii="Verdana" w:hAnsi="Verdana"/>
        </w:rPr>
        <w:t>, SO</w:t>
      </w:r>
      <w:r w:rsidR="00EE0A73" w:rsidRPr="005C2660">
        <w:rPr>
          <w:rFonts w:ascii="Verdana" w:hAnsi="Verdana"/>
          <w:vertAlign w:val="subscript"/>
        </w:rPr>
        <w:t>3</w:t>
      </w:r>
      <w:r w:rsidR="00EE0A73">
        <w:rPr>
          <w:rFonts w:ascii="Verdana" w:hAnsi="Verdana"/>
        </w:rPr>
        <w:t>)</w:t>
      </w:r>
      <w:r w:rsidRPr="00556AAF">
        <w:rPr>
          <w:rFonts w:ascii="Verdana" w:hAnsi="Verdana"/>
        </w:rPr>
        <w:t xml:space="preserve"> õhuheide, mis on moodustunud  kas põletamise või tootmisprotsessi käigus.</w:t>
      </w:r>
    </w:p>
    <w:p w:rsidR="001B78DA" w:rsidRPr="00556AAF" w:rsidRDefault="005849CC" w:rsidP="00CE54CD">
      <w:pPr>
        <w:numPr>
          <w:ilvl w:val="0"/>
          <w:numId w:val="23"/>
        </w:numPr>
        <w:spacing w:before="100" w:beforeAutospacing="1" w:after="100" w:afterAutospacing="1"/>
        <w:jc w:val="both"/>
      </w:pPr>
      <w:r>
        <w:rPr>
          <w:rStyle w:val="Tugev"/>
          <w:rFonts w:ascii="Verdana" w:hAnsi="Verdana"/>
          <w:b w:val="0"/>
          <w:bCs w:val="0"/>
        </w:rPr>
        <w:t>Näitaja</w:t>
      </w:r>
      <w:r w:rsidR="001B78DA" w:rsidRPr="00556AAF">
        <w:rPr>
          <w:rStyle w:val="Tugev"/>
          <w:rFonts w:ascii="Verdana" w:hAnsi="Verdana"/>
          <w:b w:val="0"/>
          <w:bCs w:val="0"/>
        </w:rPr>
        <w:t xml:space="preserve"> esitatakse </w:t>
      </w:r>
      <w:r w:rsidR="001B78DA" w:rsidRPr="00556AAF">
        <w:rPr>
          <w:rStyle w:val="Tugev"/>
          <w:rFonts w:ascii="Verdana" w:hAnsi="Verdana"/>
          <w:bCs w:val="0"/>
        </w:rPr>
        <w:t xml:space="preserve">tonnides </w:t>
      </w:r>
      <w:r w:rsidR="001B78DA" w:rsidRPr="00556AAF">
        <w:rPr>
          <w:rStyle w:val="Tugev"/>
          <w:rFonts w:ascii="Verdana" w:hAnsi="Verdana"/>
        </w:rPr>
        <w:t>SO</w:t>
      </w:r>
      <w:r w:rsidR="001B78DA" w:rsidRPr="00556AAF">
        <w:rPr>
          <w:rStyle w:val="Tugev"/>
          <w:rFonts w:ascii="Verdana" w:hAnsi="Verdana"/>
          <w:vertAlign w:val="subscript"/>
        </w:rPr>
        <w:t>2</w:t>
      </w:r>
      <w:r w:rsidR="00972068">
        <w:rPr>
          <w:rStyle w:val="Tugev"/>
          <w:rFonts w:ascii="Verdana" w:hAnsi="Verdana"/>
        </w:rPr>
        <w:t>/aastas.</w:t>
      </w:r>
    </w:p>
    <w:p w:rsidR="001B78DA" w:rsidRPr="00556AAF" w:rsidRDefault="001B78DA" w:rsidP="00CE54CD">
      <w:pPr>
        <w:numPr>
          <w:ilvl w:val="0"/>
          <w:numId w:val="23"/>
        </w:numPr>
        <w:spacing w:before="100" w:beforeAutospacing="1" w:after="100" w:afterAutospacing="1"/>
        <w:jc w:val="both"/>
      </w:pPr>
      <w:r w:rsidRPr="00556AAF">
        <w:rPr>
          <w:rFonts w:ascii="Verdana" w:hAnsi="Verdana"/>
        </w:rPr>
        <w:t>SO</w:t>
      </w:r>
      <w:r w:rsidRPr="00556AAF">
        <w:rPr>
          <w:rFonts w:ascii="Verdana" w:hAnsi="Verdana"/>
          <w:vertAlign w:val="subscript"/>
        </w:rPr>
        <w:t xml:space="preserve">2 </w:t>
      </w:r>
      <w:r w:rsidR="005849CC">
        <w:rPr>
          <w:rFonts w:ascii="Verdana" w:hAnsi="Verdana"/>
        </w:rPr>
        <w:t>heitmed</w:t>
      </w:r>
      <w:r w:rsidRPr="00556AAF">
        <w:rPr>
          <w:rFonts w:ascii="Verdana" w:hAnsi="Verdana"/>
        </w:rPr>
        <w:t xml:space="preserve"> aitavad kaasa välisõhu happelisuse tõusule</w:t>
      </w:r>
      <w:r w:rsidRPr="00556AAF">
        <w:t>.</w:t>
      </w:r>
    </w:p>
    <w:p w:rsidR="001B78DA" w:rsidRPr="00556AAF" w:rsidRDefault="005849CC" w:rsidP="00D6024D">
      <w:pPr>
        <w:pStyle w:val="Pealkiri4"/>
      </w:pPr>
      <w:r>
        <w:rPr>
          <w:u w:val="single"/>
        </w:rPr>
        <w:t>Põhinäitaja</w:t>
      </w:r>
      <w:r w:rsidR="001B78DA" w:rsidRPr="00556AAF">
        <w:rPr>
          <w:u w:val="single"/>
        </w:rPr>
        <w:t xml:space="preserve"> </w:t>
      </w:r>
      <w:r w:rsidR="007F3B51">
        <w:rPr>
          <w:u w:val="single"/>
        </w:rPr>
        <w:t>3.4</w:t>
      </w:r>
      <w:r w:rsidR="001B78DA" w:rsidRPr="00556AAF">
        <w:t>: Lämmastikoksiidid (NO</w:t>
      </w:r>
      <w:r w:rsidR="001B78DA" w:rsidRPr="00556AAF">
        <w:rPr>
          <w:vertAlign w:val="subscript"/>
        </w:rPr>
        <w:t>x</w:t>
      </w:r>
      <w:r w:rsidR="007F3B51">
        <w:t>)</w:t>
      </w:r>
    </w:p>
    <w:p w:rsidR="001B78DA" w:rsidRPr="00556AAF" w:rsidRDefault="001B78DA" w:rsidP="00CE54CD">
      <w:pPr>
        <w:numPr>
          <w:ilvl w:val="0"/>
          <w:numId w:val="24"/>
        </w:numPr>
        <w:spacing w:before="100" w:beforeAutospacing="1" w:after="100" w:afterAutospacing="1"/>
        <w:jc w:val="both"/>
      </w:pPr>
      <w:r w:rsidRPr="00556AAF">
        <w:rPr>
          <w:rFonts w:ascii="Verdana" w:hAnsi="Verdana"/>
        </w:rPr>
        <w:t>Definitsioon: Lämmastiku ja hapniku ühendite õhuheide, mis on moodustunud  kas põletamise käigus või lämmastikku sisalduvate ainetega seonduvates keemilistes protsessides.</w:t>
      </w:r>
    </w:p>
    <w:p w:rsidR="001B78DA" w:rsidRPr="00556AAF" w:rsidRDefault="000977F9" w:rsidP="00CE54CD">
      <w:pPr>
        <w:numPr>
          <w:ilvl w:val="0"/>
          <w:numId w:val="24"/>
        </w:numPr>
        <w:spacing w:before="100" w:beforeAutospacing="1" w:after="100" w:afterAutospacing="1"/>
        <w:jc w:val="both"/>
      </w:pPr>
      <w:r>
        <w:rPr>
          <w:rFonts w:ascii="Verdana" w:hAnsi="Verdana"/>
        </w:rPr>
        <w:t>Näitaja</w:t>
      </w:r>
      <w:r w:rsidR="001B78DA" w:rsidRPr="00556AAF">
        <w:rPr>
          <w:rFonts w:ascii="Verdana" w:hAnsi="Verdana"/>
        </w:rPr>
        <w:t xml:space="preserve"> sisaldab NO ja NO</w:t>
      </w:r>
      <w:r w:rsidR="001B78DA" w:rsidRPr="00556AAF">
        <w:rPr>
          <w:rFonts w:ascii="Verdana" w:hAnsi="Verdana"/>
          <w:vertAlign w:val="subscript"/>
        </w:rPr>
        <w:t>2</w:t>
      </w:r>
      <w:r w:rsidR="001B78DA" w:rsidRPr="00556AAF">
        <w:rPr>
          <w:rFonts w:ascii="Verdana" w:hAnsi="Verdana"/>
        </w:rPr>
        <w:t xml:space="preserve"> ja esitatakse </w:t>
      </w:r>
      <w:r w:rsidR="001B78DA" w:rsidRPr="00556AAF">
        <w:rPr>
          <w:rFonts w:ascii="Verdana" w:hAnsi="Verdana"/>
          <w:b/>
        </w:rPr>
        <w:t xml:space="preserve">tonnides </w:t>
      </w:r>
      <w:r w:rsidR="001B78DA" w:rsidRPr="00556AAF">
        <w:rPr>
          <w:rStyle w:val="Tugev"/>
          <w:rFonts w:ascii="Verdana" w:hAnsi="Verdana"/>
        </w:rPr>
        <w:t>NO</w:t>
      </w:r>
      <w:r w:rsidR="001B78DA" w:rsidRPr="00556AAF">
        <w:rPr>
          <w:rStyle w:val="Tugev"/>
          <w:rFonts w:ascii="Verdana" w:hAnsi="Verdana"/>
          <w:vertAlign w:val="subscript"/>
        </w:rPr>
        <w:t>2</w:t>
      </w:r>
      <w:r w:rsidR="00972068">
        <w:rPr>
          <w:rStyle w:val="Tugev"/>
          <w:rFonts w:ascii="Verdana" w:hAnsi="Verdana"/>
        </w:rPr>
        <w:t>/aastas.</w:t>
      </w:r>
      <w:r w:rsidR="001B78DA" w:rsidRPr="00556AAF">
        <w:t xml:space="preserve"> </w:t>
      </w:r>
    </w:p>
    <w:p w:rsidR="001B78DA" w:rsidRPr="00556AAF" w:rsidRDefault="001B78DA" w:rsidP="00CE54CD">
      <w:pPr>
        <w:numPr>
          <w:ilvl w:val="0"/>
          <w:numId w:val="24"/>
        </w:numPr>
        <w:spacing w:before="100" w:beforeAutospacing="1" w:after="100" w:afterAutospacing="1"/>
        <w:jc w:val="both"/>
      </w:pPr>
      <w:r w:rsidRPr="00556AAF">
        <w:rPr>
          <w:rFonts w:ascii="Verdana" w:hAnsi="Verdana"/>
        </w:rPr>
        <w:t>NO</w:t>
      </w:r>
      <w:r w:rsidRPr="00556AAF">
        <w:rPr>
          <w:rFonts w:ascii="Verdana" w:hAnsi="Verdana"/>
          <w:vertAlign w:val="subscript"/>
        </w:rPr>
        <w:t xml:space="preserve">x </w:t>
      </w:r>
      <w:r w:rsidRPr="00556AAF">
        <w:rPr>
          <w:rFonts w:ascii="Verdana" w:hAnsi="Verdana"/>
        </w:rPr>
        <w:t>heitmed aitavad kaasa välisõhu happelisuse tõusule ja neil on kalduvus aidata kaasa fotokeemilise osooni tekkimisele.</w:t>
      </w:r>
    </w:p>
    <w:p w:rsidR="001B78DA" w:rsidRPr="00556AAF" w:rsidRDefault="00D6024D" w:rsidP="00D6024D">
      <w:pPr>
        <w:pStyle w:val="Pealkiri4"/>
      </w:pPr>
      <w:r>
        <w:rPr>
          <w:u w:val="single"/>
        </w:rPr>
        <w:t>PõhiNäitaja</w:t>
      </w:r>
      <w:r w:rsidR="001B78DA" w:rsidRPr="00556AAF">
        <w:rPr>
          <w:u w:val="single"/>
        </w:rPr>
        <w:t xml:space="preserve"> </w:t>
      </w:r>
      <w:r w:rsidR="007F3B51">
        <w:rPr>
          <w:u w:val="single"/>
        </w:rPr>
        <w:t>3.5</w:t>
      </w:r>
      <w:r w:rsidR="001B78DA" w:rsidRPr="00556AAF">
        <w:t>: Lend</w:t>
      </w:r>
      <w:r w:rsidR="007F3B51">
        <w:t>uvad orgaanilised ühendid (LOÜ)</w:t>
      </w:r>
    </w:p>
    <w:p w:rsidR="009506E1" w:rsidRPr="009506E1" w:rsidRDefault="001B78DA" w:rsidP="009506E1">
      <w:pPr>
        <w:numPr>
          <w:ilvl w:val="0"/>
          <w:numId w:val="26"/>
        </w:numPr>
        <w:spacing w:before="100" w:beforeAutospacing="1" w:after="100" w:afterAutospacing="1"/>
        <w:jc w:val="both"/>
      </w:pPr>
      <w:r w:rsidRPr="00556AAF">
        <w:rPr>
          <w:rFonts w:ascii="Verdana" w:hAnsi="Verdana"/>
        </w:rPr>
        <w:t xml:space="preserve">Definitsioon: </w:t>
      </w:r>
      <w:r w:rsidR="009506E1" w:rsidRPr="009506E1">
        <w:rPr>
          <w:rFonts w:ascii="Verdana" w:hAnsi="Verdana"/>
        </w:rPr>
        <w:t>Lenduvad orgaanilised ühendid on kõik inimtekkelised ja biogeensed orgaanilised ühendid, mis võivad päikesekiirguse toimel tekitada lämmastikoksiididega reageerides fotokeemilisi oksüdante, välja arvatud metaan.</w:t>
      </w:r>
    </w:p>
    <w:p w:rsidR="001B78DA" w:rsidRPr="00556AAF" w:rsidRDefault="009506E1" w:rsidP="009506E1">
      <w:pPr>
        <w:numPr>
          <w:ilvl w:val="0"/>
          <w:numId w:val="26"/>
        </w:numPr>
        <w:spacing w:before="100" w:beforeAutospacing="1" w:after="100" w:afterAutospacing="1"/>
        <w:jc w:val="both"/>
      </w:pPr>
      <w:r>
        <w:rPr>
          <w:rFonts w:ascii="Verdana" w:hAnsi="Verdana"/>
        </w:rPr>
        <w:t>LOÜ</w:t>
      </w:r>
      <w:r w:rsidRPr="009506E1">
        <w:rPr>
          <w:rFonts w:ascii="Verdana" w:hAnsi="Verdana"/>
        </w:rPr>
        <w:t xml:space="preserve"> – orgaaniline ühend, mille aururõhk on 293,15 K juures 0,01 kPa või suurem või mille lenduvus on selline teatavatel kasutustingimustel. LOÜ-ks loetakse kreosoodi fraktsiooni, mille aururõhu väärtus on 293,15 K juures 0,01 kPa või suurem</w:t>
      </w:r>
      <w:r>
        <w:rPr>
          <w:rFonts w:ascii="Verdana" w:hAnsi="Verdana"/>
        </w:rPr>
        <w:t>.</w:t>
      </w:r>
    </w:p>
    <w:p w:rsidR="001B78DA" w:rsidRPr="00556AAF" w:rsidRDefault="00972068" w:rsidP="00CE54CD">
      <w:pPr>
        <w:numPr>
          <w:ilvl w:val="0"/>
          <w:numId w:val="26"/>
        </w:numPr>
        <w:spacing w:before="100" w:beforeAutospacing="1" w:after="100" w:afterAutospacing="1"/>
        <w:jc w:val="both"/>
      </w:pPr>
      <w:r>
        <w:rPr>
          <w:rStyle w:val="Tugev"/>
          <w:rFonts w:ascii="Verdana" w:hAnsi="Verdana"/>
          <w:b w:val="0"/>
          <w:bCs w:val="0"/>
        </w:rPr>
        <w:t>Näitaja</w:t>
      </w:r>
      <w:r w:rsidR="001B78DA" w:rsidRPr="00556AAF">
        <w:rPr>
          <w:rStyle w:val="Tugev"/>
          <w:rFonts w:ascii="Verdana" w:hAnsi="Verdana"/>
        </w:rPr>
        <w:t xml:space="preserve"> </w:t>
      </w:r>
      <w:r w:rsidR="001B78DA" w:rsidRPr="00556AAF">
        <w:rPr>
          <w:rStyle w:val="Tugev"/>
          <w:rFonts w:ascii="Verdana" w:hAnsi="Verdana"/>
          <w:b w:val="0"/>
          <w:bCs w:val="0"/>
        </w:rPr>
        <w:t>esitatakse</w:t>
      </w:r>
      <w:r>
        <w:rPr>
          <w:rStyle w:val="Tugev"/>
          <w:rFonts w:ascii="Verdana" w:hAnsi="Verdana"/>
          <w:b w:val="0"/>
          <w:bCs w:val="0"/>
        </w:rPr>
        <w:t xml:space="preserve"> kui</w:t>
      </w:r>
      <w:r w:rsidR="001B78DA" w:rsidRPr="00556AAF">
        <w:t xml:space="preserve"> </w:t>
      </w:r>
      <w:r>
        <w:rPr>
          <w:rFonts w:ascii="Verdana" w:hAnsi="Verdana"/>
          <w:b/>
          <w:bCs/>
        </w:rPr>
        <w:t>tonni/aastas</w:t>
      </w:r>
      <w:r w:rsidR="001B78DA" w:rsidRPr="00556AAF">
        <w:rPr>
          <w:rFonts w:ascii="Verdana" w:hAnsi="Verdana"/>
          <w:b/>
          <w:bCs/>
        </w:rPr>
        <w:t>.</w:t>
      </w:r>
    </w:p>
    <w:p w:rsidR="001B78DA" w:rsidRPr="005C2660" w:rsidRDefault="00972068" w:rsidP="0094017D">
      <w:pPr>
        <w:numPr>
          <w:ilvl w:val="0"/>
          <w:numId w:val="26"/>
        </w:numPr>
        <w:spacing w:before="100" w:beforeAutospacing="1" w:after="100" w:afterAutospacing="1"/>
        <w:jc w:val="both"/>
        <w:rPr>
          <w:i/>
          <w:iCs/>
        </w:rPr>
      </w:pPr>
      <w:r>
        <w:rPr>
          <w:rFonts w:ascii="Verdana" w:hAnsi="Verdana"/>
        </w:rPr>
        <w:t>Näitaja</w:t>
      </w:r>
      <w:r w:rsidR="001B78DA" w:rsidRPr="00556AAF">
        <w:rPr>
          <w:rFonts w:ascii="Verdana" w:hAnsi="Verdana"/>
        </w:rPr>
        <w:t xml:space="preserve"> peegeldab fotokeemilise osooni tekkimise potentsiaali, millel on oma osa ka respiratoorsetes probleemides ja taimestiku ökoloogilisel kahjustamisel.</w:t>
      </w:r>
      <w:r w:rsidR="001B78DA" w:rsidRPr="00556AAF">
        <w:t xml:space="preserve"> </w:t>
      </w:r>
    </w:p>
    <w:p w:rsidR="00AC73F5" w:rsidRDefault="00FE393C" w:rsidP="00D6024D">
      <w:pPr>
        <w:pStyle w:val="Pealkiri4"/>
        <w:rPr>
          <w:u w:val="single"/>
        </w:rPr>
      </w:pPr>
      <w:r>
        <w:rPr>
          <w:u w:val="single"/>
        </w:rPr>
        <w:t>Põhinäitaja</w:t>
      </w:r>
      <w:r w:rsidR="001B78DA" w:rsidRPr="00556AAF">
        <w:rPr>
          <w:u w:val="single"/>
        </w:rPr>
        <w:t xml:space="preserve"> </w:t>
      </w:r>
      <w:r w:rsidR="007F3B51">
        <w:rPr>
          <w:u w:val="single"/>
        </w:rPr>
        <w:t>3.6</w:t>
      </w:r>
      <w:r w:rsidR="001B78DA" w:rsidRPr="00556AAF">
        <w:t>: Süsinikdioksiid (CO</w:t>
      </w:r>
      <w:r w:rsidR="001B78DA" w:rsidRPr="00556AAF">
        <w:rPr>
          <w:vertAlign w:val="subscript"/>
        </w:rPr>
        <w:t>2</w:t>
      </w:r>
      <w:r w:rsidR="007F3B51">
        <w:t>)</w:t>
      </w:r>
    </w:p>
    <w:p w:rsidR="00844F45" w:rsidRPr="00882FE7" w:rsidRDefault="001B78DA" w:rsidP="00B06B7A">
      <w:pPr>
        <w:pStyle w:val="Normaallaadveeb"/>
        <w:numPr>
          <w:ilvl w:val="0"/>
          <w:numId w:val="35"/>
        </w:numPr>
        <w:jc w:val="both"/>
        <w:rPr>
          <w:lang w:val="et-EE"/>
        </w:rPr>
      </w:pPr>
      <w:r w:rsidRPr="00AC73F5">
        <w:rPr>
          <w:rFonts w:ascii="Verdana" w:hAnsi="Verdana"/>
          <w:lang w:val="et-EE"/>
        </w:rPr>
        <w:t>Definitsioon: suurima panuse CO</w:t>
      </w:r>
      <w:r w:rsidRPr="00AC73F5">
        <w:rPr>
          <w:rFonts w:ascii="Verdana" w:hAnsi="Verdana"/>
          <w:vertAlign w:val="subscript"/>
          <w:lang w:val="et-EE"/>
        </w:rPr>
        <w:t>2</w:t>
      </w:r>
      <w:r w:rsidRPr="00AC73F5">
        <w:rPr>
          <w:rFonts w:ascii="Verdana" w:hAnsi="Verdana"/>
          <w:lang w:val="et-EE"/>
        </w:rPr>
        <w:t xml:space="preserve"> heitele annab keemiatööstus </w:t>
      </w:r>
      <w:r w:rsidR="00AC73F5">
        <w:rPr>
          <w:rFonts w:ascii="Verdana" w:hAnsi="Verdana"/>
          <w:lang w:val="et-EE"/>
        </w:rPr>
        <w:t>otseselt</w:t>
      </w:r>
      <w:r w:rsidR="00AC73F5" w:rsidRPr="00AC73F5">
        <w:rPr>
          <w:rFonts w:ascii="Verdana" w:hAnsi="Verdana"/>
          <w:lang w:val="et-EE"/>
        </w:rPr>
        <w:t xml:space="preserve"> </w:t>
      </w:r>
      <w:r w:rsidRPr="00AC73F5">
        <w:rPr>
          <w:rFonts w:ascii="Verdana" w:hAnsi="Verdana"/>
          <w:lang w:val="et-EE"/>
        </w:rPr>
        <w:t>läbi kütuste põletamise</w:t>
      </w:r>
      <w:r w:rsidR="00AC73F5">
        <w:rPr>
          <w:rFonts w:ascii="Verdana" w:hAnsi="Verdana"/>
          <w:lang w:val="et-EE"/>
        </w:rPr>
        <w:t xml:space="preserve"> (CO</w:t>
      </w:r>
      <w:r w:rsidR="00AC73F5" w:rsidRPr="00016B93">
        <w:rPr>
          <w:rFonts w:ascii="Verdana" w:hAnsi="Verdana"/>
          <w:vertAlign w:val="subscript"/>
          <w:lang w:val="et-EE"/>
        </w:rPr>
        <w:t>2</w:t>
      </w:r>
      <w:r w:rsidR="00AC73F5">
        <w:rPr>
          <w:rFonts w:ascii="Verdana" w:hAnsi="Verdana"/>
          <w:lang w:val="et-EE"/>
        </w:rPr>
        <w:t xml:space="preserve"> otsene heide) kui ka </w:t>
      </w:r>
      <w:r w:rsidRPr="00AC73F5">
        <w:rPr>
          <w:rFonts w:ascii="Verdana" w:hAnsi="Verdana"/>
          <w:lang w:val="et-EE"/>
        </w:rPr>
        <w:t>seoses elektri tarbimisega</w:t>
      </w:r>
      <w:r w:rsidR="00AC73F5">
        <w:rPr>
          <w:rFonts w:ascii="Verdana" w:hAnsi="Verdana"/>
          <w:lang w:val="et-EE"/>
        </w:rPr>
        <w:t xml:space="preserve"> kaudselt</w:t>
      </w:r>
      <w:r w:rsidRPr="00AC73F5">
        <w:rPr>
          <w:rFonts w:ascii="Verdana" w:hAnsi="Verdana"/>
          <w:lang w:val="et-EE"/>
        </w:rPr>
        <w:t xml:space="preserve"> (CO</w:t>
      </w:r>
      <w:r w:rsidRPr="00AC73F5">
        <w:rPr>
          <w:rFonts w:ascii="Verdana" w:hAnsi="Verdana"/>
          <w:vertAlign w:val="subscript"/>
          <w:lang w:val="et-EE"/>
        </w:rPr>
        <w:t xml:space="preserve">2   </w:t>
      </w:r>
      <w:r w:rsidRPr="00AC73F5">
        <w:rPr>
          <w:rFonts w:ascii="Verdana" w:hAnsi="Verdana"/>
          <w:lang w:val="et-EE"/>
        </w:rPr>
        <w:t xml:space="preserve">  </w:t>
      </w:r>
      <w:r w:rsidR="00AC73F5">
        <w:rPr>
          <w:rFonts w:ascii="Verdana" w:hAnsi="Verdana"/>
          <w:lang w:val="et-EE"/>
        </w:rPr>
        <w:t>kaudne heide).</w:t>
      </w:r>
      <w:r w:rsidRPr="00AC73F5">
        <w:rPr>
          <w:rFonts w:ascii="Verdana" w:hAnsi="Verdana"/>
          <w:lang w:val="et-EE"/>
        </w:rPr>
        <w:t xml:space="preserve"> </w:t>
      </w:r>
      <w:r w:rsidR="00AC73F5">
        <w:rPr>
          <w:rFonts w:ascii="Verdana" w:hAnsi="Verdana"/>
          <w:lang w:val="et-EE"/>
        </w:rPr>
        <w:t>Seega need heitkogused arvutatakse energia tarbimise baasil</w:t>
      </w:r>
      <w:r w:rsidR="00443FBB">
        <w:rPr>
          <w:rFonts w:ascii="Verdana" w:hAnsi="Verdana"/>
          <w:lang w:val="et-EE"/>
        </w:rPr>
        <w:t xml:space="preserve"> (põhinäitaja 4.1)</w:t>
      </w:r>
      <w:r w:rsidR="00AC73F5">
        <w:rPr>
          <w:rFonts w:ascii="Verdana" w:hAnsi="Verdana"/>
          <w:lang w:val="et-EE"/>
        </w:rPr>
        <w:t xml:space="preserve">. </w:t>
      </w:r>
    </w:p>
    <w:p w:rsidR="00882FE7" w:rsidRPr="00844F45" w:rsidRDefault="00882FE7" w:rsidP="00B06B7A">
      <w:pPr>
        <w:pStyle w:val="Normaallaadveeb"/>
        <w:numPr>
          <w:ilvl w:val="0"/>
          <w:numId w:val="35"/>
        </w:numPr>
        <w:jc w:val="both"/>
        <w:rPr>
          <w:lang w:val="et-EE"/>
        </w:rPr>
      </w:pPr>
      <w:r>
        <w:rPr>
          <w:rFonts w:ascii="Verdana" w:hAnsi="Verdana"/>
          <w:lang w:val="et-EE"/>
        </w:rPr>
        <w:t>EKTL kogub põhinäitajana vaid süsinikoksiidi koguheidet ehk summeeritud otsest ja kaudset CO</w:t>
      </w:r>
      <w:r w:rsidRPr="00B46C91">
        <w:rPr>
          <w:rFonts w:ascii="Verdana" w:hAnsi="Verdana"/>
          <w:vertAlign w:val="subscript"/>
          <w:lang w:val="et-EE"/>
        </w:rPr>
        <w:t>2</w:t>
      </w:r>
      <w:r>
        <w:rPr>
          <w:rFonts w:ascii="Verdana" w:hAnsi="Verdana"/>
          <w:lang w:val="et-EE"/>
        </w:rPr>
        <w:t xml:space="preserve"> heidet.</w:t>
      </w:r>
    </w:p>
    <w:p w:rsidR="00844F45" w:rsidRDefault="00844F45" w:rsidP="00D6024D">
      <w:pPr>
        <w:pStyle w:val="Pealkiri5"/>
      </w:pPr>
      <w:r>
        <w:t>Otsene CO</w:t>
      </w:r>
      <w:r w:rsidRPr="00016B93">
        <w:rPr>
          <w:vertAlign w:val="subscript"/>
        </w:rPr>
        <w:t>2</w:t>
      </w:r>
      <w:r>
        <w:t xml:space="preserve"> heide:</w:t>
      </w:r>
    </w:p>
    <w:p w:rsidR="00AC73F5" w:rsidRPr="00AC3D74" w:rsidRDefault="00844F45" w:rsidP="00B06B7A">
      <w:pPr>
        <w:pStyle w:val="Normaallaadveeb"/>
        <w:numPr>
          <w:ilvl w:val="0"/>
          <w:numId w:val="35"/>
        </w:numPr>
        <w:jc w:val="both"/>
        <w:rPr>
          <w:lang w:val="et-EE"/>
        </w:rPr>
      </w:pPr>
      <w:r>
        <w:rPr>
          <w:rFonts w:ascii="Verdana" w:hAnsi="Verdana"/>
          <w:lang w:val="et-EE"/>
        </w:rPr>
        <w:t>CO</w:t>
      </w:r>
      <w:r w:rsidRPr="00016B93">
        <w:rPr>
          <w:rFonts w:ascii="Verdana" w:hAnsi="Verdana"/>
          <w:vertAlign w:val="subscript"/>
          <w:lang w:val="et-EE"/>
        </w:rPr>
        <w:t>2</w:t>
      </w:r>
      <w:r>
        <w:rPr>
          <w:rFonts w:ascii="Verdana" w:hAnsi="Verdana"/>
          <w:lang w:val="et-EE"/>
        </w:rPr>
        <w:t xml:space="preserve"> otsene heide on need ühendid CO</w:t>
      </w:r>
      <w:r w:rsidRPr="00016B93">
        <w:rPr>
          <w:rFonts w:ascii="Verdana" w:hAnsi="Verdana"/>
          <w:vertAlign w:val="subscript"/>
          <w:lang w:val="et-EE"/>
        </w:rPr>
        <w:t>2</w:t>
      </w:r>
      <w:r>
        <w:rPr>
          <w:rFonts w:ascii="Verdana" w:hAnsi="Verdana"/>
          <w:lang w:val="et-EE"/>
        </w:rPr>
        <w:t xml:space="preserve"> ekvivalentides, mis eralduvad käitises otseselt kütuse põletamise tulemusena, selleks et toota elektrit ja auru (soojust). Otsene CO</w:t>
      </w:r>
      <w:r w:rsidRPr="00016B93">
        <w:rPr>
          <w:rFonts w:ascii="Verdana" w:hAnsi="Verdana"/>
          <w:vertAlign w:val="subscript"/>
          <w:lang w:val="et-EE"/>
        </w:rPr>
        <w:t>2</w:t>
      </w:r>
      <w:r>
        <w:rPr>
          <w:rFonts w:ascii="Verdana" w:hAnsi="Verdana"/>
          <w:lang w:val="et-EE"/>
        </w:rPr>
        <w:t xml:space="preserve"> heitkogus arvutatakse kui tonni CO</w:t>
      </w:r>
      <w:r w:rsidRPr="00016B93">
        <w:rPr>
          <w:rFonts w:ascii="Verdana" w:hAnsi="Verdana"/>
          <w:vertAlign w:val="subscript"/>
          <w:lang w:val="et-EE"/>
        </w:rPr>
        <w:t>2</w:t>
      </w:r>
      <w:r>
        <w:rPr>
          <w:rFonts w:ascii="Verdana" w:hAnsi="Verdana"/>
          <w:lang w:val="et-EE"/>
        </w:rPr>
        <w:t xml:space="preserve"> ekvivalenti korrutades energia tootmiseks kasutatud tahke, vedela ja gaasilise kütuse</w:t>
      </w:r>
      <w:r w:rsidR="00AC3D74">
        <w:rPr>
          <w:rFonts w:ascii="Verdana" w:hAnsi="Verdana"/>
          <w:lang w:val="et-EE"/>
        </w:rPr>
        <w:t xml:space="preserve"> kogused vastavate CO</w:t>
      </w:r>
      <w:r w:rsidR="00AC3D74" w:rsidRPr="00016B93">
        <w:rPr>
          <w:rFonts w:ascii="Verdana" w:hAnsi="Verdana"/>
          <w:vertAlign w:val="subscript"/>
          <w:lang w:val="et-EE"/>
        </w:rPr>
        <w:t>2</w:t>
      </w:r>
      <w:r w:rsidR="00AC3D74">
        <w:rPr>
          <w:rFonts w:ascii="Verdana" w:hAnsi="Verdana"/>
          <w:lang w:val="et-EE"/>
        </w:rPr>
        <w:t xml:space="preserve"> </w:t>
      </w:r>
      <w:r w:rsidR="007F0AE4">
        <w:rPr>
          <w:rFonts w:ascii="Verdana" w:hAnsi="Verdana"/>
          <w:lang w:val="et-EE"/>
        </w:rPr>
        <w:t>heitekoefitsientidega</w:t>
      </w:r>
      <w:r w:rsidR="00AC3D74">
        <w:rPr>
          <w:rFonts w:ascii="Verdana" w:hAnsi="Verdana"/>
          <w:lang w:val="et-EE"/>
        </w:rPr>
        <w:t xml:space="preserve">. Kui ettevõte toodab energiat koostootmise protsessis või mõnel </w:t>
      </w:r>
      <w:r w:rsidR="00AC3D74">
        <w:rPr>
          <w:rFonts w:ascii="Verdana" w:hAnsi="Verdana"/>
          <w:lang w:val="et-EE"/>
        </w:rPr>
        <w:lastRenderedPageBreak/>
        <w:t>muul viisil ja seejärel müüb elektrit või auru (soojust) tagasi mõnele teisele kasutajale, siis need heitkogused tuleb</w:t>
      </w:r>
      <w:r w:rsidR="00016B93">
        <w:rPr>
          <w:rFonts w:ascii="Verdana" w:hAnsi="Verdana"/>
          <w:lang w:val="et-EE"/>
        </w:rPr>
        <w:t xml:space="preserve"> </w:t>
      </w:r>
      <w:r w:rsidR="00AC3D74">
        <w:rPr>
          <w:rFonts w:ascii="Verdana" w:hAnsi="Verdana"/>
          <w:lang w:val="et-EE"/>
        </w:rPr>
        <w:t xml:space="preserve">vastavalt lahutada. </w:t>
      </w:r>
    </w:p>
    <w:p w:rsidR="00AC3D74" w:rsidRDefault="00AC3D74" w:rsidP="00D6024D">
      <w:pPr>
        <w:pStyle w:val="Pealkiri5"/>
      </w:pPr>
      <w:r>
        <w:t>Kaudne CO</w:t>
      </w:r>
      <w:r w:rsidRPr="00016B93">
        <w:rPr>
          <w:vertAlign w:val="subscript"/>
        </w:rPr>
        <w:t>2</w:t>
      </w:r>
      <w:r>
        <w:t xml:space="preserve"> heide: </w:t>
      </w:r>
    </w:p>
    <w:p w:rsidR="00AC3D74" w:rsidRDefault="00AC3D74" w:rsidP="00882FE7">
      <w:pPr>
        <w:pStyle w:val="Normaallaadveeb"/>
        <w:numPr>
          <w:ilvl w:val="0"/>
          <w:numId w:val="35"/>
        </w:numPr>
        <w:jc w:val="both"/>
        <w:rPr>
          <w:lang w:val="et-EE"/>
        </w:rPr>
      </w:pPr>
      <w:r>
        <w:rPr>
          <w:rFonts w:ascii="Verdana" w:hAnsi="Verdana"/>
          <w:lang w:val="et-EE"/>
        </w:rPr>
        <w:t>Kaudsed CO</w:t>
      </w:r>
      <w:r w:rsidRPr="00016B93">
        <w:rPr>
          <w:rFonts w:ascii="Verdana" w:hAnsi="Verdana"/>
          <w:vertAlign w:val="subscript"/>
          <w:lang w:val="et-EE"/>
        </w:rPr>
        <w:t>2</w:t>
      </w:r>
      <w:r>
        <w:rPr>
          <w:rFonts w:ascii="Verdana" w:hAnsi="Verdana"/>
          <w:lang w:val="et-EE"/>
        </w:rPr>
        <w:t xml:space="preserve"> heitkogused on need kogused, mis tulenevad teisest allikast (teisest ettevõttest) pärit energia ostmisest.</w:t>
      </w:r>
      <w:r w:rsidR="00500821">
        <w:rPr>
          <w:rFonts w:ascii="Verdana" w:hAnsi="Verdana"/>
          <w:lang w:val="et-EE"/>
        </w:rPr>
        <w:t xml:space="preserve"> Kaudne CO</w:t>
      </w:r>
      <w:r w:rsidR="00500821" w:rsidRPr="00016B93">
        <w:rPr>
          <w:rFonts w:ascii="Verdana" w:hAnsi="Verdana"/>
          <w:vertAlign w:val="subscript"/>
          <w:lang w:val="et-EE"/>
        </w:rPr>
        <w:t>2</w:t>
      </w:r>
      <w:r w:rsidR="00500821">
        <w:rPr>
          <w:rFonts w:ascii="Verdana" w:hAnsi="Verdana"/>
          <w:lang w:val="et-EE"/>
        </w:rPr>
        <w:t xml:space="preserve"> heitkogus arvutatakse kui tonni CO</w:t>
      </w:r>
      <w:r w:rsidR="00500821" w:rsidRPr="00016B93">
        <w:rPr>
          <w:rFonts w:ascii="Verdana" w:hAnsi="Verdana"/>
          <w:vertAlign w:val="subscript"/>
          <w:lang w:val="et-EE"/>
        </w:rPr>
        <w:t>2</w:t>
      </w:r>
      <w:r w:rsidR="00500821">
        <w:rPr>
          <w:rFonts w:ascii="Verdana" w:hAnsi="Verdana"/>
          <w:lang w:val="et-EE"/>
        </w:rPr>
        <w:t xml:space="preserve"> ekvivalenti korrutades ostetud elektri netokoguse </w:t>
      </w:r>
      <w:r w:rsidR="00016B93">
        <w:rPr>
          <w:rFonts w:ascii="Verdana" w:hAnsi="Verdana"/>
          <w:lang w:val="et-EE"/>
        </w:rPr>
        <w:t>heitekoefitsiendiga</w:t>
      </w:r>
      <w:r w:rsidR="00500821">
        <w:rPr>
          <w:rFonts w:ascii="Verdana" w:hAnsi="Verdana"/>
          <w:lang w:val="et-EE"/>
        </w:rPr>
        <w:t>, mis näitab keskmist CO</w:t>
      </w:r>
      <w:r w:rsidR="00500821" w:rsidRPr="00016B93">
        <w:rPr>
          <w:rFonts w:ascii="Verdana" w:hAnsi="Verdana"/>
          <w:vertAlign w:val="subscript"/>
          <w:lang w:val="et-EE"/>
        </w:rPr>
        <w:t>2</w:t>
      </w:r>
      <w:r w:rsidR="00500821">
        <w:rPr>
          <w:rFonts w:ascii="Verdana" w:hAnsi="Verdana"/>
          <w:lang w:val="et-EE"/>
        </w:rPr>
        <w:t xml:space="preserve"> heidet toodetud kWh kohta. Igal riigil on erinev </w:t>
      </w:r>
      <w:r w:rsidR="005627EA">
        <w:rPr>
          <w:rFonts w:ascii="Verdana" w:hAnsi="Verdana"/>
          <w:lang w:val="et-EE"/>
        </w:rPr>
        <w:t xml:space="preserve">segu elektritootmiseks kasutatavatest allikatest ning seega erineb ka kõnealune </w:t>
      </w:r>
      <w:r w:rsidR="00016B93">
        <w:rPr>
          <w:rFonts w:ascii="Verdana" w:hAnsi="Verdana"/>
          <w:lang w:val="et-EE"/>
        </w:rPr>
        <w:t>koefitsient</w:t>
      </w:r>
      <w:r w:rsidR="005627EA">
        <w:rPr>
          <w:rFonts w:ascii="Verdana" w:hAnsi="Verdana"/>
          <w:lang w:val="et-EE"/>
        </w:rPr>
        <w:t>, mis näitab keskmist CO</w:t>
      </w:r>
      <w:r w:rsidR="005627EA" w:rsidRPr="00016B93">
        <w:rPr>
          <w:rFonts w:ascii="Verdana" w:hAnsi="Verdana"/>
          <w:vertAlign w:val="subscript"/>
          <w:lang w:val="et-EE"/>
        </w:rPr>
        <w:t>2</w:t>
      </w:r>
      <w:r w:rsidR="005627EA">
        <w:rPr>
          <w:rFonts w:ascii="Verdana" w:hAnsi="Verdana"/>
          <w:lang w:val="et-EE"/>
        </w:rPr>
        <w:t xml:space="preserve"> heidet toodetud kWh kohta. </w:t>
      </w:r>
    </w:p>
    <w:p w:rsidR="001B78DA" w:rsidRPr="009C73ED" w:rsidRDefault="001B78DA" w:rsidP="00882FE7">
      <w:pPr>
        <w:pStyle w:val="Normaallaadveeb"/>
        <w:numPr>
          <w:ilvl w:val="0"/>
          <w:numId w:val="35"/>
        </w:numPr>
        <w:jc w:val="both"/>
        <w:rPr>
          <w:lang w:val="et-EE"/>
        </w:rPr>
      </w:pPr>
      <w:r w:rsidRPr="00AC73F5">
        <w:rPr>
          <w:rFonts w:ascii="Verdana" w:hAnsi="Verdana"/>
          <w:lang w:val="et-EE"/>
        </w:rPr>
        <w:t>CO</w:t>
      </w:r>
      <w:r w:rsidRPr="00AC73F5">
        <w:rPr>
          <w:rFonts w:ascii="Verdana" w:hAnsi="Verdana"/>
          <w:vertAlign w:val="subscript"/>
          <w:lang w:val="et-EE"/>
        </w:rPr>
        <w:t>2</w:t>
      </w:r>
      <w:r w:rsidRPr="00AC73F5">
        <w:rPr>
          <w:rFonts w:ascii="Verdana" w:hAnsi="Verdana"/>
          <w:lang w:val="et-EE"/>
        </w:rPr>
        <w:t xml:space="preserve"> </w:t>
      </w:r>
      <w:r w:rsidR="00FE393C">
        <w:rPr>
          <w:rFonts w:ascii="Verdana" w:hAnsi="Verdana"/>
          <w:lang w:val="et-EE"/>
        </w:rPr>
        <w:t>näitajat</w:t>
      </w:r>
      <w:r w:rsidRPr="00AC73F5">
        <w:rPr>
          <w:rFonts w:ascii="Verdana" w:hAnsi="Verdana"/>
          <w:lang w:val="et-EE"/>
        </w:rPr>
        <w:t xml:space="preserve"> </w:t>
      </w:r>
      <w:r w:rsidR="00016B93">
        <w:rPr>
          <w:rFonts w:ascii="Verdana" w:hAnsi="Verdana"/>
          <w:lang w:val="et-EE"/>
        </w:rPr>
        <w:t>väljenda</w:t>
      </w:r>
      <w:r w:rsidRPr="00AC73F5">
        <w:rPr>
          <w:rFonts w:ascii="Verdana" w:hAnsi="Verdana"/>
          <w:lang w:val="et-EE"/>
        </w:rPr>
        <w:t xml:space="preserve">takse </w:t>
      </w:r>
      <w:r w:rsidR="00FE393C">
        <w:rPr>
          <w:rFonts w:ascii="Verdana" w:hAnsi="Verdana"/>
          <w:lang w:val="et-EE"/>
        </w:rPr>
        <w:t xml:space="preserve">kui </w:t>
      </w:r>
      <w:r w:rsidR="00FE393C" w:rsidRPr="00FE393C">
        <w:rPr>
          <w:rFonts w:ascii="Verdana" w:hAnsi="Verdana"/>
          <w:b/>
          <w:lang w:val="et-EE"/>
        </w:rPr>
        <w:t>miljonit tonni</w:t>
      </w:r>
      <w:r w:rsidRPr="00AC73F5">
        <w:rPr>
          <w:rFonts w:ascii="Verdana" w:hAnsi="Verdana"/>
          <w:lang w:val="et-EE"/>
        </w:rPr>
        <w:t xml:space="preserve"> </w:t>
      </w:r>
      <w:r w:rsidRPr="00AC73F5">
        <w:rPr>
          <w:rStyle w:val="Tugev"/>
          <w:rFonts w:ascii="Verdana" w:hAnsi="Verdana"/>
          <w:lang w:val="et-EE"/>
        </w:rPr>
        <w:t>CO</w:t>
      </w:r>
      <w:r w:rsidRPr="00AC73F5">
        <w:rPr>
          <w:rStyle w:val="Tugev"/>
          <w:rFonts w:ascii="Verdana" w:hAnsi="Verdana"/>
          <w:vertAlign w:val="subscript"/>
          <w:lang w:val="et-EE"/>
        </w:rPr>
        <w:t>2</w:t>
      </w:r>
      <w:r w:rsidR="00972068">
        <w:rPr>
          <w:rStyle w:val="Tugev"/>
          <w:rFonts w:ascii="Verdana" w:hAnsi="Verdana"/>
          <w:lang w:val="et-EE"/>
        </w:rPr>
        <w:t>/</w:t>
      </w:r>
      <w:r w:rsidR="00FE393C">
        <w:rPr>
          <w:rStyle w:val="Tugev"/>
          <w:rFonts w:ascii="Verdana" w:hAnsi="Verdana"/>
          <w:lang w:val="et-EE"/>
        </w:rPr>
        <w:t>aastas</w:t>
      </w:r>
      <w:r w:rsidR="00FE393C">
        <w:rPr>
          <w:rStyle w:val="Tugev"/>
          <w:rFonts w:ascii="Verdana" w:hAnsi="Verdana"/>
          <w:b w:val="0"/>
          <w:bCs w:val="0"/>
          <w:lang w:val="et-EE"/>
        </w:rPr>
        <w:t>.</w:t>
      </w:r>
      <w:r w:rsidRPr="00AC73F5">
        <w:rPr>
          <w:rFonts w:ascii="Verdana" w:hAnsi="Verdana"/>
          <w:lang w:val="et-EE"/>
        </w:rPr>
        <w:t xml:space="preserve"> Täiendavad juhtnöörid on saadaval </w:t>
      </w:r>
      <w:r w:rsidRPr="00AC73F5">
        <w:rPr>
          <w:rFonts w:ascii="Verdana" w:hAnsi="Verdana"/>
          <w:b/>
          <w:lang w:val="et-EE"/>
        </w:rPr>
        <w:t xml:space="preserve">Lisa </w:t>
      </w:r>
      <w:r w:rsidR="00914855">
        <w:rPr>
          <w:rFonts w:ascii="Verdana" w:hAnsi="Verdana"/>
          <w:b/>
          <w:lang w:val="et-EE"/>
        </w:rPr>
        <w:t>4</w:t>
      </w:r>
      <w:r w:rsidRPr="00AC73F5">
        <w:rPr>
          <w:rFonts w:ascii="Verdana" w:hAnsi="Verdana"/>
          <w:lang w:val="et-EE"/>
        </w:rPr>
        <w:t>.</w:t>
      </w:r>
    </w:p>
    <w:p w:rsidR="009C73ED" w:rsidRPr="00AC73F5" w:rsidRDefault="009C73ED" w:rsidP="009C73ED">
      <w:pPr>
        <w:pStyle w:val="Normaallaadveeb"/>
        <w:ind w:left="720"/>
        <w:rPr>
          <w:lang w:val="et-EE"/>
        </w:rPr>
      </w:pPr>
    </w:p>
    <w:p w:rsidR="001B78DA" w:rsidRPr="00556AAF" w:rsidRDefault="00AC73F5" w:rsidP="007F3B51">
      <w:pPr>
        <w:pStyle w:val="Pealkiri6"/>
      </w:pPr>
      <w:r>
        <w:t>Veeheide</w:t>
      </w:r>
    </w:p>
    <w:p w:rsidR="001B78DA" w:rsidRPr="00556AAF" w:rsidRDefault="00FE393C" w:rsidP="00D6024D">
      <w:pPr>
        <w:pStyle w:val="Pealkiri4"/>
      </w:pPr>
      <w:r>
        <w:rPr>
          <w:u w:val="single"/>
        </w:rPr>
        <w:t>Põhinäitaja</w:t>
      </w:r>
      <w:r w:rsidR="001B78DA" w:rsidRPr="00556AAF">
        <w:rPr>
          <w:u w:val="single"/>
        </w:rPr>
        <w:t xml:space="preserve"> </w:t>
      </w:r>
      <w:r w:rsidR="007F3B51">
        <w:rPr>
          <w:u w:val="single"/>
        </w:rPr>
        <w:t>3.7</w:t>
      </w:r>
      <w:r>
        <w:t>: Keemiline hapnikutarve</w:t>
      </w:r>
      <w:r w:rsidR="007F3B51">
        <w:t xml:space="preserve"> (KHT)</w:t>
      </w:r>
    </w:p>
    <w:p w:rsidR="001B78DA" w:rsidRPr="006B2F68" w:rsidRDefault="001B78DA" w:rsidP="00CE54CD">
      <w:pPr>
        <w:numPr>
          <w:ilvl w:val="0"/>
          <w:numId w:val="29"/>
        </w:numPr>
        <w:spacing w:before="100" w:beforeAutospacing="1" w:after="100" w:afterAutospacing="1"/>
        <w:jc w:val="both"/>
      </w:pPr>
      <w:r w:rsidRPr="00556AAF">
        <w:rPr>
          <w:rFonts w:ascii="Verdana" w:hAnsi="Verdana"/>
        </w:rPr>
        <w:t>Definit</w:t>
      </w:r>
      <w:r w:rsidR="00FE393C">
        <w:rPr>
          <w:rFonts w:ascii="Verdana" w:hAnsi="Verdana"/>
        </w:rPr>
        <w:t>sioon: Keemiline hapnikutarve</w:t>
      </w:r>
      <w:r w:rsidRPr="00556AAF">
        <w:rPr>
          <w:rFonts w:ascii="Verdana" w:hAnsi="Verdana"/>
        </w:rPr>
        <w:t xml:space="preserve"> (KHT) on hapniku hulk, mida vajatakse vees olevate ühendite keemiliseks oksüdeerimiseks, kasutades selleks tugevat oksüdeerijat (kõige standardsemate meetodite puhul kasutatakse dikromaati).</w:t>
      </w:r>
    </w:p>
    <w:p w:rsidR="006B2F68" w:rsidRPr="007A17BF" w:rsidRDefault="006B2F68" w:rsidP="007A17BF">
      <w:pPr>
        <w:pStyle w:val="Loendilik"/>
        <w:numPr>
          <w:ilvl w:val="0"/>
          <w:numId w:val="29"/>
        </w:numPr>
        <w:jc w:val="both"/>
      </w:pPr>
      <w:r w:rsidRPr="007D402B">
        <w:rPr>
          <w:rFonts w:ascii="Verdana" w:hAnsi="Verdana"/>
        </w:rPr>
        <w:t xml:space="preserve">Ettevõtted peavad esitama iga-aastaselt KHT oma heitvee kohta, mis juhitakse keskkonda kas otseselt ja/või kaudselt kolmanda osapoole veepuhasti kaudu. </w:t>
      </w:r>
      <w:r w:rsidR="00D71AF5">
        <w:rPr>
          <w:rFonts w:ascii="Verdana" w:hAnsi="Verdana"/>
        </w:rPr>
        <w:t>Käitised, mille reo</w:t>
      </w:r>
      <w:r w:rsidR="00311972" w:rsidRPr="007D402B">
        <w:rPr>
          <w:rFonts w:ascii="Verdana" w:hAnsi="Verdana"/>
        </w:rPr>
        <w:t>veed suunatakse enne keskkonda laskmist puhastamiseks kolmanda osapoole ühiskasutatavasse (munitsipaal-) veepuhastisse, ei oma seega individuaalseid täpseid andmeid ning peavad KHT ar</w:t>
      </w:r>
      <w:r w:rsidR="00D71AF5">
        <w:rPr>
          <w:rFonts w:ascii="Verdana" w:hAnsi="Verdana"/>
        </w:rPr>
        <w:t>vutamisel võtma aluseks oma vee</w:t>
      </w:r>
      <w:r w:rsidR="00A2766E">
        <w:rPr>
          <w:rFonts w:ascii="Verdana" w:hAnsi="Verdana"/>
        </w:rPr>
        <w:t>puhastusjaama efektiivsusteguri</w:t>
      </w:r>
      <w:r w:rsidR="00311972" w:rsidRPr="007D402B">
        <w:rPr>
          <w:rFonts w:ascii="Verdana" w:hAnsi="Verdana"/>
        </w:rPr>
        <w:t>. KHT leidmisek</w:t>
      </w:r>
      <w:r w:rsidR="00D71AF5">
        <w:rPr>
          <w:rFonts w:ascii="Verdana" w:hAnsi="Verdana"/>
        </w:rPr>
        <w:t>s on tarvis teada aastaseid reo</w:t>
      </w:r>
      <w:r w:rsidR="00311972" w:rsidRPr="007D402B">
        <w:rPr>
          <w:rFonts w:ascii="Verdana" w:hAnsi="Verdana"/>
        </w:rPr>
        <w:t>veekoguseid</w:t>
      </w:r>
      <w:r w:rsidR="00A2766E">
        <w:rPr>
          <w:rFonts w:ascii="Verdana" w:hAnsi="Verdana"/>
        </w:rPr>
        <w:t>, mis puhastile üle antakse, keskmist reostusnäitaja kontsentratsiooni üleantavas reovees</w:t>
      </w:r>
      <w:r w:rsidR="00311972" w:rsidRPr="007D402B">
        <w:rPr>
          <w:rFonts w:ascii="Verdana" w:hAnsi="Verdana"/>
        </w:rPr>
        <w:t xml:space="preserve"> ning nimetatu</w:t>
      </w:r>
      <w:r w:rsidR="007A17BF">
        <w:rPr>
          <w:rFonts w:ascii="Verdana" w:hAnsi="Verdana"/>
        </w:rPr>
        <w:t>d efektiivsusteguri</w:t>
      </w:r>
      <w:r w:rsidR="00311972" w:rsidRPr="007D402B">
        <w:rPr>
          <w:rFonts w:ascii="Verdana" w:hAnsi="Verdana"/>
        </w:rPr>
        <w:t xml:space="preserve">t, mille saamiseks tuleb pöörduda </w:t>
      </w:r>
      <w:r w:rsidR="00764DD7" w:rsidRPr="007D402B">
        <w:rPr>
          <w:rFonts w:ascii="Verdana" w:hAnsi="Verdana"/>
        </w:rPr>
        <w:t>puhastusjaama opereeriva ettevõtte poole.</w:t>
      </w:r>
      <w:r w:rsidR="00A2766E" w:rsidRPr="00A2766E">
        <w:t xml:space="preserve"> </w:t>
      </w:r>
      <w:r w:rsidR="007A17BF">
        <w:t>Kaudse heite puhul</w:t>
      </w:r>
      <w:r w:rsidR="00A2766E">
        <w:t xml:space="preserve"> </w:t>
      </w:r>
      <w:r w:rsidR="007A17BF">
        <w:t xml:space="preserve">tuleb teatud juhtudel veel arvestada, et ettevõttel puudub täpne võimalus tööstusliku ja olmereovee koguste üksteisest eristamiseks, kuivõrd mõlemad antakse veepuhastile üle koos. Nimetatud olukorras on igati aktsepteeritav, et </w:t>
      </w:r>
      <w:r w:rsidR="00A2766E">
        <w:t>ettevõte</w:t>
      </w:r>
      <w:r w:rsidR="007A17BF">
        <w:t xml:space="preserve"> võib</w:t>
      </w:r>
      <w:r w:rsidR="00A2766E">
        <w:t xml:space="preserve"> oma reovee osas ise protsentuaalselt hinnata, milline osa on töö</w:t>
      </w:r>
      <w:r w:rsidR="007A17BF">
        <w:t>stusl</w:t>
      </w:r>
      <w:r w:rsidR="00A2766E">
        <w:t>i</w:t>
      </w:r>
      <w:r w:rsidR="007A17BF">
        <w:t>k</w:t>
      </w:r>
      <w:r w:rsidR="00A2766E">
        <w:t xml:space="preserve"> ning milline olme. Oluline on püüda olla mõistlikkuse piirides nii täpne kui võimalik.</w:t>
      </w:r>
    </w:p>
    <w:p w:rsidR="00764DD7" w:rsidRDefault="00764DD7" w:rsidP="00CE54CD">
      <w:pPr>
        <w:numPr>
          <w:ilvl w:val="0"/>
          <w:numId w:val="29"/>
        </w:numPr>
        <w:spacing w:before="100" w:beforeAutospacing="1" w:after="100" w:afterAutospacing="1"/>
        <w:jc w:val="both"/>
        <w:rPr>
          <w:rFonts w:ascii="Verdana" w:hAnsi="Verdana"/>
        </w:rPr>
      </w:pPr>
      <w:r w:rsidRPr="007D402B">
        <w:rPr>
          <w:rFonts w:ascii="Verdana" w:hAnsi="Verdana"/>
        </w:rPr>
        <w:t>Ettevõtted, mis ei juhi üldse (otseselt ega kaudselt) heitvett keskkonda, võivad käesolevaks näitajaks märkida „null“.</w:t>
      </w:r>
      <w:r w:rsidR="00D71AF5">
        <w:rPr>
          <w:rFonts w:ascii="Verdana" w:hAnsi="Verdana"/>
        </w:rPr>
        <w:t xml:space="preserve"> Näitaja puhul ei arvestata olmereovee juhtimist munitsipaalveepuhastisse. </w:t>
      </w:r>
    </w:p>
    <w:p w:rsidR="001B78DA" w:rsidRPr="00556AAF" w:rsidRDefault="00FE393C" w:rsidP="00CE54CD">
      <w:pPr>
        <w:numPr>
          <w:ilvl w:val="0"/>
          <w:numId w:val="29"/>
        </w:numPr>
        <w:spacing w:before="100" w:beforeAutospacing="1" w:after="100" w:afterAutospacing="1"/>
        <w:jc w:val="both"/>
      </w:pPr>
      <w:r>
        <w:rPr>
          <w:rFonts w:ascii="Verdana" w:hAnsi="Verdana"/>
        </w:rPr>
        <w:t>Näitajat</w:t>
      </w:r>
      <w:r w:rsidR="001B78DA" w:rsidRPr="00556AAF">
        <w:rPr>
          <w:rFonts w:ascii="Verdana" w:hAnsi="Verdana"/>
        </w:rPr>
        <w:t xml:space="preserve"> väljendatakse</w:t>
      </w:r>
      <w:r>
        <w:rPr>
          <w:rFonts w:ascii="Verdana" w:hAnsi="Verdana"/>
        </w:rPr>
        <w:t xml:space="preserve"> kui </w:t>
      </w:r>
      <w:r w:rsidR="001B78DA" w:rsidRPr="00556AAF">
        <w:rPr>
          <w:rFonts w:ascii="Verdana" w:hAnsi="Verdana"/>
          <w:b/>
        </w:rPr>
        <w:t>tonni</w:t>
      </w:r>
      <w:r>
        <w:rPr>
          <w:rFonts w:ascii="Verdana" w:hAnsi="Verdana"/>
          <w:b/>
        </w:rPr>
        <w:t xml:space="preserve"> O</w:t>
      </w:r>
      <w:r w:rsidRPr="00443FBB">
        <w:rPr>
          <w:rFonts w:ascii="Verdana" w:hAnsi="Verdana"/>
          <w:b/>
          <w:vertAlign w:val="subscript"/>
        </w:rPr>
        <w:t>2</w:t>
      </w:r>
      <w:r w:rsidR="006B2F68">
        <w:rPr>
          <w:rFonts w:ascii="Verdana" w:hAnsi="Verdana"/>
          <w:b/>
        </w:rPr>
        <w:t>/aastas</w:t>
      </w:r>
      <w:r w:rsidR="001B78DA" w:rsidRPr="00556AAF">
        <w:rPr>
          <w:rFonts w:ascii="Verdana" w:hAnsi="Verdana"/>
        </w:rPr>
        <w:t>.</w:t>
      </w:r>
      <w:r w:rsidR="001B78DA" w:rsidRPr="00556AAF">
        <w:t xml:space="preserve"> </w:t>
      </w:r>
    </w:p>
    <w:p w:rsidR="001B78DA" w:rsidRPr="00900256" w:rsidRDefault="00FE393C" w:rsidP="00CE54CD">
      <w:pPr>
        <w:numPr>
          <w:ilvl w:val="0"/>
          <w:numId w:val="29"/>
        </w:numPr>
        <w:spacing w:before="100" w:beforeAutospacing="1" w:after="100" w:afterAutospacing="1"/>
        <w:jc w:val="both"/>
        <w:rPr>
          <w:i/>
          <w:iCs/>
        </w:rPr>
      </w:pPr>
      <w:r>
        <w:rPr>
          <w:rFonts w:ascii="Verdana" w:hAnsi="Verdana"/>
        </w:rPr>
        <w:t>Näitaja</w:t>
      </w:r>
      <w:r w:rsidR="001B78DA" w:rsidRPr="00556AAF">
        <w:rPr>
          <w:rFonts w:ascii="Verdana" w:hAnsi="Verdana"/>
        </w:rPr>
        <w:t xml:space="preserve"> väljendab ebasoodsa toime potentsiaalset mõju veekeskkonnale.</w:t>
      </w:r>
      <w:r w:rsidR="001B78DA" w:rsidRPr="00556AAF">
        <w:t xml:space="preserve"> </w:t>
      </w:r>
    </w:p>
    <w:p w:rsidR="00900256" w:rsidRPr="00556AAF" w:rsidRDefault="00900256" w:rsidP="00900256">
      <w:pPr>
        <w:spacing w:before="100" w:beforeAutospacing="1" w:after="100" w:afterAutospacing="1"/>
        <w:ind w:left="720"/>
        <w:jc w:val="both"/>
        <w:rPr>
          <w:i/>
          <w:iCs/>
        </w:rPr>
      </w:pPr>
    </w:p>
    <w:p w:rsidR="001B78DA" w:rsidRPr="00556AAF" w:rsidRDefault="00FE393C" w:rsidP="00D6024D">
      <w:pPr>
        <w:pStyle w:val="Pealkiri4"/>
      </w:pPr>
      <w:r>
        <w:rPr>
          <w:u w:val="single"/>
        </w:rPr>
        <w:lastRenderedPageBreak/>
        <w:t>Põhinäitaja</w:t>
      </w:r>
      <w:r w:rsidR="001B78DA" w:rsidRPr="00556AAF">
        <w:rPr>
          <w:u w:val="single"/>
        </w:rPr>
        <w:t xml:space="preserve"> </w:t>
      </w:r>
      <w:r w:rsidR="007F3B51">
        <w:rPr>
          <w:u w:val="single"/>
        </w:rPr>
        <w:t>3.8</w:t>
      </w:r>
      <w:r w:rsidR="007F3B51">
        <w:t>: Fosforühendid</w:t>
      </w:r>
    </w:p>
    <w:p w:rsidR="001B78DA" w:rsidRPr="00556AAF" w:rsidRDefault="001B78DA" w:rsidP="00CE54CD">
      <w:pPr>
        <w:numPr>
          <w:ilvl w:val="0"/>
          <w:numId w:val="27"/>
        </w:numPr>
        <w:spacing w:before="100" w:beforeAutospacing="1" w:after="100" w:afterAutospacing="1"/>
        <w:jc w:val="both"/>
      </w:pPr>
      <w:r w:rsidRPr="00556AAF">
        <w:rPr>
          <w:rFonts w:ascii="Verdana" w:hAnsi="Verdana"/>
        </w:rPr>
        <w:t>Definitsioon: Fosforühendite eraldumine veekeskkonnas.</w:t>
      </w:r>
      <w:r w:rsidRPr="00556AAF">
        <w:t xml:space="preserve"> </w:t>
      </w:r>
    </w:p>
    <w:p w:rsidR="001B78DA" w:rsidRDefault="006B2F68" w:rsidP="00CE54CD">
      <w:pPr>
        <w:numPr>
          <w:ilvl w:val="0"/>
          <w:numId w:val="27"/>
        </w:numPr>
        <w:spacing w:before="100" w:beforeAutospacing="1" w:after="100" w:afterAutospacing="1"/>
        <w:jc w:val="both"/>
        <w:rPr>
          <w:rFonts w:ascii="Verdana" w:hAnsi="Verdana"/>
        </w:rPr>
      </w:pPr>
      <w:r>
        <w:rPr>
          <w:rStyle w:val="Tugev"/>
          <w:rFonts w:ascii="Verdana" w:hAnsi="Verdana"/>
          <w:b w:val="0"/>
          <w:bCs w:val="0"/>
        </w:rPr>
        <w:t>Näitajat</w:t>
      </w:r>
      <w:r w:rsidR="001B78DA" w:rsidRPr="00556AAF">
        <w:rPr>
          <w:rStyle w:val="Tugev"/>
          <w:rFonts w:ascii="Verdana" w:hAnsi="Verdana"/>
          <w:b w:val="0"/>
          <w:bCs w:val="0"/>
        </w:rPr>
        <w:t xml:space="preserve"> väljendatakse</w:t>
      </w:r>
      <w:r>
        <w:rPr>
          <w:rStyle w:val="Tugev"/>
          <w:rFonts w:ascii="Verdana" w:hAnsi="Verdana"/>
          <w:b w:val="0"/>
          <w:bCs w:val="0"/>
        </w:rPr>
        <w:t xml:space="preserve"> kui</w:t>
      </w:r>
      <w:r w:rsidR="001B78DA" w:rsidRPr="00556AAF">
        <w:t xml:space="preserve"> </w:t>
      </w:r>
      <w:r w:rsidR="001B78DA" w:rsidRPr="00556AAF">
        <w:rPr>
          <w:rFonts w:ascii="Verdana" w:hAnsi="Verdana"/>
          <w:b/>
          <w:bCs/>
        </w:rPr>
        <w:t>tonni</w:t>
      </w:r>
      <w:r>
        <w:rPr>
          <w:rFonts w:ascii="Verdana" w:hAnsi="Verdana"/>
          <w:b/>
          <w:bCs/>
        </w:rPr>
        <w:t xml:space="preserve"> fosforit/aastas</w:t>
      </w:r>
      <w:r w:rsidR="001B78DA" w:rsidRPr="00556AAF">
        <w:rPr>
          <w:rFonts w:ascii="Verdana" w:hAnsi="Verdana"/>
        </w:rPr>
        <w:t>.</w:t>
      </w:r>
    </w:p>
    <w:p w:rsidR="00F26E2A" w:rsidRPr="00F26E2A" w:rsidRDefault="00D71AF5" w:rsidP="00F26E2A">
      <w:pPr>
        <w:pStyle w:val="Loendilik"/>
        <w:numPr>
          <w:ilvl w:val="0"/>
          <w:numId w:val="27"/>
        </w:numPr>
        <w:rPr>
          <w:rFonts w:ascii="Verdana" w:hAnsi="Verdana"/>
        </w:rPr>
      </w:pPr>
      <w:r w:rsidRPr="00F26E2A">
        <w:rPr>
          <w:rFonts w:ascii="Verdana" w:hAnsi="Verdana"/>
        </w:rPr>
        <w:t>Ettevõtted peavad esitama iga-aastaselt fosfori koguse oma heitvee kohta, mis juhitakse keskkonda kas otseselt ja/või kaudselt kolmanda osapoole veepuhasti kaudu. Käitised, mille reoveed suunatakse enne keskkonda laskmist puhastamiseks kolmanda osapoole ühiskasutatavasse (munitsipaal-) veepuhastisse, ei oma seega individuaalseid täpseid andmeid ning peavad fosfori arvutamisel võtma aluseks oma vee</w:t>
      </w:r>
      <w:r w:rsidR="00F26E2A">
        <w:rPr>
          <w:rFonts w:ascii="Verdana" w:hAnsi="Verdana"/>
        </w:rPr>
        <w:t>puhastusjaama efektiivsustegu</w:t>
      </w:r>
      <w:r w:rsidRPr="00F26E2A">
        <w:rPr>
          <w:rFonts w:ascii="Verdana" w:hAnsi="Verdana"/>
        </w:rPr>
        <w:t xml:space="preserve">ri. Fosfori koguse </w:t>
      </w:r>
      <w:r w:rsidR="00F26E2A" w:rsidRPr="00F26E2A">
        <w:rPr>
          <w:rFonts w:ascii="Verdana" w:hAnsi="Verdana"/>
        </w:rPr>
        <w:t>leidmiseks on tarvis teada aastaseid reoveekoguseid, mis puhastile üle antakse, keskmist reostusnäitaja kontsentratsiooni üleantavas reovees ning nimetatud efektiivsustegurit, mille saamiseks tuleb pöörduda puhastusjaama opereeriva ettevõtte poole. Kaudse heite puhul tuleb teatud juhtudel veel arvestada, et ettevõttel puudub täpne võimalus tööstusliku ja olmereovee koguste üksteisest eristamiseks, kuivõrd mõlemad antakse veepuhastile üle koos. Nimetatud olukorras on igati aktsepteeritav, et ettevõte võib oma reovee osas ise protsentuaalselt hinnata, milline osa on tööstuslik ning milline olme. Oluline on püüda olla mõistlikkuse piirides nii täpne kui võimalik.</w:t>
      </w:r>
    </w:p>
    <w:p w:rsidR="00D71AF5" w:rsidRPr="00F26E2A" w:rsidRDefault="00D71AF5" w:rsidP="00D71AF5">
      <w:pPr>
        <w:numPr>
          <w:ilvl w:val="0"/>
          <w:numId w:val="27"/>
        </w:numPr>
        <w:spacing w:before="100" w:beforeAutospacing="1" w:after="100" w:afterAutospacing="1"/>
        <w:jc w:val="both"/>
        <w:rPr>
          <w:rFonts w:ascii="Verdana" w:hAnsi="Verdana"/>
        </w:rPr>
      </w:pPr>
      <w:r w:rsidRPr="00F26E2A">
        <w:rPr>
          <w:rFonts w:ascii="Verdana" w:hAnsi="Verdana"/>
        </w:rPr>
        <w:t xml:space="preserve">Ettevõtted, mis ei juhi üldse (otseselt ega kaudselt) heitvett keskkonda, võivad käesolevaks näitajaks märkida „null“. Näitaja puhul ei arvestata olmereovee juhtimist munitsipaalveepuhastisse. </w:t>
      </w:r>
    </w:p>
    <w:p w:rsidR="001B78DA" w:rsidRPr="00556AAF" w:rsidRDefault="006B2F68" w:rsidP="00CE54CD">
      <w:pPr>
        <w:numPr>
          <w:ilvl w:val="0"/>
          <w:numId w:val="27"/>
        </w:numPr>
        <w:spacing w:before="100" w:beforeAutospacing="1" w:after="100" w:afterAutospacing="1"/>
        <w:jc w:val="both"/>
        <w:rPr>
          <w:i/>
          <w:iCs/>
        </w:rPr>
      </w:pPr>
      <w:r>
        <w:rPr>
          <w:rFonts w:ascii="Verdana" w:hAnsi="Verdana"/>
        </w:rPr>
        <w:t>Näitaja</w:t>
      </w:r>
      <w:r w:rsidR="001B78DA" w:rsidRPr="00556AAF">
        <w:rPr>
          <w:rFonts w:ascii="Verdana" w:hAnsi="Verdana"/>
        </w:rPr>
        <w:t xml:space="preserve"> väljendab põhiliselt fosforühendite kui veekeskkonna toitainete potentsiaalse eutrofikatsiooni toimet. </w:t>
      </w:r>
    </w:p>
    <w:p w:rsidR="001B78DA" w:rsidRPr="00556AAF" w:rsidRDefault="00FE393C" w:rsidP="00D6024D">
      <w:pPr>
        <w:pStyle w:val="Pealkiri4"/>
      </w:pPr>
      <w:r>
        <w:rPr>
          <w:u w:val="single"/>
        </w:rPr>
        <w:t>Põhinäitaja</w:t>
      </w:r>
      <w:r w:rsidR="007F3B51">
        <w:rPr>
          <w:u w:val="single"/>
        </w:rPr>
        <w:t xml:space="preserve"> </w:t>
      </w:r>
      <w:r w:rsidR="009C653E">
        <w:rPr>
          <w:u w:val="single"/>
        </w:rPr>
        <w:t>3</w:t>
      </w:r>
      <w:r w:rsidR="007F3B51">
        <w:rPr>
          <w:u w:val="single"/>
        </w:rPr>
        <w:t>.9</w:t>
      </w:r>
      <w:r w:rsidR="001B78DA" w:rsidRPr="00556AAF">
        <w:rPr>
          <w:u w:val="single"/>
        </w:rPr>
        <w:t>:</w:t>
      </w:r>
      <w:r w:rsidR="007F3B51">
        <w:t xml:space="preserve">  Lämmastikühendid</w:t>
      </w:r>
    </w:p>
    <w:p w:rsidR="001B78DA" w:rsidRPr="00556AAF" w:rsidRDefault="001B78DA" w:rsidP="00CE54CD">
      <w:pPr>
        <w:numPr>
          <w:ilvl w:val="0"/>
          <w:numId w:val="28"/>
        </w:numPr>
        <w:spacing w:before="100" w:beforeAutospacing="1" w:after="100" w:afterAutospacing="1"/>
        <w:jc w:val="both"/>
      </w:pPr>
      <w:r w:rsidRPr="00556AAF">
        <w:rPr>
          <w:rFonts w:ascii="Verdana" w:hAnsi="Verdana"/>
        </w:rPr>
        <w:t>Definitsioon: lämmastikühendite veeheide.</w:t>
      </w:r>
      <w:r w:rsidRPr="00556AAF">
        <w:t xml:space="preserve"> </w:t>
      </w:r>
    </w:p>
    <w:p w:rsidR="00D71AF5" w:rsidRPr="00D71AF5" w:rsidRDefault="006B2F68" w:rsidP="00CE54CD">
      <w:pPr>
        <w:numPr>
          <w:ilvl w:val="0"/>
          <w:numId w:val="28"/>
        </w:numPr>
        <w:spacing w:before="100" w:beforeAutospacing="1" w:after="100" w:afterAutospacing="1"/>
        <w:jc w:val="both"/>
        <w:rPr>
          <w:rStyle w:val="Tugev"/>
        </w:rPr>
      </w:pPr>
      <w:r>
        <w:rPr>
          <w:rStyle w:val="Tugev"/>
          <w:rFonts w:ascii="Verdana" w:hAnsi="Verdana"/>
          <w:b w:val="0"/>
          <w:bCs w:val="0"/>
        </w:rPr>
        <w:t>Näitajat</w:t>
      </w:r>
      <w:r w:rsidR="001B78DA" w:rsidRPr="00556AAF">
        <w:rPr>
          <w:rStyle w:val="Tugev"/>
          <w:rFonts w:ascii="Verdana" w:hAnsi="Verdana"/>
          <w:b w:val="0"/>
          <w:bCs w:val="0"/>
        </w:rPr>
        <w:t xml:space="preserve"> väljendatakse</w:t>
      </w:r>
      <w:r>
        <w:rPr>
          <w:rStyle w:val="Tugev"/>
          <w:rFonts w:ascii="Verdana" w:hAnsi="Verdana"/>
          <w:b w:val="0"/>
          <w:bCs w:val="0"/>
        </w:rPr>
        <w:t xml:space="preserve"> kui</w:t>
      </w:r>
      <w:r w:rsidR="001B78DA" w:rsidRPr="00556AAF">
        <w:rPr>
          <w:rStyle w:val="Tugev"/>
          <w:rFonts w:ascii="Verdana" w:hAnsi="Verdana"/>
          <w:b w:val="0"/>
          <w:bCs w:val="0"/>
        </w:rPr>
        <w:t xml:space="preserve"> </w:t>
      </w:r>
      <w:r w:rsidR="001B78DA" w:rsidRPr="00556AAF">
        <w:rPr>
          <w:rStyle w:val="Tugev"/>
          <w:rFonts w:ascii="Verdana" w:hAnsi="Verdana"/>
          <w:bCs w:val="0"/>
        </w:rPr>
        <w:t>tonni</w:t>
      </w:r>
      <w:r>
        <w:rPr>
          <w:rStyle w:val="Tugev"/>
          <w:rFonts w:ascii="Verdana" w:hAnsi="Verdana"/>
          <w:bCs w:val="0"/>
        </w:rPr>
        <w:t xml:space="preserve"> lämmastikku/aastas</w:t>
      </w:r>
      <w:r w:rsidR="001B78DA" w:rsidRPr="00556AAF">
        <w:rPr>
          <w:rStyle w:val="Tugev"/>
          <w:rFonts w:ascii="Verdana" w:hAnsi="Verdana"/>
          <w:b w:val="0"/>
          <w:bCs w:val="0"/>
        </w:rPr>
        <w:t>.</w:t>
      </w:r>
    </w:p>
    <w:p w:rsidR="00F26E2A" w:rsidRPr="00F26E2A" w:rsidRDefault="00D71AF5" w:rsidP="00F26E2A">
      <w:pPr>
        <w:pStyle w:val="Loendilik"/>
        <w:numPr>
          <w:ilvl w:val="0"/>
          <w:numId w:val="28"/>
        </w:numPr>
        <w:rPr>
          <w:rFonts w:ascii="Verdana" w:hAnsi="Verdana"/>
        </w:rPr>
      </w:pPr>
      <w:r w:rsidRPr="00F26E2A">
        <w:rPr>
          <w:rFonts w:ascii="Verdana" w:hAnsi="Verdana"/>
        </w:rPr>
        <w:t>Ettevõtted peavad esitama iga-aastaselt lämmastiku koguse oma heitvee kohta, mis juhitakse keskkonda kas otseselt ja/või kaudselt kolmanda osapoole veepuhasti kaudu. Käitised, mille reoveed suunatakse enne keskkonda laskmist puhastamiseks kolmanda osapoole ühiskasutatavasse (munitsipaal-) veepuhastisse, ei oma seega individuaalseid täpseid andmeid ning peavad lämmastiku arvutamisel võtma aluseks oma vee</w:t>
      </w:r>
      <w:r w:rsidR="00F26E2A">
        <w:rPr>
          <w:rFonts w:ascii="Verdana" w:hAnsi="Verdana"/>
        </w:rPr>
        <w:t>puhastusjaama efektiivsustegu</w:t>
      </w:r>
      <w:r w:rsidRPr="00F26E2A">
        <w:rPr>
          <w:rFonts w:ascii="Verdana" w:hAnsi="Verdana"/>
        </w:rPr>
        <w:t xml:space="preserve">ri. Lämmastiku koguse </w:t>
      </w:r>
      <w:r w:rsidR="00F26E2A" w:rsidRPr="00F26E2A">
        <w:rPr>
          <w:rFonts w:ascii="Verdana" w:hAnsi="Verdana"/>
        </w:rPr>
        <w:t>leidmiseks on tarvis teada aastaseid reoveekoguseid, mis puhastile üle antakse, keskmist reostusnäitaja kontsentratsiooni üleantavas reovees ning nimetatud efektiivsustegurit, mille saamiseks tuleb pöörduda puhastusjaama opereeriva ettevõtte poole. Kaudse heite puhul tuleb teatud juhtudel veel arvestada, et ettevõttel puudub täpne võimalus tööstusliku ja olmereovee koguste üksteisest eristamiseks, kuivõrd mõlemad antakse veepuhastile üle koos. Nimetatud olukorras on igati aktsepteeritav, et ettevõte võib oma reovee osas ise protsentuaalselt hinnata, milline osa on tööstuslik ning milline olme. Oluline on püüda olla mõistlikkuse piirides nii täpne kui võimalik.</w:t>
      </w:r>
    </w:p>
    <w:p w:rsidR="001B78DA" w:rsidRPr="00F26E2A" w:rsidRDefault="00D71AF5" w:rsidP="00D71AF5">
      <w:pPr>
        <w:numPr>
          <w:ilvl w:val="0"/>
          <w:numId w:val="28"/>
        </w:numPr>
        <w:spacing w:before="100" w:beforeAutospacing="1" w:after="100" w:afterAutospacing="1"/>
        <w:jc w:val="both"/>
        <w:rPr>
          <w:rFonts w:ascii="Verdana" w:hAnsi="Verdana"/>
        </w:rPr>
      </w:pPr>
      <w:r w:rsidRPr="00F26E2A">
        <w:rPr>
          <w:rFonts w:ascii="Verdana" w:hAnsi="Verdana"/>
        </w:rPr>
        <w:lastRenderedPageBreak/>
        <w:t xml:space="preserve">Ettevõtted, mis ei juhi üldse (otseselt ega kaudselt) heitvett keskkonda, võivad käesolevaks näitajaks märkida „null“. Näitaja puhul ei arvestata olmereovee juhtimist munitsipaalveepuhastisse. </w:t>
      </w:r>
      <w:r w:rsidR="001B78DA" w:rsidRPr="00F26E2A">
        <w:rPr>
          <w:b/>
          <w:bCs/>
        </w:rPr>
        <w:t xml:space="preserve"> </w:t>
      </w:r>
    </w:p>
    <w:p w:rsidR="001B78DA" w:rsidRPr="00556AAF" w:rsidRDefault="006B2F68" w:rsidP="00CE54CD">
      <w:pPr>
        <w:numPr>
          <w:ilvl w:val="0"/>
          <w:numId w:val="28"/>
        </w:numPr>
        <w:spacing w:before="100" w:beforeAutospacing="1" w:after="100" w:afterAutospacing="1"/>
        <w:jc w:val="both"/>
        <w:rPr>
          <w:i/>
          <w:iCs/>
        </w:rPr>
      </w:pPr>
      <w:r>
        <w:rPr>
          <w:rFonts w:ascii="Verdana" w:hAnsi="Verdana"/>
        </w:rPr>
        <w:t>Näitaja</w:t>
      </w:r>
      <w:r w:rsidR="001B78DA" w:rsidRPr="00556AAF">
        <w:rPr>
          <w:rFonts w:ascii="Verdana" w:hAnsi="Verdana"/>
        </w:rPr>
        <w:t xml:space="preserve"> väljendab põhiliselt lämmastikühendite kui veekeskkonna toitainete potentsiaalse eutrofikatsiooni toimet. </w:t>
      </w:r>
    </w:p>
    <w:p w:rsidR="001B78DA" w:rsidRPr="00556AAF" w:rsidRDefault="001B78DA">
      <w:pPr>
        <w:pStyle w:val="Normaallaadveeb"/>
        <w:jc w:val="both"/>
        <w:rPr>
          <w:rFonts w:ascii="Verdana" w:hAnsi="Verdana"/>
          <w:u w:val="single"/>
          <w:lang w:val="et-EE"/>
        </w:rPr>
      </w:pPr>
    </w:p>
    <w:p w:rsidR="001B78DA" w:rsidRPr="00556AAF" w:rsidRDefault="001B78DA" w:rsidP="0050254A">
      <w:pPr>
        <w:pStyle w:val="Pealkiri2"/>
        <w:numPr>
          <w:ilvl w:val="0"/>
          <w:numId w:val="39"/>
        </w:numPr>
      </w:pPr>
      <w:bookmarkStart w:id="22" w:name="_Toc358822434"/>
      <w:r w:rsidRPr="00556AAF">
        <w:t>Loodusvarade kasutamine</w:t>
      </w:r>
      <w:bookmarkEnd w:id="22"/>
    </w:p>
    <w:p w:rsidR="001B78DA" w:rsidRPr="00556AAF" w:rsidRDefault="00D6024D" w:rsidP="00D6024D">
      <w:pPr>
        <w:pStyle w:val="Pealkiri4"/>
      </w:pPr>
      <w:r>
        <w:rPr>
          <w:u w:val="single"/>
        </w:rPr>
        <w:t>Põhinäitaja</w:t>
      </w:r>
      <w:r w:rsidR="007F3B51">
        <w:rPr>
          <w:u w:val="single"/>
        </w:rPr>
        <w:t xml:space="preserve"> </w:t>
      </w:r>
      <w:r w:rsidR="009C653E">
        <w:rPr>
          <w:u w:val="single"/>
        </w:rPr>
        <w:t>4</w:t>
      </w:r>
      <w:r w:rsidR="007F3B51">
        <w:rPr>
          <w:u w:val="single"/>
        </w:rPr>
        <w:t>.1</w:t>
      </w:r>
      <w:r w:rsidR="001B78DA" w:rsidRPr="00556AAF">
        <w:t xml:space="preserve">: Energia </w:t>
      </w:r>
      <w:r w:rsidR="009C653E">
        <w:t>tarbimine</w:t>
      </w:r>
    </w:p>
    <w:p w:rsidR="001B78DA" w:rsidRPr="00556AAF" w:rsidRDefault="001B78DA" w:rsidP="00CE54CD">
      <w:pPr>
        <w:pStyle w:val="Normaallaadveeb"/>
        <w:numPr>
          <w:ilvl w:val="0"/>
          <w:numId w:val="28"/>
        </w:numPr>
        <w:jc w:val="both"/>
        <w:rPr>
          <w:rFonts w:ascii="Verdana" w:hAnsi="Verdana"/>
          <w:lang w:val="et-EE"/>
        </w:rPr>
      </w:pPr>
      <w:r w:rsidRPr="00556AAF">
        <w:rPr>
          <w:rFonts w:ascii="Verdana" w:hAnsi="Verdana"/>
          <w:lang w:val="et-EE"/>
        </w:rPr>
        <w:t xml:space="preserve">Definitsioon: Energia </w:t>
      </w:r>
      <w:r w:rsidR="00EF3DDC">
        <w:rPr>
          <w:rFonts w:ascii="Verdana" w:hAnsi="Verdana"/>
          <w:lang w:val="et-EE"/>
        </w:rPr>
        <w:t>tarbi</w:t>
      </w:r>
      <w:r w:rsidRPr="00556AAF">
        <w:rPr>
          <w:rFonts w:ascii="Verdana" w:hAnsi="Verdana"/>
          <w:lang w:val="et-EE"/>
        </w:rPr>
        <w:t>mine on</w:t>
      </w:r>
      <w:r w:rsidR="00EF3DDC">
        <w:rPr>
          <w:rFonts w:ascii="Verdana" w:hAnsi="Verdana"/>
          <w:lang w:val="et-EE"/>
        </w:rPr>
        <w:t xml:space="preserve"> kasutatud</w:t>
      </w:r>
      <w:r w:rsidRPr="00556AAF">
        <w:rPr>
          <w:rFonts w:ascii="Verdana" w:hAnsi="Verdana"/>
          <w:lang w:val="et-EE"/>
        </w:rPr>
        <w:t xml:space="preserve"> fossiilsete</w:t>
      </w:r>
      <w:r w:rsidR="009C653E">
        <w:rPr>
          <w:rFonts w:ascii="Verdana" w:hAnsi="Verdana"/>
          <w:lang w:val="et-EE"/>
        </w:rPr>
        <w:t xml:space="preserve"> kütuste hulk pluss energia net</w:t>
      </w:r>
      <w:r w:rsidRPr="00556AAF">
        <w:rPr>
          <w:rFonts w:ascii="Verdana" w:hAnsi="Verdana"/>
          <w:lang w:val="et-EE"/>
        </w:rPr>
        <w:t>o ost pluss taastuva energia omatoodang</w:t>
      </w:r>
      <w:r w:rsidR="009C653E">
        <w:rPr>
          <w:rFonts w:ascii="Verdana" w:hAnsi="Verdana"/>
          <w:lang w:val="et-EE"/>
        </w:rPr>
        <w:t xml:space="preserve"> (A+B+C)</w:t>
      </w:r>
      <w:r w:rsidR="00443FBB">
        <w:rPr>
          <w:rFonts w:ascii="Verdana" w:hAnsi="Verdana"/>
          <w:lang w:val="et-EE"/>
        </w:rPr>
        <w:t xml:space="preserve"> väljendatuna primaarenergia ühikutena</w:t>
      </w:r>
      <w:r w:rsidRPr="00556AAF">
        <w:rPr>
          <w:rFonts w:ascii="Verdana" w:hAnsi="Verdana"/>
          <w:lang w:val="et-EE"/>
        </w:rPr>
        <w:t>.</w:t>
      </w:r>
    </w:p>
    <w:p w:rsidR="001B78DA" w:rsidRDefault="001B78DA" w:rsidP="00CE54CD">
      <w:pPr>
        <w:pStyle w:val="Normaallaadveeb"/>
        <w:numPr>
          <w:ilvl w:val="0"/>
          <w:numId w:val="28"/>
        </w:numPr>
        <w:jc w:val="both"/>
        <w:rPr>
          <w:rFonts w:ascii="Verdana" w:hAnsi="Verdana"/>
          <w:lang w:val="et-EE"/>
        </w:rPr>
      </w:pPr>
      <w:r w:rsidRPr="00556AAF">
        <w:rPr>
          <w:rStyle w:val="Tugev"/>
          <w:rFonts w:ascii="Verdana" w:hAnsi="Verdana"/>
          <w:b w:val="0"/>
          <w:bCs w:val="0"/>
          <w:lang w:val="et-EE"/>
        </w:rPr>
        <w:t xml:space="preserve">Energia tarbimise </w:t>
      </w:r>
      <w:r w:rsidR="009C653E">
        <w:rPr>
          <w:rStyle w:val="Tugev"/>
          <w:rFonts w:ascii="Verdana" w:hAnsi="Verdana"/>
          <w:b w:val="0"/>
          <w:bCs w:val="0"/>
          <w:lang w:val="et-EE"/>
        </w:rPr>
        <w:t>näitajat</w:t>
      </w:r>
      <w:r w:rsidRPr="00556AAF">
        <w:rPr>
          <w:rStyle w:val="Tugev"/>
          <w:rFonts w:ascii="Verdana" w:hAnsi="Verdana"/>
          <w:b w:val="0"/>
          <w:bCs w:val="0"/>
          <w:lang w:val="et-EE"/>
        </w:rPr>
        <w:t xml:space="preserve"> väljendatakse</w:t>
      </w:r>
      <w:r w:rsidR="009C653E">
        <w:rPr>
          <w:rStyle w:val="Tugev"/>
          <w:rFonts w:ascii="Verdana" w:hAnsi="Verdana"/>
          <w:b w:val="0"/>
          <w:bCs w:val="0"/>
          <w:lang w:val="et-EE"/>
        </w:rPr>
        <w:t xml:space="preserve"> kui</w:t>
      </w:r>
      <w:r w:rsidRPr="00556AAF">
        <w:rPr>
          <w:rStyle w:val="Tugev"/>
          <w:rFonts w:ascii="Verdana" w:hAnsi="Verdana"/>
          <w:lang w:val="et-EE"/>
        </w:rPr>
        <w:t xml:space="preserve"> kütteõli </w:t>
      </w:r>
      <w:r w:rsidR="009C653E">
        <w:rPr>
          <w:rStyle w:val="Tugev"/>
          <w:rFonts w:ascii="Verdana" w:hAnsi="Verdana"/>
          <w:lang w:val="et-EE"/>
        </w:rPr>
        <w:t>ekvivalent-tonni</w:t>
      </w:r>
      <w:r w:rsidRPr="00556AAF">
        <w:rPr>
          <w:rStyle w:val="Tugev"/>
          <w:rFonts w:ascii="Verdana" w:hAnsi="Verdana"/>
          <w:lang w:val="et-EE"/>
        </w:rPr>
        <w:t xml:space="preserve"> (toe)</w:t>
      </w:r>
      <w:r w:rsidR="009C653E">
        <w:rPr>
          <w:rStyle w:val="Tugev"/>
          <w:rFonts w:ascii="Verdana" w:hAnsi="Verdana"/>
          <w:lang w:val="et-EE"/>
        </w:rPr>
        <w:t>/aastas</w:t>
      </w:r>
      <w:r w:rsidRPr="00556AAF">
        <w:rPr>
          <w:rFonts w:ascii="Verdana" w:hAnsi="Verdana"/>
          <w:lang w:val="et-EE"/>
        </w:rPr>
        <w:t>.</w:t>
      </w:r>
    </w:p>
    <w:p w:rsidR="00443FBB" w:rsidRPr="00443FBB" w:rsidRDefault="00443FBB" w:rsidP="00443FBB">
      <w:pPr>
        <w:pStyle w:val="Normaallaadveeb"/>
        <w:numPr>
          <w:ilvl w:val="0"/>
          <w:numId w:val="28"/>
        </w:numPr>
        <w:jc w:val="both"/>
        <w:rPr>
          <w:lang w:val="et-EE"/>
        </w:rPr>
      </w:pPr>
      <w:r w:rsidRPr="00443FBB">
        <w:rPr>
          <w:rFonts w:ascii="Verdana" w:hAnsi="Verdana"/>
          <w:lang w:val="et-EE"/>
        </w:rPr>
        <w:t>Ed</w:t>
      </w:r>
      <w:r>
        <w:rPr>
          <w:rFonts w:ascii="Verdana" w:hAnsi="Verdana"/>
          <w:lang w:val="et-EE"/>
        </w:rPr>
        <w:t>asisi aruandlust</w:t>
      </w:r>
      <w:r w:rsidRPr="00443FBB">
        <w:rPr>
          <w:rFonts w:ascii="Verdana" w:hAnsi="Verdana"/>
          <w:lang w:val="et-EE"/>
        </w:rPr>
        <w:t xml:space="preserve"> puudutavaid juhtnööre on võimalik leida </w:t>
      </w:r>
      <w:r w:rsidRPr="00443FBB">
        <w:rPr>
          <w:rFonts w:ascii="Verdana" w:hAnsi="Verdana"/>
          <w:b/>
          <w:lang w:val="et-EE"/>
        </w:rPr>
        <w:t xml:space="preserve">Lisa </w:t>
      </w:r>
      <w:r w:rsidR="00914855">
        <w:rPr>
          <w:rFonts w:ascii="Verdana" w:hAnsi="Verdana"/>
          <w:b/>
          <w:lang w:val="et-EE"/>
        </w:rPr>
        <w:t>5</w:t>
      </w:r>
      <w:r w:rsidRPr="00443FBB">
        <w:rPr>
          <w:rFonts w:ascii="Verdana" w:hAnsi="Verdana"/>
          <w:lang w:val="et-EE"/>
        </w:rPr>
        <w:t>.</w:t>
      </w:r>
    </w:p>
    <w:p w:rsidR="009C653E" w:rsidRPr="009C653E" w:rsidRDefault="007F3B51" w:rsidP="00D6024D">
      <w:pPr>
        <w:pStyle w:val="Pealkiri4"/>
      </w:pPr>
      <w:r>
        <w:rPr>
          <w:u w:val="single"/>
        </w:rPr>
        <w:t>Põhinäitaja 4.</w:t>
      </w:r>
      <w:r w:rsidR="00A46868">
        <w:rPr>
          <w:u w:val="single"/>
        </w:rPr>
        <w:t>2</w:t>
      </w:r>
      <w:r w:rsidR="00A46868" w:rsidRPr="00A46868">
        <w:t xml:space="preserve">: </w:t>
      </w:r>
      <w:r w:rsidR="00C748E8">
        <w:t>Energiatõhususe näitaja</w:t>
      </w:r>
    </w:p>
    <w:p w:rsidR="00F26E2A" w:rsidRPr="00FE43BE" w:rsidRDefault="00F26E2A" w:rsidP="00CE54CD">
      <w:pPr>
        <w:pStyle w:val="Normaallaadveeb"/>
        <w:numPr>
          <w:ilvl w:val="0"/>
          <w:numId w:val="28"/>
        </w:numPr>
        <w:jc w:val="both"/>
        <w:rPr>
          <w:rFonts w:ascii="Verdana" w:hAnsi="Verdana"/>
          <w:color w:val="FF0000"/>
          <w:lang w:val="et-EE"/>
        </w:rPr>
      </w:pPr>
      <w:r>
        <w:rPr>
          <w:rFonts w:ascii="Verdana" w:hAnsi="Verdana"/>
          <w:b/>
          <w:color w:val="FF0000"/>
          <w:u w:val="single"/>
          <w:lang w:val="et-EE"/>
        </w:rPr>
        <w:t>Spetsiifiline energia tarbimine ehk energia erikulu</w:t>
      </w:r>
      <w:r>
        <w:rPr>
          <w:rFonts w:ascii="Verdana" w:hAnsi="Verdana"/>
          <w:color w:val="FF0000"/>
          <w:lang w:val="et-EE"/>
        </w:rPr>
        <w:t xml:space="preserve"> on käesoleval hetkel ainukene CEFIC/ICCA kohustuslik põhinäitaja, millest Liidu tasandil aru ei anta</w:t>
      </w:r>
      <w:r w:rsidR="00FE43BE">
        <w:rPr>
          <w:rFonts w:ascii="Verdana" w:hAnsi="Verdana"/>
          <w:color w:val="FF0000"/>
          <w:lang w:val="et-EE"/>
        </w:rPr>
        <w:t xml:space="preserve">, </w:t>
      </w:r>
      <w:r w:rsidR="00FE43BE" w:rsidRPr="00FE43BE">
        <w:rPr>
          <w:rFonts w:ascii="Verdana" w:hAnsi="Verdana"/>
          <w:color w:val="FF0000"/>
          <w:lang w:val="et-EE"/>
        </w:rPr>
        <w:t>kuivõrd sellel puudub selge, üheselt mõistetav ja kõigile liikmes-ettevõtetele aktsepteeritav definitsioon.</w:t>
      </w:r>
    </w:p>
    <w:p w:rsidR="001B78DA" w:rsidRPr="00F26E2A" w:rsidRDefault="009C653E" w:rsidP="00CE54CD">
      <w:pPr>
        <w:pStyle w:val="Normaallaadveeb"/>
        <w:numPr>
          <w:ilvl w:val="0"/>
          <w:numId w:val="28"/>
        </w:numPr>
        <w:jc w:val="both"/>
        <w:rPr>
          <w:rFonts w:ascii="Verdana" w:hAnsi="Verdana"/>
          <w:b/>
          <w:u w:val="single"/>
          <w:lang w:val="et-EE"/>
        </w:rPr>
      </w:pPr>
      <w:r w:rsidRPr="00F26E2A">
        <w:rPr>
          <w:rFonts w:ascii="Verdana" w:hAnsi="Verdana"/>
          <w:lang w:val="et-EE"/>
        </w:rPr>
        <w:t>Näitajat</w:t>
      </w:r>
      <w:r w:rsidR="001B78DA" w:rsidRPr="00F26E2A">
        <w:rPr>
          <w:rFonts w:ascii="Verdana" w:hAnsi="Verdana"/>
          <w:lang w:val="et-EE"/>
        </w:rPr>
        <w:t xml:space="preserve"> väljendatakse</w:t>
      </w:r>
      <w:r w:rsidRPr="00F26E2A">
        <w:rPr>
          <w:rFonts w:ascii="Verdana" w:hAnsi="Verdana"/>
          <w:lang w:val="et-EE"/>
        </w:rPr>
        <w:t xml:space="preserve"> kui</w:t>
      </w:r>
      <w:r w:rsidR="001B78DA" w:rsidRPr="00F26E2A">
        <w:rPr>
          <w:rFonts w:ascii="Verdana" w:hAnsi="Verdana"/>
          <w:lang w:val="et-EE"/>
        </w:rPr>
        <w:t xml:space="preserve"> </w:t>
      </w:r>
      <w:r w:rsidRPr="00F26E2A">
        <w:rPr>
          <w:rFonts w:ascii="Verdana" w:hAnsi="Verdana"/>
          <w:b/>
          <w:lang w:val="et-EE"/>
        </w:rPr>
        <w:t>energiatarvet (toe) kemikaalide tootmismahu</w:t>
      </w:r>
      <w:r w:rsidR="001B78DA" w:rsidRPr="00F26E2A">
        <w:rPr>
          <w:rFonts w:ascii="Verdana" w:hAnsi="Verdana"/>
          <w:b/>
          <w:lang w:val="et-EE"/>
        </w:rPr>
        <w:t xml:space="preserve"> </w:t>
      </w:r>
      <w:r w:rsidRPr="00F26E2A">
        <w:rPr>
          <w:rFonts w:ascii="Verdana" w:hAnsi="Verdana"/>
          <w:b/>
          <w:lang w:val="et-EE"/>
        </w:rPr>
        <w:t>(tonnides) kohta aastas</w:t>
      </w:r>
      <w:r w:rsidR="001B78DA" w:rsidRPr="00F26E2A">
        <w:rPr>
          <w:rFonts w:ascii="Verdana" w:hAnsi="Verdana"/>
          <w:b/>
          <w:lang w:val="et-EE"/>
        </w:rPr>
        <w:t xml:space="preserve">. </w:t>
      </w:r>
    </w:p>
    <w:p w:rsidR="001B78DA" w:rsidRPr="00F26E2A" w:rsidRDefault="001B78DA" w:rsidP="00CE54CD">
      <w:pPr>
        <w:pStyle w:val="Normaallaadveeb"/>
        <w:numPr>
          <w:ilvl w:val="0"/>
          <w:numId w:val="28"/>
        </w:numPr>
        <w:jc w:val="both"/>
        <w:rPr>
          <w:lang w:val="et-EE"/>
        </w:rPr>
      </w:pPr>
      <w:r w:rsidRPr="00F26E2A">
        <w:rPr>
          <w:rFonts w:ascii="Verdana" w:hAnsi="Verdana"/>
          <w:lang w:val="et-EE"/>
        </w:rPr>
        <w:t>Ed</w:t>
      </w:r>
      <w:r w:rsidR="00F26E2A">
        <w:rPr>
          <w:rFonts w:ascii="Verdana" w:hAnsi="Verdana"/>
          <w:lang w:val="et-EE"/>
        </w:rPr>
        <w:t>asised</w:t>
      </w:r>
      <w:r w:rsidR="00443FBB" w:rsidRPr="00F26E2A">
        <w:rPr>
          <w:rFonts w:ascii="Verdana" w:hAnsi="Verdana"/>
          <w:lang w:val="et-EE"/>
        </w:rPr>
        <w:t xml:space="preserve"> aruandlust (energia </w:t>
      </w:r>
      <w:proofErr w:type="spellStart"/>
      <w:r w:rsidR="00443FBB" w:rsidRPr="00F26E2A">
        <w:rPr>
          <w:rFonts w:ascii="Verdana" w:hAnsi="Verdana"/>
          <w:lang w:val="et-EE"/>
        </w:rPr>
        <w:t>tarbiminemine</w:t>
      </w:r>
      <w:proofErr w:type="spellEnd"/>
      <w:r w:rsidR="00443FBB" w:rsidRPr="00F26E2A">
        <w:rPr>
          <w:rFonts w:ascii="Verdana" w:hAnsi="Verdana"/>
          <w:lang w:val="et-EE"/>
        </w:rPr>
        <w:t xml:space="preserve"> ja spetsiifilin</w:t>
      </w:r>
      <w:r w:rsidR="00F26E2A">
        <w:rPr>
          <w:rFonts w:ascii="Verdana" w:hAnsi="Verdana"/>
          <w:lang w:val="et-EE"/>
        </w:rPr>
        <w:t>e energia tarbimine) puudutavad juhtnöörid lisatakse</w:t>
      </w:r>
      <w:r w:rsidRPr="00F26E2A">
        <w:rPr>
          <w:rFonts w:ascii="Verdana" w:hAnsi="Verdana"/>
          <w:lang w:val="et-EE"/>
        </w:rPr>
        <w:t xml:space="preserve"> </w:t>
      </w:r>
      <w:r w:rsidRPr="00F26E2A">
        <w:rPr>
          <w:rFonts w:ascii="Verdana" w:hAnsi="Verdana"/>
          <w:b/>
          <w:lang w:val="et-EE"/>
        </w:rPr>
        <w:t>Lisa</w:t>
      </w:r>
      <w:r w:rsidR="00F26E2A">
        <w:rPr>
          <w:rFonts w:ascii="Verdana" w:hAnsi="Verdana"/>
          <w:b/>
          <w:lang w:val="et-EE"/>
        </w:rPr>
        <w:t>sse</w:t>
      </w:r>
      <w:r w:rsidRPr="00F26E2A">
        <w:rPr>
          <w:rFonts w:ascii="Verdana" w:hAnsi="Verdana"/>
          <w:b/>
          <w:lang w:val="et-EE"/>
        </w:rPr>
        <w:t xml:space="preserve"> </w:t>
      </w:r>
      <w:r w:rsidR="00914855" w:rsidRPr="00F26E2A">
        <w:rPr>
          <w:rFonts w:ascii="Verdana" w:hAnsi="Verdana"/>
          <w:b/>
          <w:lang w:val="et-EE"/>
        </w:rPr>
        <w:t>5</w:t>
      </w:r>
      <w:r w:rsidR="00F26E2A">
        <w:rPr>
          <w:rFonts w:ascii="Verdana" w:hAnsi="Verdana"/>
          <w:lang w:val="et-EE"/>
        </w:rPr>
        <w:t>, kui need on HVJK poolt välja töötatud ja heaks kiidetud.</w:t>
      </w:r>
    </w:p>
    <w:p w:rsidR="001B78DA" w:rsidRPr="00556AAF" w:rsidRDefault="00651328" w:rsidP="00D6024D">
      <w:pPr>
        <w:pStyle w:val="Pealkiri4"/>
      </w:pPr>
      <w:r>
        <w:rPr>
          <w:u w:val="single"/>
        </w:rPr>
        <w:t>Põhinäitaja</w:t>
      </w:r>
      <w:r w:rsidR="001B78DA" w:rsidRPr="00556AAF">
        <w:rPr>
          <w:u w:val="single"/>
        </w:rPr>
        <w:t xml:space="preserve"> </w:t>
      </w:r>
      <w:r w:rsidR="007F3B51">
        <w:rPr>
          <w:u w:val="single"/>
        </w:rPr>
        <w:t>4.</w:t>
      </w:r>
      <w:r w:rsidR="00A46868">
        <w:rPr>
          <w:u w:val="single"/>
        </w:rPr>
        <w:t>3</w:t>
      </w:r>
      <w:r w:rsidR="00C748E8">
        <w:t>: Vee tarbimine</w:t>
      </w:r>
    </w:p>
    <w:p w:rsidR="009F01B4" w:rsidRPr="005D1E42" w:rsidRDefault="001B78DA" w:rsidP="00CE54CD">
      <w:pPr>
        <w:numPr>
          <w:ilvl w:val="0"/>
          <w:numId w:val="31"/>
        </w:numPr>
        <w:spacing w:before="100" w:beforeAutospacing="1" w:after="100" w:afterAutospacing="1"/>
        <w:jc w:val="both"/>
      </w:pPr>
      <w:r w:rsidRPr="00556AAF">
        <w:rPr>
          <w:rFonts w:ascii="Verdana" w:hAnsi="Verdana"/>
        </w:rPr>
        <w:t>Definitsioon: vee tarbimine on puhta vee tarbimine (</w:t>
      </w:r>
      <w:r w:rsidR="005D1E42">
        <w:rPr>
          <w:rFonts w:ascii="Verdana" w:hAnsi="Verdana"/>
        </w:rPr>
        <w:t>kemikaalide tootmise protsessis ning seonduvates tegevustes</w:t>
      </w:r>
      <w:r w:rsidRPr="00556AAF">
        <w:rPr>
          <w:rFonts w:ascii="Verdana" w:hAnsi="Verdana"/>
        </w:rPr>
        <w:t>)</w:t>
      </w:r>
      <w:r w:rsidR="005D1E42">
        <w:rPr>
          <w:rFonts w:ascii="Verdana" w:hAnsi="Verdana"/>
        </w:rPr>
        <w:t xml:space="preserve"> eeldusel, et seda vett ei tagastata selle originaal- ehk algallikasse</w:t>
      </w:r>
      <w:r w:rsidRPr="00556AAF">
        <w:rPr>
          <w:rFonts w:ascii="Verdana" w:hAnsi="Verdana"/>
        </w:rPr>
        <w:t>.</w:t>
      </w:r>
    </w:p>
    <w:p w:rsidR="005D1E42" w:rsidRPr="009F01B4" w:rsidRDefault="005D1E42" w:rsidP="00CE54CD">
      <w:pPr>
        <w:numPr>
          <w:ilvl w:val="0"/>
          <w:numId w:val="31"/>
        </w:numPr>
        <w:spacing w:before="100" w:beforeAutospacing="1" w:after="100" w:afterAutospacing="1"/>
        <w:jc w:val="both"/>
      </w:pPr>
      <w:r>
        <w:rPr>
          <w:rFonts w:ascii="Verdana" w:hAnsi="Verdana"/>
        </w:rPr>
        <w:t xml:space="preserve">Vee allikad jagunevad viide valdkonda: ühisveevärgi vesi, põhjavesi, pinnavesi, merevesi ja muud allikad. </w:t>
      </w:r>
    </w:p>
    <w:p w:rsidR="001B78DA" w:rsidRPr="00556AAF" w:rsidRDefault="00E6128E" w:rsidP="00CE54CD">
      <w:pPr>
        <w:numPr>
          <w:ilvl w:val="0"/>
          <w:numId w:val="31"/>
        </w:numPr>
        <w:spacing w:before="100" w:beforeAutospacing="1" w:after="100" w:afterAutospacing="1"/>
        <w:jc w:val="both"/>
      </w:pPr>
      <w:r>
        <w:rPr>
          <w:rFonts w:ascii="Verdana" w:hAnsi="Verdana"/>
        </w:rPr>
        <w:t>Ettevõtetel on soovitatav vaad</w:t>
      </w:r>
      <w:r w:rsidR="009F01B4">
        <w:rPr>
          <w:rFonts w:ascii="Verdana" w:hAnsi="Verdana"/>
        </w:rPr>
        <w:t>a</w:t>
      </w:r>
      <w:r>
        <w:rPr>
          <w:rFonts w:ascii="Verdana" w:hAnsi="Verdana"/>
        </w:rPr>
        <w:t>ta</w:t>
      </w:r>
      <w:r w:rsidR="009F01B4">
        <w:rPr>
          <w:rFonts w:ascii="Verdana" w:hAnsi="Verdana"/>
        </w:rPr>
        <w:t xml:space="preserve"> </w:t>
      </w:r>
      <w:r w:rsidR="009F01B4" w:rsidRPr="00972068">
        <w:rPr>
          <w:rFonts w:ascii="Verdana" w:hAnsi="Verdana"/>
          <w:b/>
        </w:rPr>
        <w:t xml:space="preserve">lisas </w:t>
      </w:r>
      <w:r w:rsidR="00914855">
        <w:rPr>
          <w:rFonts w:ascii="Verdana" w:hAnsi="Verdana"/>
          <w:b/>
        </w:rPr>
        <w:t>6</w:t>
      </w:r>
      <w:r w:rsidR="009F01B4">
        <w:rPr>
          <w:rFonts w:ascii="Verdana" w:hAnsi="Verdana"/>
        </w:rPr>
        <w:t xml:space="preserve"> toodud vee tarbimise vooskeemi</w:t>
      </w:r>
      <w:r w:rsidR="00EF3DDC">
        <w:rPr>
          <w:rFonts w:ascii="Verdana" w:hAnsi="Verdana"/>
        </w:rPr>
        <w:t xml:space="preserve"> ning lisas</w:t>
      </w:r>
      <w:r>
        <w:rPr>
          <w:rFonts w:ascii="Verdana" w:hAnsi="Verdana"/>
        </w:rPr>
        <w:t>,</w:t>
      </w:r>
      <w:r w:rsidR="005D1E42">
        <w:rPr>
          <w:rFonts w:ascii="Verdana" w:hAnsi="Verdana"/>
        </w:rPr>
        <w:t xml:space="preserve"> määramaks kindlaks oma ettevõtte veetarve</w:t>
      </w:r>
      <w:r w:rsidR="00972068">
        <w:rPr>
          <w:rFonts w:ascii="Verdana" w:hAnsi="Verdana"/>
        </w:rPr>
        <w:t>.</w:t>
      </w:r>
      <w:r w:rsidR="001B78DA" w:rsidRPr="00556AAF">
        <w:rPr>
          <w:rFonts w:ascii="Verdana" w:hAnsi="Verdana"/>
        </w:rPr>
        <w:t xml:space="preserve">  </w:t>
      </w:r>
    </w:p>
    <w:p w:rsidR="001B78DA" w:rsidRPr="00556AAF" w:rsidRDefault="0000422E" w:rsidP="00CE54CD">
      <w:pPr>
        <w:numPr>
          <w:ilvl w:val="0"/>
          <w:numId w:val="31"/>
        </w:numPr>
        <w:spacing w:before="100" w:beforeAutospacing="1" w:after="100" w:afterAutospacing="1"/>
        <w:jc w:val="both"/>
      </w:pPr>
      <w:r>
        <w:rPr>
          <w:rFonts w:ascii="Verdana" w:hAnsi="Verdana"/>
        </w:rPr>
        <w:t>Näitajat</w:t>
      </w:r>
      <w:r w:rsidR="001B78DA" w:rsidRPr="00556AAF">
        <w:rPr>
          <w:rFonts w:ascii="Verdana" w:hAnsi="Verdana"/>
        </w:rPr>
        <w:t xml:space="preserve"> väljendatakse</w:t>
      </w:r>
      <w:r>
        <w:rPr>
          <w:rFonts w:ascii="Verdana" w:hAnsi="Verdana"/>
        </w:rPr>
        <w:t xml:space="preserve"> kui</w:t>
      </w:r>
      <w:r w:rsidR="001B78DA" w:rsidRPr="00556AAF">
        <w:rPr>
          <w:rFonts w:ascii="Verdana" w:hAnsi="Verdana"/>
        </w:rPr>
        <w:t xml:space="preserve"> </w:t>
      </w:r>
      <w:r w:rsidRPr="0000422E">
        <w:rPr>
          <w:rFonts w:ascii="Verdana" w:hAnsi="Verdana"/>
          <w:b/>
        </w:rPr>
        <w:t>milljonit kuupmeetrit vett/aastas</w:t>
      </w:r>
      <w:r w:rsidR="001B78DA" w:rsidRPr="00556AAF">
        <w:rPr>
          <w:rFonts w:ascii="Verdana" w:hAnsi="Verdana"/>
        </w:rPr>
        <w:t>.</w:t>
      </w:r>
    </w:p>
    <w:p w:rsidR="001B78DA" w:rsidRPr="009F01B4" w:rsidRDefault="0000422E" w:rsidP="00CE54CD">
      <w:pPr>
        <w:numPr>
          <w:ilvl w:val="0"/>
          <w:numId w:val="31"/>
        </w:numPr>
        <w:spacing w:before="100" w:beforeAutospacing="1" w:after="100" w:afterAutospacing="1"/>
        <w:jc w:val="both"/>
      </w:pPr>
      <w:r>
        <w:rPr>
          <w:rFonts w:ascii="Verdana" w:hAnsi="Verdana"/>
        </w:rPr>
        <w:t>Näitaja</w:t>
      </w:r>
      <w:r w:rsidR="001B78DA" w:rsidRPr="00556AAF">
        <w:rPr>
          <w:rFonts w:ascii="Verdana" w:hAnsi="Verdana"/>
        </w:rPr>
        <w:t xml:space="preserve"> väljendab loodusliku ressursi „vesi” kasutamist.</w:t>
      </w:r>
    </w:p>
    <w:p w:rsidR="001B78DA" w:rsidRPr="00556AAF" w:rsidRDefault="001B78DA">
      <w:pPr>
        <w:jc w:val="both"/>
      </w:pPr>
    </w:p>
    <w:p w:rsidR="00FE43BE" w:rsidRDefault="00FE43BE">
      <w:pPr>
        <w:rPr>
          <w:caps/>
          <w:spacing w:val="15"/>
          <w:sz w:val="22"/>
          <w:szCs w:val="22"/>
        </w:rPr>
      </w:pPr>
      <w:r>
        <w:br w:type="page"/>
      </w:r>
    </w:p>
    <w:p w:rsidR="001B78DA" w:rsidRPr="00556AAF" w:rsidRDefault="001B78DA" w:rsidP="0050254A">
      <w:pPr>
        <w:pStyle w:val="Pealkiri2"/>
        <w:numPr>
          <w:ilvl w:val="0"/>
          <w:numId w:val="39"/>
        </w:numPr>
      </w:pPr>
      <w:bookmarkStart w:id="23" w:name="_Toc358822435"/>
      <w:r w:rsidRPr="00556AAF">
        <w:lastRenderedPageBreak/>
        <w:t>Transport</w:t>
      </w:r>
      <w:bookmarkEnd w:id="23"/>
    </w:p>
    <w:p w:rsidR="001B78DA" w:rsidRPr="00556AAF" w:rsidRDefault="000F1E41" w:rsidP="00D6024D">
      <w:pPr>
        <w:pStyle w:val="Pealkiri4"/>
      </w:pPr>
      <w:r>
        <w:rPr>
          <w:u w:val="single"/>
        </w:rPr>
        <w:t>Põhinäitaja</w:t>
      </w:r>
      <w:r w:rsidR="001B78DA" w:rsidRPr="00556AAF">
        <w:rPr>
          <w:u w:val="single"/>
        </w:rPr>
        <w:t xml:space="preserve"> </w:t>
      </w:r>
      <w:r w:rsidR="00A46868">
        <w:rPr>
          <w:u w:val="single"/>
        </w:rPr>
        <w:t>5.1</w:t>
      </w:r>
      <w:r>
        <w:t>: Transpordijuhtumid</w:t>
      </w:r>
    </w:p>
    <w:p w:rsidR="00C0259B" w:rsidRDefault="001B78DA" w:rsidP="00C0259B">
      <w:pPr>
        <w:pStyle w:val="Normaallaadveeb"/>
        <w:numPr>
          <w:ilvl w:val="0"/>
          <w:numId w:val="33"/>
        </w:numPr>
        <w:jc w:val="both"/>
        <w:rPr>
          <w:rFonts w:ascii="Verdana" w:hAnsi="Verdana"/>
          <w:u w:val="single"/>
          <w:lang w:val="et-EE"/>
        </w:rPr>
      </w:pPr>
      <w:r w:rsidRPr="00556AAF">
        <w:rPr>
          <w:rFonts w:ascii="Verdana" w:hAnsi="Verdana"/>
          <w:lang w:val="et-EE"/>
        </w:rPr>
        <w:t>Def</w:t>
      </w:r>
      <w:r w:rsidR="00C0259B">
        <w:rPr>
          <w:rFonts w:ascii="Verdana" w:hAnsi="Verdana"/>
          <w:lang w:val="et-EE"/>
        </w:rPr>
        <w:t>initsioon: Mistahes vahejuhtum</w:t>
      </w:r>
      <w:r w:rsidRPr="00556AAF">
        <w:rPr>
          <w:rFonts w:ascii="Verdana" w:hAnsi="Verdana"/>
          <w:lang w:val="et-EE"/>
        </w:rPr>
        <w:t>, mis leiab aset keemiatoodete transpordi käigus hoolimata sellest, kas kemikaalid on ohtlikuks klassifitseeritud Ühinenud Rahvaste Organisatsiooni  (ÜRO) Ohtlike ainete transpordi soovituste kohaselt (välja arvatud laadimine/mahalaadimine hankija/lõppsuunal) ning mis vastab vähemalt alljärgnevaile kriteeriumidele:</w:t>
      </w:r>
    </w:p>
    <w:p w:rsidR="00C0259B" w:rsidRDefault="001B78DA" w:rsidP="00C0259B">
      <w:pPr>
        <w:pStyle w:val="Normaallaadveeb"/>
        <w:ind w:left="1440"/>
        <w:jc w:val="both"/>
        <w:rPr>
          <w:rFonts w:ascii="Verdana" w:hAnsi="Verdana"/>
          <w:lang w:val="et-EE"/>
        </w:rPr>
      </w:pPr>
      <w:r w:rsidRPr="00C0259B">
        <w:rPr>
          <w:rFonts w:ascii="Verdana" w:hAnsi="Verdana"/>
          <w:lang w:val="et-EE"/>
        </w:rPr>
        <w:t>- surm või vigastus, mis vajab intensiivravi, viibimine haiglas vähemalt ühe päeva või rohkem kui kolmepäevane puudumine töölt, hoolimata asjaolust, kas keemiline aine oli surma või/ja vigastuse põhjustajaks;</w:t>
      </w:r>
    </w:p>
    <w:p w:rsidR="00C0259B" w:rsidRDefault="001B78DA" w:rsidP="00C0259B">
      <w:pPr>
        <w:pStyle w:val="Normaallaadveeb"/>
        <w:ind w:left="1440"/>
        <w:jc w:val="both"/>
        <w:rPr>
          <w:rFonts w:ascii="Verdana" w:hAnsi="Verdana"/>
          <w:lang w:val="et-EE"/>
        </w:rPr>
      </w:pPr>
      <w:r w:rsidRPr="00C0259B">
        <w:rPr>
          <w:rFonts w:ascii="Verdana" w:hAnsi="Verdana"/>
          <w:lang w:val="et-EE"/>
        </w:rPr>
        <w:t>- toote kadu: suurema koguse kui 50 kg/l ohtliku kauba igasugune kadu või suurema koguse kui 1000 kg/l mitteohtliku kauba igasugune kadu;</w:t>
      </w:r>
    </w:p>
    <w:p w:rsidR="00C0259B" w:rsidRDefault="001B78DA" w:rsidP="00C0259B">
      <w:pPr>
        <w:pStyle w:val="Normaallaadveeb"/>
        <w:ind w:left="1440"/>
        <w:jc w:val="both"/>
        <w:rPr>
          <w:rFonts w:ascii="Verdana" w:hAnsi="Verdana"/>
        </w:rPr>
      </w:pPr>
      <w:r w:rsidRPr="00556AAF">
        <w:rPr>
          <w:rFonts w:ascii="Verdana" w:hAnsi="Verdana"/>
        </w:rPr>
        <w:t>- materiaalne või keskkonnakahjustus: igasugune kahju üle 50000 euro (kaasa arvatud keskkonna puhastamine), mis on transpordijuhtumi tagajärg, sõltumata sellest, kas õnnetuses oli oma osa ka keemiatootel või mitte;</w:t>
      </w:r>
    </w:p>
    <w:p w:rsidR="001B78DA" w:rsidRPr="00C0259B" w:rsidRDefault="001B78DA" w:rsidP="00C0259B">
      <w:pPr>
        <w:pStyle w:val="Normaallaadveeb"/>
        <w:ind w:left="1440"/>
        <w:jc w:val="both"/>
        <w:rPr>
          <w:rFonts w:ascii="Verdana" w:hAnsi="Verdana"/>
          <w:lang w:val="et-EE"/>
        </w:rPr>
      </w:pPr>
      <w:r w:rsidRPr="00556AAF">
        <w:rPr>
          <w:rFonts w:ascii="Verdana" w:hAnsi="Verdana"/>
        </w:rPr>
        <w:t xml:space="preserve">- riigiasutuste sekkumine: riigiasutuste ja/või päästeteenistuste vahetu sekkumine juhtumisse, inimeste evakueerimine, juhtumist tingitud ühendusteede sulgemine rohkem kui kolmeks tunniks. </w:t>
      </w:r>
    </w:p>
    <w:p w:rsidR="001B78DA" w:rsidRPr="00556AAF" w:rsidRDefault="001B78DA">
      <w:pPr>
        <w:jc w:val="both"/>
        <w:rPr>
          <w:rFonts w:ascii="Verdana" w:hAnsi="Verdana"/>
          <w:u w:val="single"/>
        </w:rPr>
      </w:pPr>
    </w:p>
    <w:p w:rsidR="001B78DA" w:rsidRPr="00556AAF" w:rsidRDefault="00443FBB" w:rsidP="00CE54CD">
      <w:pPr>
        <w:numPr>
          <w:ilvl w:val="0"/>
          <w:numId w:val="32"/>
        </w:numPr>
        <w:jc w:val="both"/>
        <w:rPr>
          <w:rFonts w:ascii="Verdana" w:hAnsi="Verdana"/>
          <w:b/>
          <w:bCs/>
        </w:rPr>
      </w:pPr>
      <w:r>
        <w:rPr>
          <w:rFonts w:ascii="Verdana" w:hAnsi="Verdana"/>
        </w:rPr>
        <w:t>Näitajat</w:t>
      </w:r>
      <w:r w:rsidR="001B78DA" w:rsidRPr="00556AAF">
        <w:rPr>
          <w:rFonts w:ascii="Verdana" w:hAnsi="Verdana"/>
        </w:rPr>
        <w:t xml:space="preserve"> väljendatakse</w:t>
      </w:r>
      <w:r>
        <w:rPr>
          <w:rFonts w:ascii="Verdana" w:hAnsi="Verdana"/>
        </w:rPr>
        <w:t xml:space="preserve"> kui</w:t>
      </w:r>
      <w:r w:rsidR="001B78DA" w:rsidRPr="00556AAF">
        <w:rPr>
          <w:rFonts w:ascii="Verdana" w:hAnsi="Verdana"/>
        </w:rPr>
        <w:t xml:space="preserve"> </w:t>
      </w:r>
      <w:r w:rsidR="001B78DA" w:rsidRPr="00556AAF">
        <w:rPr>
          <w:rFonts w:ascii="Verdana" w:hAnsi="Verdana"/>
          <w:b/>
          <w:bCs/>
        </w:rPr>
        <w:t>intsidentide</w:t>
      </w:r>
      <w:r>
        <w:rPr>
          <w:rFonts w:ascii="Verdana" w:hAnsi="Verdana"/>
          <w:b/>
          <w:bCs/>
        </w:rPr>
        <w:t xml:space="preserve"> (juhtumite) arvu</w:t>
      </w:r>
      <w:r w:rsidR="001B78DA" w:rsidRPr="00556AAF">
        <w:rPr>
          <w:rFonts w:ascii="Verdana" w:hAnsi="Verdana"/>
          <w:b/>
          <w:bCs/>
        </w:rPr>
        <w:t>/</w:t>
      </w:r>
      <w:r>
        <w:rPr>
          <w:rFonts w:ascii="Verdana" w:hAnsi="Verdana"/>
          <w:b/>
          <w:bCs/>
        </w:rPr>
        <w:t>aastas</w:t>
      </w:r>
      <w:r w:rsidR="001B78DA" w:rsidRPr="00556AAF">
        <w:rPr>
          <w:rFonts w:ascii="Verdana" w:hAnsi="Verdana"/>
          <w:b/>
          <w:bCs/>
        </w:rPr>
        <w:t xml:space="preserve"> iga transpordiliigi kohta</w:t>
      </w:r>
      <w:r>
        <w:rPr>
          <w:rFonts w:ascii="Verdana" w:hAnsi="Verdana"/>
          <w:b/>
          <w:bCs/>
        </w:rPr>
        <w:t>:</w:t>
      </w:r>
      <w:r w:rsidR="001B78DA" w:rsidRPr="00556AAF">
        <w:rPr>
          <w:rFonts w:ascii="Verdana" w:hAnsi="Verdana"/>
          <w:b/>
          <w:bCs/>
        </w:rPr>
        <w:t xml:space="preserve"> </w:t>
      </w:r>
      <w:r w:rsidR="001B78DA" w:rsidRPr="00443FBB">
        <w:rPr>
          <w:rFonts w:ascii="Verdana" w:hAnsi="Verdana"/>
          <w:bCs/>
        </w:rPr>
        <w:t>(</w:t>
      </w:r>
      <w:r w:rsidRPr="00443FBB">
        <w:rPr>
          <w:rFonts w:ascii="Verdana" w:hAnsi="Verdana"/>
          <w:bCs/>
        </w:rPr>
        <w:t>a)</w:t>
      </w:r>
      <w:r>
        <w:rPr>
          <w:rFonts w:ascii="Verdana" w:hAnsi="Verdana"/>
          <w:bCs/>
        </w:rPr>
        <w:t xml:space="preserve"> </w:t>
      </w:r>
      <w:r w:rsidR="001B78DA" w:rsidRPr="00443FBB">
        <w:rPr>
          <w:rFonts w:ascii="Verdana" w:hAnsi="Verdana"/>
          <w:bCs/>
        </w:rPr>
        <w:t>raudteeveod</w:t>
      </w:r>
      <w:r>
        <w:rPr>
          <w:rFonts w:ascii="Verdana" w:hAnsi="Verdana"/>
          <w:bCs/>
        </w:rPr>
        <w:t xml:space="preserve">; (b) maanteeveod; (c) muud veod (õhuveod, mereveod, </w:t>
      </w:r>
      <w:r w:rsidR="001B78DA" w:rsidRPr="00443FBB">
        <w:rPr>
          <w:rFonts w:ascii="Verdana" w:hAnsi="Verdana"/>
          <w:bCs/>
        </w:rPr>
        <w:t>torujuhtmed)</w:t>
      </w:r>
      <w:r w:rsidR="001B78DA" w:rsidRPr="00556AAF">
        <w:rPr>
          <w:rFonts w:ascii="Verdana" w:hAnsi="Verdana"/>
          <w:b/>
          <w:bCs/>
        </w:rPr>
        <w:t>.</w:t>
      </w:r>
      <w:r w:rsidR="001B78DA" w:rsidRPr="00556AAF">
        <w:rPr>
          <w:rFonts w:ascii="Verdana" w:hAnsi="Verdana"/>
        </w:rPr>
        <w:t xml:space="preserve"> Edasised juhtnöörid transpordijuhtumite kohta on toodud </w:t>
      </w:r>
      <w:r w:rsidR="001B78DA" w:rsidRPr="00556AAF">
        <w:rPr>
          <w:rFonts w:ascii="Verdana" w:hAnsi="Verdana"/>
          <w:b/>
          <w:iCs/>
        </w:rPr>
        <w:t xml:space="preserve">Lisa </w:t>
      </w:r>
      <w:r w:rsidR="00933E62">
        <w:rPr>
          <w:rFonts w:ascii="Verdana" w:hAnsi="Verdana"/>
          <w:b/>
          <w:iCs/>
        </w:rPr>
        <w:t>7</w:t>
      </w:r>
      <w:r w:rsidR="001B78DA" w:rsidRPr="00556AAF">
        <w:rPr>
          <w:rFonts w:ascii="Verdana" w:hAnsi="Verdana"/>
          <w:i/>
          <w:iCs/>
        </w:rPr>
        <w:t>.</w:t>
      </w:r>
    </w:p>
    <w:p w:rsidR="001B78DA" w:rsidRPr="00556AAF" w:rsidRDefault="001B78DA">
      <w:pPr>
        <w:jc w:val="both"/>
        <w:rPr>
          <w:rFonts w:ascii="Verdana" w:hAnsi="Verdana"/>
        </w:rPr>
      </w:pPr>
    </w:p>
    <w:p w:rsidR="001B78DA" w:rsidRPr="00556AAF" w:rsidRDefault="001B78DA">
      <w:pPr>
        <w:ind w:left="720"/>
        <w:jc w:val="both"/>
        <w:rPr>
          <w:rFonts w:ascii="Verdana" w:hAnsi="Verdana"/>
        </w:rPr>
      </w:pPr>
    </w:p>
    <w:p w:rsidR="001B78DA" w:rsidRPr="00556AAF" w:rsidRDefault="001B78DA">
      <w:pPr>
        <w:jc w:val="both"/>
      </w:pPr>
    </w:p>
    <w:p w:rsidR="001B78DA" w:rsidRPr="00556AAF" w:rsidRDefault="001B78DA">
      <w:pPr>
        <w:jc w:val="both"/>
      </w:pPr>
    </w:p>
    <w:p w:rsidR="00C748E8" w:rsidRPr="00933E62" w:rsidRDefault="002B1B50" w:rsidP="00933E62">
      <w:pPr>
        <w:pStyle w:val="Pealkiri2"/>
      </w:pPr>
      <w:r>
        <w:br w:type="page"/>
      </w:r>
      <w:bookmarkStart w:id="24" w:name="_Toc341362249"/>
      <w:r w:rsidR="007A5E98">
        <w:lastRenderedPageBreak/>
        <w:t xml:space="preserve"> </w:t>
      </w:r>
      <w:bookmarkStart w:id="25" w:name="_Toc358822436"/>
      <w:r w:rsidR="001B78DA" w:rsidRPr="00556AAF">
        <w:t xml:space="preserve">Lisa </w:t>
      </w:r>
      <w:bookmarkStart w:id="26" w:name="_Toc341362250"/>
      <w:bookmarkEnd w:id="24"/>
      <w:r w:rsidR="00933E62">
        <w:t>1</w:t>
      </w:r>
      <w:r w:rsidR="00C748E8">
        <w:t xml:space="preserve">: </w:t>
      </w:r>
      <w:r>
        <w:t xml:space="preserve">Kaotatud </w:t>
      </w:r>
      <w:r w:rsidR="00C748E8">
        <w:t>töö</w:t>
      </w:r>
      <w:r>
        <w:t>ajaga v</w:t>
      </w:r>
      <w:r w:rsidR="001B78DA" w:rsidRPr="00556AAF">
        <w:t>ig</w:t>
      </w:r>
      <w:r>
        <w:t>astuste esinemissagedus</w:t>
      </w:r>
      <w:bookmarkEnd w:id="25"/>
      <w:r w:rsidR="001B78DA" w:rsidRPr="00556AAF">
        <w:t xml:space="preserve"> </w:t>
      </w:r>
    </w:p>
    <w:p w:rsidR="001B78DA" w:rsidRPr="002B1B50" w:rsidRDefault="001B78DA" w:rsidP="00C748E8">
      <w:r w:rsidRPr="00556AAF">
        <w:t>Ümberarvutuse tabel</w:t>
      </w:r>
      <w:r w:rsidR="002B1B50">
        <w:t>:</w:t>
      </w:r>
      <w:r w:rsidRPr="00556AAF">
        <w:t xml:space="preserve"> 1 päev versus 3 päeva</w:t>
      </w:r>
      <w:bookmarkEnd w:id="26"/>
    </w:p>
    <w:p w:rsidR="001B78DA" w:rsidRPr="00556AAF" w:rsidRDefault="00990C87">
      <w:pPr>
        <w:pStyle w:val="Normaallaadveeb"/>
        <w:jc w:val="center"/>
        <w:rPr>
          <w:lang w:val="et-EE"/>
        </w:rPr>
      </w:pPr>
      <w:r>
        <w:rPr>
          <w:noProof/>
          <w:lang w:val="et-EE" w:eastAsia="et-EE"/>
        </w:rPr>
        <w:drawing>
          <wp:inline distT="0" distB="0" distL="0" distR="0" wp14:anchorId="0B27E27F" wp14:editId="1428E61A">
            <wp:extent cx="4052442" cy="3219450"/>
            <wp:effectExtent l="0" t="0" r="5715" b="0"/>
            <wp:docPr id="1" name="Pilt 9"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 descr="Fi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0159" cy="3217636"/>
                    </a:xfrm>
                    <a:prstGeom prst="rect">
                      <a:avLst/>
                    </a:prstGeom>
                    <a:noFill/>
                    <a:ln>
                      <a:noFill/>
                    </a:ln>
                  </pic:spPr>
                </pic:pic>
              </a:graphicData>
            </a:graphic>
          </wp:inline>
        </w:drawing>
      </w:r>
    </w:p>
    <w:p w:rsidR="001B78DA" w:rsidRPr="00556AAF" w:rsidRDefault="001B78DA" w:rsidP="00C12BCB">
      <w:pPr>
        <w:jc w:val="right"/>
      </w:pPr>
    </w:p>
    <w:p w:rsidR="00C12BCB" w:rsidRDefault="00C12BCB">
      <w:pPr>
        <w:rPr>
          <w:rStyle w:val="Tugev"/>
          <w:rFonts w:ascii="Verdana" w:hAnsi="Verdana"/>
          <w:b w:val="0"/>
        </w:rPr>
        <w:sectPr w:rsidR="00C12BCB" w:rsidSect="00D27A41">
          <w:footerReference w:type="even" r:id="rId13"/>
          <w:footerReference w:type="default" r:id="rId14"/>
          <w:pgSz w:w="12240" w:h="15840"/>
          <w:pgMar w:top="1134" w:right="1418" w:bottom="1134" w:left="1418" w:header="709" w:footer="709" w:gutter="0"/>
          <w:pgNumType w:start="0"/>
          <w:cols w:space="708"/>
          <w:noEndnote/>
          <w:titlePg/>
          <w:docGrid w:linePitch="326"/>
        </w:sectPr>
      </w:pPr>
    </w:p>
    <w:p w:rsidR="001B78DA" w:rsidRPr="00C12BCB" w:rsidRDefault="001B78DA">
      <w:pPr>
        <w:rPr>
          <w:rStyle w:val="Tugev"/>
          <w:rFonts w:ascii="Verdana" w:hAnsi="Verdana"/>
          <w:b w:val="0"/>
        </w:rPr>
      </w:pPr>
      <w:r w:rsidRPr="00C12BCB">
        <w:rPr>
          <w:rStyle w:val="Tugev"/>
          <w:rFonts w:ascii="Verdana" w:hAnsi="Verdana"/>
          <w:b w:val="0"/>
        </w:rPr>
        <w:lastRenderedPageBreak/>
        <w:t>Andmed</w:t>
      </w:r>
    </w:p>
    <w:p w:rsidR="00C12BCB" w:rsidRDefault="001B78DA" w:rsidP="00C12BCB">
      <w:pPr>
        <w:rPr>
          <w:rStyle w:val="Tugev"/>
          <w:rFonts w:ascii="Verdana" w:hAnsi="Verdana"/>
          <w:b w:val="0"/>
        </w:rPr>
      </w:pPr>
      <w:r w:rsidRPr="00C12BCB">
        <w:rPr>
          <w:rStyle w:val="Tugev"/>
          <w:rFonts w:ascii="Verdana" w:hAnsi="Verdana"/>
          <w:b w:val="0"/>
        </w:rPr>
        <w:t>Log linea sobivus= 3.024 x 3-päeva -FR^0.668</w:t>
      </w:r>
      <w:r w:rsidR="00C12BCB">
        <w:rPr>
          <w:rStyle w:val="Tugev"/>
          <w:rFonts w:ascii="Verdana" w:hAnsi="Verdana"/>
          <w:b w:val="0"/>
        </w:rPr>
        <w:t xml:space="preserve">    </w:t>
      </w:r>
    </w:p>
    <w:p w:rsidR="001B78DA" w:rsidRPr="00C12BCB" w:rsidRDefault="00990C87" w:rsidP="00C12BCB">
      <w:pPr>
        <w:rPr>
          <w:rStyle w:val="Tugev"/>
          <w:rFonts w:ascii="Verdana" w:hAnsi="Verdana"/>
          <w:b w:val="0"/>
        </w:rPr>
      </w:pPr>
      <w:r>
        <w:rPr>
          <w:noProof/>
        </w:rPr>
        <w:lastRenderedPageBreak/>
        <w:drawing>
          <wp:inline distT="0" distB="0" distL="0" distR="0" wp14:anchorId="00101D42" wp14:editId="053F2E18">
            <wp:extent cx="95250" cy="103505"/>
            <wp:effectExtent l="0" t="0" r="0" b="0"/>
            <wp:docPr id="2" name="Pilt 10"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0" descr="squa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03505"/>
                    </a:xfrm>
                    <a:prstGeom prst="rect">
                      <a:avLst/>
                    </a:prstGeom>
                    <a:noFill/>
                    <a:ln>
                      <a:noFill/>
                    </a:ln>
                  </pic:spPr>
                </pic:pic>
              </a:graphicData>
            </a:graphic>
          </wp:inline>
        </w:drawing>
      </w:r>
    </w:p>
    <w:p w:rsidR="00C12BCB" w:rsidRDefault="00990C87">
      <w:pPr>
        <w:rPr>
          <w:rStyle w:val="Tugev"/>
          <w:rFonts w:ascii="Verdana" w:hAnsi="Verdana"/>
        </w:rPr>
        <w:sectPr w:rsidR="00C12BCB" w:rsidSect="00606C0D">
          <w:type w:val="continuous"/>
          <w:pgSz w:w="12240" w:h="15840"/>
          <w:pgMar w:top="1418" w:right="1418" w:bottom="1418" w:left="1418" w:header="709" w:footer="709" w:gutter="0"/>
          <w:cols w:num="2" w:space="708"/>
          <w:noEndnote/>
        </w:sectPr>
      </w:pPr>
      <w:r>
        <w:rPr>
          <w:noProof/>
        </w:rPr>
        <w:drawing>
          <wp:inline distT="0" distB="0" distL="0" distR="0" wp14:anchorId="63D7FC46" wp14:editId="6FF601B5">
            <wp:extent cx="294005" cy="95250"/>
            <wp:effectExtent l="0" t="0" r="0" b="0"/>
            <wp:docPr id="3" name="Pilt 11" descr="line1.gif (9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 descr="line1.gif (99 by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95250"/>
                    </a:xfrm>
                    <a:prstGeom prst="rect">
                      <a:avLst/>
                    </a:prstGeom>
                    <a:noFill/>
                    <a:ln>
                      <a:noFill/>
                    </a:ln>
                  </pic:spPr>
                </pic:pic>
              </a:graphicData>
            </a:graphic>
          </wp:inline>
        </w:drawing>
      </w:r>
    </w:p>
    <w:p w:rsidR="006E7A5D" w:rsidRDefault="00B31019" w:rsidP="00B46C91">
      <w:pPr>
        <w:jc w:val="both"/>
        <w:rPr>
          <w:rStyle w:val="Tugev"/>
          <w:rFonts w:ascii="Verdana" w:hAnsi="Verdana"/>
        </w:rPr>
      </w:pPr>
      <w:r>
        <w:rPr>
          <w:rStyle w:val="Tugev"/>
          <w:rFonts w:ascii="Verdana" w:hAnsi="Verdana"/>
        </w:rPr>
        <w:lastRenderedPageBreak/>
        <w:t>Kaotatud tööajaga vigastuste sageduse (LTIR – Lost time injury frequency rate) arvutamine</w:t>
      </w:r>
    </w:p>
    <w:p w:rsidR="006E7A5D" w:rsidRPr="00606C0D" w:rsidRDefault="00B31019" w:rsidP="00B46C91">
      <w:pPr>
        <w:jc w:val="both"/>
        <w:rPr>
          <w:rStyle w:val="Tugev"/>
          <w:rFonts w:ascii="Verdana" w:hAnsi="Verdana"/>
          <w:b w:val="0"/>
        </w:rPr>
      </w:pPr>
      <w:r>
        <w:rPr>
          <w:rStyle w:val="Tugev"/>
          <w:rFonts w:ascii="Verdana" w:hAnsi="Verdana"/>
          <w:b w:val="0"/>
        </w:rPr>
        <w:t xml:space="preserve">Alljärgneva sageduskoefitsendi arvutab EKTL ise, lähtudes ettevõtete vigastusjuhtumite koguarvust ja töötundide koguarvust. Samas saavad ka ettevõtted ise vastava näitaja oma ettevõtte kohta välja arvutada, et võrrelda näiteks oma tulemuslikkust EKTLi </w:t>
      </w:r>
      <w:r w:rsidR="00EE0A73">
        <w:rPr>
          <w:rStyle w:val="Tugev"/>
          <w:rFonts w:ascii="Verdana" w:hAnsi="Verdana"/>
          <w:b w:val="0"/>
        </w:rPr>
        <w:t xml:space="preserve">HjaV ettevõtete keskmise suhtes. </w:t>
      </w:r>
    </w:p>
    <w:p w:rsidR="002B1B50" w:rsidRDefault="002B1B50">
      <w:pPr>
        <w:rPr>
          <w:rStyle w:val="Tugev"/>
          <w:rFonts w:ascii="Verdana" w:hAnsi="Verdana"/>
        </w:rPr>
      </w:pPr>
    </w:p>
    <w:p w:rsidR="002B1B50" w:rsidRPr="00990C87" w:rsidRDefault="00990C87" w:rsidP="006E7A5D">
      <w:pPr>
        <w:spacing w:line="360" w:lineRule="auto"/>
      </w:pPr>
      <m:oMathPara>
        <m:oMath>
          <m:r>
            <w:rPr>
              <w:rFonts w:ascii="Cambria Math" w:hAnsi="Cambria Math"/>
            </w:rPr>
            <m:t xml:space="preserve">LTIR = </m:t>
          </m:r>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r>
                        <w:rPr>
                          <w:rFonts w:ascii="Cambria Math" w:hAnsi="Cambria Math"/>
                        </w:rPr>
                        <m:t>Kaota</m:t>
                      </m:r>
                      <m:r>
                        <w:rPr>
                          <w:rFonts w:ascii="Cambria Math" w:hAnsi="Cambria Math"/>
                        </w:rPr>
                        <m:t xml:space="preserve">tud tööajaga vigastusjuhtumite koguarv ×1 000 000 </m:t>
                      </m:r>
                    </m:num>
                    <m:den>
                      <m:r>
                        <w:rPr>
                          <w:rFonts w:ascii="Cambria Math" w:hAnsi="Cambria Math"/>
                        </w:rPr>
                        <m:t>Töötajate töö ja kokkupuute tundide koguarv</m:t>
                      </m:r>
                    </m:den>
                  </m:f>
                </m:e>
              </m:d>
            </m:e>
          </m:d>
        </m:oMath>
      </m:oMathPara>
    </w:p>
    <w:p w:rsidR="001B78DA" w:rsidRPr="00556AAF" w:rsidRDefault="001B78DA">
      <w:pPr>
        <w:jc w:val="center"/>
      </w:pPr>
    </w:p>
    <w:p w:rsidR="00EB2ABE" w:rsidRPr="002B1B50" w:rsidRDefault="00EB2ABE" w:rsidP="002B1B50">
      <w:pPr>
        <w:pStyle w:val="Normaallaadveeb"/>
        <w:rPr>
          <w:lang w:val="et-EE"/>
        </w:rPr>
      </w:pPr>
    </w:p>
    <w:p w:rsidR="005F3253" w:rsidRDefault="005F3253" w:rsidP="005F3253">
      <w:pPr>
        <w:pStyle w:val="Normaallaadveeb"/>
        <w:shd w:val="clear" w:color="auto" w:fill="FFFFFF"/>
        <w:spacing w:before="0" w:beforeAutospacing="0" w:after="0" w:afterAutospacing="0"/>
        <w:rPr>
          <w:rFonts w:ascii="Arial" w:hAnsi="Arial" w:cs="Arial"/>
          <w:color w:val="202020"/>
          <w:sz w:val="21"/>
          <w:szCs w:val="21"/>
        </w:rPr>
      </w:pPr>
    </w:p>
    <w:p w:rsidR="00EC380D" w:rsidRPr="00556AAF" w:rsidRDefault="006158C3" w:rsidP="00606C0D">
      <w:pPr>
        <w:pStyle w:val="Pealkiri2"/>
      </w:pPr>
      <w:r>
        <w:br w:type="page"/>
      </w:r>
      <w:bookmarkStart w:id="27" w:name="_Toc341362251"/>
      <w:bookmarkStart w:id="28" w:name="_Toc358822437"/>
      <w:r w:rsidR="00EC380D" w:rsidRPr="00556AAF">
        <w:lastRenderedPageBreak/>
        <w:t xml:space="preserve">Lisa </w:t>
      </w:r>
      <w:bookmarkEnd w:id="27"/>
      <w:r w:rsidR="00933E62">
        <w:t>2</w:t>
      </w:r>
      <w:r w:rsidR="00C748E8">
        <w:t>: Jäätmete mõiste</w:t>
      </w:r>
      <w:bookmarkEnd w:id="28"/>
    </w:p>
    <w:p w:rsidR="00EC380D" w:rsidRPr="00606C0D" w:rsidRDefault="00EC380D" w:rsidP="00B46C91">
      <w:pPr>
        <w:rPr>
          <w:rStyle w:val="Tugev"/>
          <w:rFonts w:ascii="Verdana" w:hAnsi="Verdana"/>
          <w:b w:val="0"/>
          <w:bCs w:val="0"/>
          <w:u w:val="single"/>
        </w:rPr>
      </w:pPr>
      <w:r w:rsidRPr="00556AAF">
        <w:rPr>
          <w:rFonts w:ascii="Verdana" w:hAnsi="Verdana"/>
          <w:u w:val="single"/>
        </w:rPr>
        <w:t>"Jäätme” definitsioon</w:t>
      </w:r>
      <w:r>
        <w:rPr>
          <w:rFonts w:ascii="Verdana" w:hAnsi="Verdana"/>
          <w:u w:val="single"/>
        </w:rPr>
        <w:t xml:space="preserve"> vastavalt Jäätmeseaduse paragrahvidele</w:t>
      </w:r>
      <w:r w:rsidR="009E575C">
        <w:rPr>
          <w:rFonts w:ascii="Verdana" w:hAnsi="Verdana"/>
          <w:u w:val="single"/>
        </w:rPr>
        <w:t xml:space="preserve"> (alati tugineda õigusakti värskeimale redaktsioonile)</w:t>
      </w:r>
      <w:r>
        <w:rPr>
          <w:rFonts w:ascii="Verdana" w:hAnsi="Verdana"/>
          <w:u w:val="single"/>
        </w:rPr>
        <w:t>:</w:t>
      </w:r>
    </w:p>
    <w:p w:rsidR="00EC380D" w:rsidRPr="00C12BCB" w:rsidRDefault="00EC380D" w:rsidP="00B46C91">
      <w:r w:rsidRPr="00C12BCB">
        <w:rPr>
          <w:rStyle w:val="Tugev"/>
          <w:rFonts w:ascii="Verdana" w:hAnsi="Verdana"/>
          <w:b w:val="0"/>
          <w:bCs w:val="0"/>
          <w:color w:val="000000"/>
          <w:bdr w:val="none" w:sz="0" w:space="0" w:color="auto" w:frame="1"/>
        </w:rPr>
        <w:t>§ 2.</w:t>
      </w:r>
      <w:r w:rsidRPr="00C12BCB">
        <w:rPr>
          <w:rStyle w:val="apple-converted-space"/>
          <w:rFonts w:ascii="Verdana" w:hAnsi="Verdana"/>
          <w:color w:val="000000"/>
          <w:bdr w:val="none" w:sz="0" w:space="0" w:color="auto" w:frame="1"/>
        </w:rPr>
        <w:t> </w:t>
      </w:r>
      <w:bookmarkStart w:id="29" w:name="para2"/>
      <w:r w:rsidRPr="00C12BCB">
        <w:rPr>
          <w:color w:val="0061AA"/>
          <w:bdr w:val="none" w:sz="0" w:space="0" w:color="auto" w:frame="1"/>
        </w:rPr>
        <w:t> </w:t>
      </w:r>
      <w:bookmarkEnd w:id="29"/>
      <w:r w:rsidRPr="00C12BCB">
        <w:t>Jäätmed</w:t>
      </w:r>
    </w:p>
    <w:p w:rsidR="00EC380D" w:rsidRPr="00C12BCB" w:rsidRDefault="00EC380D" w:rsidP="00B46C91">
      <w:pPr>
        <w:pStyle w:val="Normaallaadveeb"/>
        <w:shd w:val="clear" w:color="auto" w:fill="FFFFFF"/>
        <w:spacing w:before="0" w:beforeAutospacing="0" w:after="0" w:afterAutospacing="0"/>
        <w:rPr>
          <w:rFonts w:ascii="Verdana" w:hAnsi="Verdana" w:cs="Arial"/>
          <w:color w:val="202020"/>
          <w:lang w:val="et-EE"/>
        </w:rPr>
      </w:pPr>
      <w:bookmarkStart w:id="30" w:name="para2lg1"/>
      <w:r w:rsidRPr="00C12BCB">
        <w:rPr>
          <w:rFonts w:ascii="Verdana" w:hAnsi="Verdana" w:cs="Arial"/>
          <w:color w:val="0061AA"/>
          <w:bdr w:val="none" w:sz="0" w:space="0" w:color="auto" w:frame="1"/>
          <w:lang w:val="et-EE"/>
        </w:rPr>
        <w:t> </w:t>
      </w:r>
      <w:bookmarkEnd w:id="30"/>
      <w:r w:rsidRPr="00C12BCB">
        <w:rPr>
          <w:rFonts w:ascii="Verdana" w:hAnsi="Verdana" w:cs="Arial"/>
          <w:color w:val="202020"/>
          <w:lang w:val="et-EE"/>
        </w:rPr>
        <w:t>(1) Jäätmed on mis tahes vallasasi või kinnistatud laev, mille valdaja on ära visanud, kavatseb seda teha või on kohustatud seda tegema.</w:t>
      </w:r>
      <w:r w:rsidRPr="00C12BCB">
        <w:rPr>
          <w:rFonts w:ascii="Verdana" w:hAnsi="Verdana" w:cs="Arial"/>
          <w:color w:val="202020"/>
          <w:lang w:val="et-EE"/>
        </w:rPr>
        <w:br/>
      </w:r>
      <w:r w:rsidRPr="00C12BCB">
        <w:rPr>
          <w:rStyle w:val="mm"/>
          <w:rFonts w:ascii="Verdana" w:hAnsi="Verdana" w:cs="Arial"/>
          <w:color w:val="202020"/>
          <w:bdr w:val="none" w:sz="0" w:space="0" w:color="auto" w:frame="1"/>
          <w:lang w:val="et-EE"/>
        </w:rPr>
        <w:t>[</w:t>
      </w:r>
      <w:hyperlink r:id="rId17" w:history="1">
        <w:r w:rsidRPr="00C12BCB">
          <w:rPr>
            <w:rStyle w:val="Hperlink"/>
            <w:rFonts w:ascii="Verdana" w:hAnsi="Verdana" w:cs="Arial"/>
            <w:color w:val="551A8B"/>
            <w:bdr w:val="none" w:sz="0" w:space="0" w:color="auto" w:frame="1"/>
            <w:lang w:val="et-EE"/>
          </w:rPr>
          <w:t>RT I, 09.11.2011, 1</w:t>
        </w:r>
      </w:hyperlink>
      <w:r w:rsidRPr="00C12BCB">
        <w:rPr>
          <w:rStyle w:val="apple-converted-space"/>
          <w:rFonts w:ascii="Verdana" w:hAnsi="Verdana" w:cs="Arial"/>
          <w:color w:val="202020"/>
          <w:bdr w:val="none" w:sz="0" w:space="0" w:color="auto" w:frame="1"/>
          <w:lang w:val="et-EE"/>
        </w:rPr>
        <w:t> </w:t>
      </w:r>
      <w:r w:rsidRPr="00C12BCB">
        <w:rPr>
          <w:rStyle w:val="mm"/>
          <w:rFonts w:ascii="Verdana" w:hAnsi="Verdana" w:cs="Arial"/>
          <w:color w:val="202020"/>
          <w:bdr w:val="none" w:sz="0" w:space="0" w:color="auto" w:frame="1"/>
          <w:lang w:val="et-EE"/>
        </w:rPr>
        <w:t>- jõust. 10.11.2011]</w:t>
      </w:r>
    </w:p>
    <w:p w:rsidR="00EC380D" w:rsidRPr="00C12BCB" w:rsidRDefault="00EC380D" w:rsidP="00B46C91">
      <w:pPr>
        <w:pStyle w:val="Normaallaadveeb"/>
        <w:shd w:val="clear" w:color="auto" w:fill="FFFFFF"/>
        <w:spacing w:before="0" w:beforeAutospacing="0" w:after="0" w:afterAutospacing="0"/>
        <w:rPr>
          <w:rFonts w:ascii="Verdana" w:hAnsi="Verdana" w:cs="Arial"/>
          <w:color w:val="202020"/>
          <w:lang w:val="et-EE"/>
        </w:rPr>
      </w:pPr>
      <w:bookmarkStart w:id="31" w:name="para2lg2"/>
      <w:r w:rsidRPr="00C12BCB">
        <w:rPr>
          <w:rFonts w:ascii="Verdana" w:hAnsi="Verdana" w:cs="Arial"/>
          <w:color w:val="0061AA"/>
          <w:bdr w:val="none" w:sz="0" w:space="0" w:color="auto" w:frame="1"/>
          <w:lang w:val="et-EE"/>
        </w:rPr>
        <w:t> </w:t>
      </w:r>
      <w:bookmarkEnd w:id="31"/>
      <w:r w:rsidRPr="00C12BCB">
        <w:rPr>
          <w:rFonts w:ascii="Verdana" w:hAnsi="Verdana" w:cs="Arial"/>
          <w:color w:val="202020"/>
          <w:lang w:val="et-EE"/>
        </w:rPr>
        <w:t>(2) Äraviskamine tähendab vallasasja kasutuselt kõrvaldamist, loobumist selle kasutusele võtmisest või kasutuseta hoidmist, kui selle kasutusele võtmine ei ole tehniliselt võimalik, majanduslikest või keskkonnakaitselistest asjaoludest tulenevalt mõistlik.</w:t>
      </w:r>
    </w:p>
    <w:p w:rsidR="00EC380D" w:rsidRPr="00606C0D" w:rsidRDefault="00EC380D" w:rsidP="00B46C91">
      <w:pPr>
        <w:pStyle w:val="Normaallaadveeb"/>
        <w:shd w:val="clear" w:color="auto" w:fill="FFFFFF"/>
        <w:spacing w:before="0" w:beforeAutospacing="0" w:after="0" w:afterAutospacing="0"/>
        <w:rPr>
          <w:rStyle w:val="Tugev"/>
          <w:rFonts w:ascii="Verdana" w:hAnsi="Verdana" w:cs="Arial"/>
          <w:b w:val="0"/>
          <w:bCs w:val="0"/>
          <w:color w:val="202020"/>
          <w:lang w:val="et-EE"/>
        </w:rPr>
      </w:pPr>
      <w:bookmarkStart w:id="32" w:name="para2lg4"/>
      <w:r w:rsidRPr="00C12BCB">
        <w:rPr>
          <w:rFonts w:ascii="Verdana" w:hAnsi="Verdana" w:cs="Arial"/>
          <w:color w:val="0061AA"/>
          <w:bdr w:val="none" w:sz="0" w:space="0" w:color="auto" w:frame="1"/>
          <w:lang w:val="et-EE"/>
        </w:rPr>
        <w:t> </w:t>
      </w:r>
      <w:bookmarkEnd w:id="32"/>
      <w:r w:rsidRPr="00C12BCB">
        <w:rPr>
          <w:rFonts w:ascii="Verdana" w:hAnsi="Verdana" w:cs="Arial"/>
          <w:color w:val="202020"/>
          <w:lang w:val="et-EE"/>
        </w:rPr>
        <w:t>(4) Käesoleva paragrahvi lõikes 1 nimetatud tingimustele vastavate jäätmete, sealhulgas ohtlike jäätmete nimistu (edaspidi</w:t>
      </w:r>
      <w:r w:rsidRPr="00C12BCB">
        <w:rPr>
          <w:rStyle w:val="apple-converted-space"/>
          <w:rFonts w:ascii="Verdana" w:hAnsi="Verdana" w:cs="Arial"/>
          <w:color w:val="202020"/>
          <w:lang w:val="et-EE"/>
        </w:rPr>
        <w:t> </w:t>
      </w:r>
      <w:r w:rsidRPr="00C12BCB">
        <w:rPr>
          <w:rFonts w:ascii="Verdana" w:hAnsi="Verdana" w:cs="Arial"/>
          <w:i/>
          <w:iCs/>
          <w:color w:val="202020"/>
          <w:bdr w:val="none" w:sz="0" w:space="0" w:color="auto" w:frame="1"/>
          <w:lang w:val="et-EE"/>
        </w:rPr>
        <w:t>jäätmenimistu</w:t>
      </w:r>
      <w:r w:rsidRPr="00C12BCB">
        <w:rPr>
          <w:rFonts w:ascii="Verdana" w:hAnsi="Verdana" w:cs="Arial"/>
          <w:color w:val="202020"/>
          <w:lang w:val="et-EE"/>
        </w:rPr>
        <w:t>)</w:t>
      </w:r>
      <w:r w:rsidRPr="00C12BCB">
        <w:rPr>
          <w:rStyle w:val="apple-converted-space"/>
          <w:rFonts w:ascii="Verdana" w:hAnsi="Verdana" w:cs="Arial"/>
          <w:color w:val="202020"/>
          <w:lang w:val="et-EE"/>
        </w:rPr>
        <w:t> </w:t>
      </w:r>
      <w:hyperlink r:id="rId18" w:history="1">
        <w:r w:rsidRPr="00C12BCB">
          <w:rPr>
            <w:rStyle w:val="Hperlink"/>
            <w:rFonts w:ascii="Verdana" w:hAnsi="Verdana" w:cs="Arial"/>
            <w:color w:val="551A8B"/>
            <w:bdr w:val="none" w:sz="0" w:space="0" w:color="auto" w:frame="1"/>
            <w:lang w:val="et-EE"/>
          </w:rPr>
          <w:t>kehtestatakse Vabariigi Valitsuse määrusega</w:t>
        </w:r>
      </w:hyperlink>
      <w:r w:rsidRPr="00C12BCB">
        <w:rPr>
          <w:rFonts w:ascii="Verdana" w:hAnsi="Verdana" w:cs="Arial"/>
          <w:color w:val="202020"/>
          <w:lang w:val="et-EE"/>
        </w:rPr>
        <w:t>.</w:t>
      </w:r>
      <w:r w:rsidRPr="00C12BCB">
        <w:rPr>
          <w:rStyle w:val="mm"/>
          <w:rFonts w:ascii="Verdana" w:hAnsi="Verdana" w:cs="Arial"/>
          <w:color w:val="202020"/>
          <w:bdr w:val="none" w:sz="0" w:space="0" w:color="auto" w:frame="1"/>
          <w:lang w:val="et-EE"/>
        </w:rPr>
        <w:t>[</w:t>
      </w:r>
      <w:hyperlink r:id="rId19" w:history="1">
        <w:r w:rsidRPr="00C12BCB">
          <w:rPr>
            <w:rStyle w:val="Hperlink"/>
            <w:rFonts w:ascii="Verdana" w:hAnsi="Verdana" w:cs="Arial"/>
            <w:color w:val="551A8B"/>
            <w:bdr w:val="none" w:sz="0" w:space="0" w:color="auto" w:frame="1"/>
            <w:lang w:val="et-EE"/>
          </w:rPr>
          <w:t>RT I, 09.11.2011, 1</w:t>
        </w:r>
      </w:hyperlink>
      <w:r w:rsidRPr="00C12BCB">
        <w:rPr>
          <w:rStyle w:val="apple-converted-space"/>
          <w:rFonts w:ascii="Verdana" w:hAnsi="Verdana" w:cs="Arial"/>
          <w:color w:val="202020"/>
          <w:bdr w:val="none" w:sz="0" w:space="0" w:color="auto" w:frame="1"/>
          <w:lang w:val="et-EE"/>
        </w:rPr>
        <w:t> </w:t>
      </w:r>
      <w:r w:rsidRPr="00C12BCB">
        <w:rPr>
          <w:rStyle w:val="mm"/>
          <w:rFonts w:ascii="Verdana" w:hAnsi="Verdana" w:cs="Arial"/>
          <w:color w:val="202020"/>
          <w:bdr w:val="none" w:sz="0" w:space="0" w:color="auto" w:frame="1"/>
          <w:lang w:val="et-EE"/>
        </w:rPr>
        <w:t>- jõust. 10.11.2011]</w:t>
      </w:r>
    </w:p>
    <w:p w:rsidR="00EC380D" w:rsidRPr="00C12BCB" w:rsidRDefault="00EC380D" w:rsidP="00B46C91">
      <w:r w:rsidRPr="00C12BCB">
        <w:t>§ 2</w:t>
      </w:r>
      <w:r w:rsidRPr="00C12BCB">
        <w:rPr>
          <w:vertAlign w:val="superscript"/>
        </w:rPr>
        <w:t>1</w:t>
      </w:r>
      <w:r w:rsidRPr="00C12BCB">
        <w:t>. </w:t>
      </w:r>
      <w:bookmarkStart w:id="33" w:name="para2b1"/>
      <w:r w:rsidRPr="00C12BCB">
        <w:t> </w:t>
      </w:r>
      <w:bookmarkEnd w:id="33"/>
      <w:r w:rsidRPr="00C12BCB">
        <w:t>Jäätmete lakkamise staatus</w:t>
      </w:r>
    </w:p>
    <w:p w:rsidR="00EC380D" w:rsidRPr="00C12BCB" w:rsidRDefault="00EC380D" w:rsidP="00B46C91">
      <w:pPr>
        <w:pStyle w:val="Normaallaadveeb"/>
        <w:shd w:val="clear" w:color="auto" w:fill="FFFFFF"/>
        <w:spacing w:before="0" w:beforeAutospacing="0" w:after="0" w:afterAutospacing="0"/>
        <w:rPr>
          <w:rFonts w:ascii="Verdana" w:hAnsi="Verdana" w:cs="Arial"/>
          <w:color w:val="202020"/>
          <w:lang w:val="et-EE"/>
        </w:rPr>
      </w:pPr>
      <w:bookmarkStart w:id="34" w:name="para2b1lg1"/>
      <w:r w:rsidRPr="005F3253">
        <w:rPr>
          <w:rFonts w:ascii="Arial" w:hAnsi="Arial" w:cs="Arial"/>
          <w:color w:val="0061AA"/>
          <w:sz w:val="21"/>
          <w:szCs w:val="21"/>
          <w:bdr w:val="none" w:sz="0" w:space="0" w:color="auto" w:frame="1"/>
          <w:lang w:val="et-EE"/>
        </w:rPr>
        <w:t> </w:t>
      </w:r>
      <w:bookmarkEnd w:id="34"/>
      <w:r w:rsidRPr="00C12BCB">
        <w:rPr>
          <w:rFonts w:ascii="Verdana" w:hAnsi="Verdana" w:cs="Arial"/>
          <w:color w:val="202020"/>
          <w:lang w:val="et-EE"/>
        </w:rPr>
        <w:t>(1) Jäätmed ei ole enam jäätmed, kui nad läbivad taaskasutamistoimingu ja selle tulemusena saadud asi vastab kõikidele järgmistele kriteeriumidele:</w:t>
      </w:r>
      <w:r w:rsidRPr="00C12BCB">
        <w:rPr>
          <w:rFonts w:ascii="Verdana" w:hAnsi="Verdana" w:cs="Arial"/>
          <w:color w:val="202020"/>
          <w:lang w:val="et-EE"/>
        </w:rPr>
        <w:br/>
      </w:r>
      <w:bookmarkStart w:id="35" w:name="para2b1lg1p1"/>
      <w:r w:rsidRPr="00C12BCB">
        <w:rPr>
          <w:rFonts w:ascii="Verdana" w:hAnsi="Verdana" w:cs="Arial"/>
          <w:color w:val="202020"/>
          <w:lang w:val="et-EE"/>
        </w:rPr>
        <w:t> </w:t>
      </w:r>
      <w:bookmarkEnd w:id="35"/>
      <w:r w:rsidRPr="00C12BCB">
        <w:rPr>
          <w:rFonts w:ascii="Verdana" w:hAnsi="Verdana" w:cs="Arial"/>
          <w:color w:val="202020"/>
          <w:lang w:val="et-EE"/>
        </w:rPr>
        <w:t>1)</w:t>
      </w:r>
      <w:r w:rsidRPr="00C12BCB">
        <w:rPr>
          <w:rFonts w:ascii="Verdana" w:hAnsi="Verdana"/>
        </w:rPr>
        <w:t> </w:t>
      </w:r>
      <w:r w:rsidRPr="00C12BCB">
        <w:rPr>
          <w:rFonts w:ascii="Verdana" w:hAnsi="Verdana" w:cs="Arial"/>
          <w:color w:val="202020"/>
          <w:lang w:val="et-EE"/>
        </w:rPr>
        <w:t>asja kasutatakse tavapäraselt kindlal otstarbel;</w:t>
      </w:r>
      <w:r w:rsidRPr="00C12BCB">
        <w:rPr>
          <w:rFonts w:ascii="Verdana" w:hAnsi="Verdana" w:cs="Arial"/>
          <w:color w:val="202020"/>
          <w:lang w:val="et-EE"/>
        </w:rPr>
        <w:br/>
      </w:r>
      <w:bookmarkStart w:id="36" w:name="para2b1lg1p2"/>
      <w:r w:rsidRPr="00C12BCB">
        <w:rPr>
          <w:rFonts w:ascii="Verdana" w:hAnsi="Verdana" w:cs="Arial"/>
          <w:color w:val="202020"/>
          <w:lang w:val="et-EE"/>
        </w:rPr>
        <w:t> </w:t>
      </w:r>
      <w:bookmarkEnd w:id="36"/>
      <w:r w:rsidRPr="00C12BCB">
        <w:rPr>
          <w:rFonts w:ascii="Verdana" w:hAnsi="Verdana" w:cs="Arial"/>
          <w:color w:val="202020"/>
          <w:lang w:val="et-EE"/>
        </w:rPr>
        <w:t>2)</w:t>
      </w:r>
      <w:r w:rsidRPr="00C12BCB">
        <w:rPr>
          <w:rFonts w:ascii="Verdana" w:hAnsi="Verdana"/>
        </w:rPr>
        <w:t> </w:t>
      </w:r>
      <w:r w:rsidRPr="00C12BCB">
        <w:rPr>
          <w:rFonts w:ascii="Verdana" w:hAnsi="Verdana" w:cs="Arial"/>
          <w:color w:val="202020"/>
          <w:lang w:val="et-EE"/>
        </w:rPr>
        <w:t>asjale on olemas kindel turg või selle järele on nõudmine;</w:t>
      </w:r>
      <w:r w:rsidRPr="00C12BCB">
        <w:rPr>
          <w:rFonts w:ascii="Verdana" w:hAnsi="Verdana" w:cs="Arial"/>
          <w:color w:val="202020"/>
          <w:lang w:val="et-EE"/>
        </w:rPr>
        <w:br/>
      </w:r>
      <w:bookmarkStart w:id="37" w:name="para2b1lg1p3"/>
      <w:r w:rsidRPr="00C12BCB">
        <w:rPr>
          <w:rFonts w:ascii="Verdana" w:hAnsi="Verdana" w:cs="Arial"/>
          <w:color w:val="202020"/>
          <w:lang w:val="et-EE"/>
        </w:rPr>
        <w:t> </w:t>
      </w:r>
      <w:bookmarkEnd w:id="37"/>
      <w:r w:rsidRPr="00C12BCB">
        <w:rPr>
          <w:rFonts w:ascii="Verdana" w:hAnsi="Verdana" w:cs="Arial"/>
          <w:color w:val="202020"/>
          <w:lang w:val="et-EE"/>
        </w:rPr>
        <w:t>3)</w:t>
      </w:r>
      <w:r w:rsidRPr="00C12BCB">
        <w:rPr>
          <w:rFonts w:ascii="Verdana" w:hAnsi="Verdana"/>
        </w:rPr>
        <w:t> </w:t>
      </w:r>
      <w:r w:rsidRPr="00C12BCB">
        <w:rPr>
          <w:rFonts w:ascii="Verdana" w:hAnsi="Verdana" w:cs="Arial"/>
          <w:color w:val="202020"/>
          <w:lang w:val="et-EE"/>
        </w:rPr>
        <w:t>asi vastab konkreetseks otstarbeks ettenähtud tehnilistele nõuetele, õigusnormidele ja tootestandarditele;</w:t>
      </w:r>
      <w:r w:rsidRPr="00C12BCB">
        <w:rPr>
          <w:rFonts w:ascii="Verdana" w:hAnsi="Verdana" w:cs="Arial"/>
          <w:color w:val="202020"/>
          <w:lang w:val="et-EE"/>
        </w:rPr>
        <w:br/>
      </w:r>
      <w:bookmarkStart w:id="38" w:name="para2b1lg1p4"/>
      <w:r w:rsidRPr="00C12BCB">
        <w:rPr>
          <w:rFonts w:ascii="Verdana" w:hAnsi="Verdana" w:cs="Arial"/>
          <w:color w:val="202020"/>
          <w:lang w:val="et-EE"/>
        </w:rPr>
        <w:t> </w:t>
      </w:r>
      <w:bookmarkEnd w:id="38"/>
      <w:r w:rsidRPr="00C12BCB">
        <w:rPr>
          <w:rFonts w:ascii="Verdana" w:hAnsi="Verdana" w:cs="Arial"/>
          <w:color w:val="202020"/>
          <w:lang w:val="et-EE"/>
        </w:rPr>
        <w:t>4)</w:t>
      </w:r>
      <w:r w:rsidRPr="00C12BCB">
        <w:rPr>
          <w:rFonts w:ascii="Verdana" w:hAnsi="Verdana"/>
        </w:rPr>
        <w:t> </w:t>
      </w:r>
      <w:r w:rsidRPr="00C12BCB">
        <w:rPr>
          <w:rFonts w:ascii="Verdana" w:hAnsi="Verdana" w:cs="Arial"/>
          <w:color w:val="202020"/>
          <w:lang w:val="et-EE"/>
        </w:rPr>
        <w:t>asja kasutamine ei avalda negatiivset mõju keskkonnale ega inimese tervisele.</w:t>
      </w:r>
    </w:p>
    <w:p w:rsidR="00EC380D" w:rsidRPr="00C12BCB" w:rsidRDefault="00EC380D" w:rsidP="00B46C91">
      <w:pPr>
        <w:pStyle w:val="Normaallaadveeb"/>
        <w:shd w:val="clear" w:color="auto" w:fill="FFFFFF"/>
        <w:spacing w:before="0" w:beforeAutospacing="0" w:after="0" w:afterAutospacing="0"/>
        <w:rPr>
          <w:rFonts w:ascii="Verdana" w:hAnsi="Verdana" w:cs="Arial"/>
          <w:color w:val="202020"/>
          <w:lang w:val="et-EE"/>
        </w:rPr>
      </w:pPr>
      <w:bookmarkStart w:id="39" w:name="para2b1lg2"/>
      <w:r w:rsidRPr="00C12BCB">
        <w:rPr>
          <w:rFonts w:ascii="Verdana" w:hAnsi="Verdana" w:cs="Arial"/>
          <w:color w:val="202020"/>
          <w:lang w:val="et-EE"/>
        </w:rPr>
        <w:t> </w:t>
      </w:r>
      <w:bookmarkEnd w:id="39"/>
      <w:r w:rsidRPr="00C12BCB">
        <w:rPr>
          <w:rFonts w:ascii="Verdana" w:hAnsi="Verdana" w:cs="Arial"/>
          <w:color w:val="202020"/>
          <w:lang w:val="et-EE"/>
        </w:rPr>
        <w:t>(2) Keskkonnaministril on õigus kehtestada määrusi käesoleva paragrahvi lõikes 1 nimetatud kriteeriumide täpsustamiseks seoses konkreetsete jäätmeliikidega, sätestades vajaduse korral ka saasteainete sisalduse piirväärtused taaskasutamistoimingu tulemusena saadud asjas ning võttes arvesse selle asja mis tahes võimalikku negatiivset mõju keskkonnale ja inimese tervisele.</w:t>
      </w:r>
    </w:p>
    <w:p w:rsidR="00EC380D" w:rsidRPr="00C12BCB" w:rsidRDefault="00EC380D" w:rsidP="00EC380D">
      <w:pPr>
        <w:pStyle w:val="Normaallaadveeb"/>
        <w:shd w:val="clear" w:color="auto" w:fill="FFFFFF"/>
        <w:spacing w:before="0" w:beforeAutospacing="0" w:after="0" w:afterAutospacing="0"/>
        <w:rPr>
          <w:rStyle w:val="mm"/>
          <w:rFonts w:ascii="Verdana" w:hAnsi="Verdana" w:cs="Arial"/>
          <w:color w:val="202020"/>
          <w:bdr w:val="none" w:sz="0" w:space="0" w:color="auto" w:frame="1"/>
          <w:lang w:val="et-EE"/>
        </w:rPr>
      </w:pPr>
      <w:bookmarkStart w:id="40" w:name="para2b1lg3"/>
      <w:r w:rsidRPr="00C12BCB">
        <w:rPr>
          <w:rFonts w:ascii="Verdana" w:hAnsi="Verdana" w:cs="Arial"/>
          <w:color w:val="202020"/>
          <w:lang w:val="et-EE"/>
        </w:rPr>
        <w:t> </w:t>
      </w:r>
      <w:bookmarkEnd w:id="40"/>
      <w:r w:rsidRPr="00C12BCB">
        <w:rPr>
          <w:rFonts w:ascii="Verdana" w:hAnsi="Verdana" w:cs="Arial"/>
          <w:color w:val="202020"/>
          <w:lang w:val="et-EE"/>
        </w:rPr>
        <w:t>(3) Jäätmete lakkamist tinginud taaskasutamistoiming peab olema määratud taaskasutamistoimingut läbi viinud ettevõtja jäätmeloas või saastuse kompleksse vältimise ja kontrollimise seaduse alusel antud keskkonnakompleksloas (edaspidi</w:t>
      </w:r>
      <w:r w:rsidRPr="00C12BCB">
        <w:rPr>
          <w:rFonts w:ascii="Verdana" w:hAnsi="Verdana"/>
        </w:rPr>
        <w:t> </w:t>
      </w:r>
      <w:r w:rsidRPr="00C12BCB">
        <w:rPr>
          <w:rFonts w:ascii="Verdana" w:hAnsi="Verdana" w:cs="Arial"/>
          <w:color w:val="202020"/>
          <w:lang w:val="et-EE"/>
        </w:rPr>
        <w:t>kompleksluba).</w:t>
      </w:r>
      <w:r w:rsidRPr="00C12BCB">
        <w:rPr>
          <w:rFonts w:ascii="Verdana" w:hAnsi="Verdana" w:cs="Arial"/>
          <w:color w:val="202020"/>
          <w:lang w:val="et-EE"/>
        </w:rPr>
        <w:br/>
      </w:r>
      <w:r w:rsidRPr="00C12BCB">
        <w:rPr>
          <w:rStyle w:val="mm"/>
          <w:rFonts w:ascii="Verdana" w:hAnsi="Verdana" w:cs="Arial"/>
          <w:color w:val="202020"/>
          <w:bdr w:val="none" w:sz="0" w:space="0" w:color="auto" w:frame="1"/>
          <w:lang w:val="et-EE"/>
        </w:rPr>
        <w:t>[</w:t>
      </w:r>
      <w:hyperlink r:id="rId20" w:history="1">
        <w:r w:rsidRPr="00C12BCB">
          <w:rPr>
            <w:rStyle w:val="Hperlink"/>
            <w:rFonts w:ascii="Verdana" w:hAnsi="Verdana" w:cs="Arial"/>
            <w:color w:val="551A8B"/>
            <w:bdr w:val="none" w:sz="0" w:space="0" w:color="auto" w:frame="1"/>
            <w:lang w:val="et-EE"/>
          </w:rPr>
          <w:t>RT I, 09.11.2011, 1</w:t>
        </w:r>
      </w:hyperlink>
      <w:r w:rsidRPr="00C12BCB">
        <w:rPr>
          <w:rStyle w:val="apple-converted-space"/>
          <w:rFonts w:ascii="Verdana" w:hAnsi="Verdana" w:cs="Arial"/>
          <w:color w:val="202020"/>
          <w:bdr w:val="none" w:sz="0" w:space="0" w:color="auto" w:frame="1"/>
          <w:lang w:val="et-EE"/>
        </w:rPr>
        <w:t> </w:t>
      </w:r>
      <w:r w:rsidRPr="00C12BCB">
        <w:rPr>
          <w:rStyle w:val="mm"/>
          <w:rFonts w:ascii="Verdana" w:hAnsi="Verdana" w:cs="Arial"/>
          <w:color w:val="202020"/>
          <w:bdr w:val="none" w:sz="0" w:space="0" w:color="auto" w:frame="1"/>
          <w:lang w:val="et-EE"/>
        </w:rPr>
        <w:t>- jõust. 10.11.2011]</w:t>
      </w:r>
    </w:p>
    <w:p w:rsidR="00EC380D" w:rsidRPr="00C12BCB" w:rsidRDefault="00EC380D" w:rsidP="00606C0D">
      <w:r w:rsidRPr="00C12BCB">
        <w:t>§ 3. </w:t>
      </w:r>
      <w:bookmarkStart w:id="41" w:name="para3"/>
      <w:r w:rsidRPr="00C12BCB">
        <w:t> </w:t>
      </w:r>
      <w:bookmarkEnd w:id="41"/>
      <w:r w:rsidRPr="00C12BCB">
        <w:t>Tavajäätmed</w:t>
      </w:r>
    </w:p>
    <w:p w:rsidR="00EC380D" w:rsidRPr="00C12BCB" w:rsidRDefault="00EC380D" w:rsidP="00EC380D">
      <w:pPr>
        <w:pStyle w:val="Normaallaadveeb"/>
        <w:shd w:val="clear" w:color="auto" w:fill="FFFFFF"/>
        <w:spacing w:before="0" w:beforeAutospacing="0" w:after="0" w:afterAutospacing="0"/>
        <w:rPr>
          <w:rFonts w:ascii="Verdana" w:hAnsi="Verdana" w:cs="Arial"/>
          <w:color w:val="202020"/>
          <w:lang w:val="et-EE"/>
        </w:rPr>
      </w:pPr>
      <w:bookmarkStart w:id="42" w:name="para3lg1"/>
      <w:r w:rsidRPr="00EC380D">
        <w:rPr>
          <w:rFonts w:ascii="Arial" w:hAnsi="Arial" w:cs="Arial"/>
          <w:color w:val="0061AA"/>
          <w:sz w:val="21"/>
          <w:szCs w:val="21"/>
          <w:bdr w:val="none" w:sz="0" w:space="0" w:color="auto" w:frame="1"/>
          <w:lang w:val="et-EE"/>
        </w:rPr>
        <w:t> </w:t>
      </w:r>
      <w:bookmarkEnd w:id="42"/>
      <w:r w:rsidRPr="00EC380D">
        <w:rPr>
          <w:rStyle w:val="apple-converted-space"/>
          <w:rFonts w:ascii="Arial" w:hAnsi="Arial" w:cs="Arial"/>
          <w:color w:val="202020"/>
          <w:sz w:val="21"/>
          <w:szCs w:val="21"/>
          <w:lang w:val="et-EE"/>
        </w:rPr>
        <w:t> </w:t>
      </w:r>
      <w:r w:rsidRPr="00C12BCB">
        <w:rPr>
          <w:rFonts w:ascii="Verdana" w:hAnsi="Verdana" w:cs="Arial"/>
          <w:color w:val="202020"/>
          <w:lang w:val="et-EE"/>
        </w:rPr>
        <w:t>Tavajäätmed on kõik jäätmed, mis ei kuulu ohtlike jäätmete hulka.</w:t>
      </w:r>
    </w:p>
    <w:p w:rsidR="00EC380D" w:rsidRPr="00C12BCB" w:rsidRDefault="00EC380D" w:rsidP="00606C0D">
      <w:r w:rsidRPr="00C12BCB">
        <w:t>§ 6. </w:t>
      </w:r>
      <w:bookmarkStart w:id="43" w:name="para6"/>
      <w:r w:rsidRPr="00C12BCB">
        <w:t> </w:t>
      </w:r>
      <w:bookmarkEnd w:id="43"/>
      <w:r w:rsidRPr="00C12BCB">
        <w:t>Ohtlikud jäätmed</w:t>
      </w:r>
    </w:p>
    <w:p w:rsidR="00EC380D" w:rsidRPr="00C12BCB" w:rsidRDefault="00EC380D" w:rsidP="00EC380D">
      <w:pPr>
        <w:pStyle w:val="Normaallaadveeb"/>
        <w:shd w:val="clear" w:color="auto" w:fill="FFFFFF"/>
        <w:spacing w:before="0" w:beforeAutospacing="0" w:after="0" w:afterAutospacing="0"/>
        <w:rPr>
          <w:rFonts w:ascii="Verdana" w:hAnsi="Verdana" w:cs="Arial"/>
          <w:color w:val="202020"/>
          <w:lang w:val="et-EE"/>
        </w:rPr>
      </w:pPr>
      <w:bookmarkStart w:id="44" w:name="para6lg1"/>
      <w:r w:rsidRPr="00EC380D">
        <w:rPr>
          <w:rFonts w:ascii="Arial" w:hAnsi="Arial" w:cs="Arial"/>
          <w:color w:val="0061AA"/>
          <w:sz w:val="21"/>
          <w:szCs w:val="21"/>
          <w:bdr w:val="none" w:sz="0" w:space="0" w:color="auto" w:frame="1"/>
          <w:lang w:val="et-EE"/>
        </w:rPr>
        <w:t> </w:t>
      </w:r>
      <w:bookmarkEnd w:id="44"/>
      <w:r w:rsidRPr="00C12BCB">
        <w:rPr>
          <w:rFonts w:ascii="Verdana" w:hAnsi="Verdana" w:cs="Arial"/>
          <w:color w:val="202020"/>
          <w:lang w:val="et-EE"/>
        </w:rPr>
        <w:t>(1) Ohtlikud jäätmed on jäätmed, mis vähemalt ühe käesoleva seaduse §-s 8 nimetatud kahjuliku toime tõttu võivad olla ohtlikud tervisele, varale või keskkonnale.</w:t>
      </w:r>
    </w:p>
    <w:p w:rsidR="00EC380D" w:rsidRPr="00C12BCB" w:rsidRDefault="00EC380D" w:rsidP="00EC380D">
      <w:pPr>
        <w:pStyle w:val="Normaallaadveeb"/>
        <w:shd w:val="clear" w:color="auto" w:fill="FFFFFF"/>
        <w:spacing w:before="0" w:beforeAutospacing="0" w:after="0" w:afterAutospacing="0"/>
        <w:rPr>
          <w:rFonts w:ascii="Verdana" w:hAnsi="Verdana" w:cs="Arial"/>
          <w:color w:val="202020"/>
          <w:lang w:val="et-EE"/>
        </w:rPr>
      </w:pPr>
      <w:bookmarkStart w:id="45" w:name="para6lg2"/>
      <w:r w:rsidRPr="00C12BCB">
        <w:rPr>
          <w:rFonts w:ascii="Verdana" w:hAnsi="Verdana" w:cs="Arial"/>
          <w:color w:val="0061AA"/>
          <w:bdr w:val="none" w:sz="0" w:space="0" w:color="auto" w:frame="1"/>
          <w:lang w:val="et-EE"/>
        </w:rPr>
        <w:t> </w:t>
      </w:r>
      <w:bookmarkEnd w:id="45"/>
      <w:r w:rsidRPr="00C12BCB">
        <w:rPr>
          <w:rFonts w:ascii="Verdana" w:hAnsi="Verdana" w:cs="Arial"/>
          <w:color w:val="202020"/>
          <w:lang w:val="et-EE"/>
        </w:rPr>
        <w:t>(2)</w:t>
      </w:r>
      <w:r w:rsidRPr="00C12BCB">
        <w:rPr>
          <w:rStyle w:val="apple-converted-space"/>
          <w:rFonts w:ascii="Verdana" w:hAnsi="Verdana" w:cs="Arial"/>
          <w:color w:val="202020"/>
          <w:lang w:val="et-EE"/>
        </w:rPr>
        <w:t> </w:t>
      </w:r>
      <w:hyperlink r:id="rId21" w:history="1">
        <w:r w:rsidRPr="00C12BCB">
          <w:rPr>
            <w:rStyle w:val="Hperlink"/>
            <w:rFonts w:ascii="Verdana" w:hAnsi="Verdana" w:cs="Arial"/>
            <w:color w:val="551A8B"/>
            <w:bdr w:val="none" w:sz="0" w:space="0" w:color="auto" w:frame="1"/>
            <w:lang w:val="et-EE"/>
          </w:rPr>
          <w:t>Vabariigi Valitsuse määrusega</w:t>
        </w:r>
      </w:hyperlink>
      <w:r w:rsidRPr="00C12BCB">
        <w:rPr>
          <w:rFonts w:ascii="Verdana" w:hAnsi="Verdana" w:cs="Arial"/>
          <w:color w:val="202020"/>
          <w:lang w:val="et-EE"/>
        </w:rPr>
        <w:t> kehtestatakse kord jäätmete liigitamiseks ohtlike jäätmete hulka, lähtudes jäätmete päritolust, koostisest, ohtlike ainete kemikaaliseaduse mõttes sisaldusest ning käesoleva seaduse §-s 8 nimetatud kahjulikust toimest.</w:t>
      </w:r>
    </w:p>
    <w:p w:rsidR="00EC380D" w:rsidRDefault="00EC380D" w:rsidP="00EC380D">
      <w:pPr>
        <w:rPr>
          <w:rFonts w:ascii="Verdana" w:hAnsi="Verdana"/>
          <w:u w:val="single"/>
        </w:rPr>
      </w:pPr>
      <w:bookmarkStart w:id="46" w:name="para6lg3"/>
      <w:r w:rsidRPr="00C12BCB">
        <w:rPr>
          <w:rFonts w:ascii="Verdana" w:hAnsi="Verdana" w:cs="Arial"/>
          <w:color w:val="0061AA"/>
          <w:bdr w:val="none" w:sz="0" w:space="0" w:color="auto" w:frame="1"/>
        </w:rPr>
        <w:lastRenderedPageBreak/>
        <w:t> </w:t>
      </w:r>
      <w:bookmarkEnd w:id="46"/>
      <w:r w:rsidRPr="00C12BCB">
        <w:rPr>
          <w:rFonts w:ascii="Verdana" w:hAnsi="Verdana" w:cs="Arial"/>
          <w:color w:val="202020"/>
          <w:lang w:val="fi-FI"/>
        </w:rPr>
        <w:t>(3) Jäätmete koostise, sealhulgas ohtlike ainete sisalduse vahetul määramisel tuleb mõõtetulemuse jälgitavuse saavutamiseks ja tõendamiseks lähtuda mõõteseaduse § 5 lõikes 1 kehtestatud nõuetest.</w:t>
      </w:r>
      <w:r w:rsidR="00C748E8">
        <w:rPr>
          <w:rFonts w:ascii="Verdana" w:hAnsi="Verdana" w:cs="Arial"/>
          <w:color w:val="202020"/>
          <w:lang w:val="fi-FI"/>
        </w:rPr>
        <w:t xml:space="preserve"> </w:t>
      </w:r>
      <w:r w:rsidRPr="00C12BCB">
        <w:rPr>
          <w:rStyle w:val="mm"/>
          <w:rFonts w:ascii="Verdana" w:hAnsi="Verdana" w:cs="Arial"/>
          <w:color w:val="202020"/>
          <w:bdr w:val="none" w:sz="0" w:space="0" w:color="auto" w:frame="1"/>
        </w:rPr>
        <w:t>[</w:t>
      </w:r>
      <w:hyperlink r:id="rId22" w:history="1">
        <w:r w:rsidRPr="00C12BCB">
          <w:rPr>
            <w:rStyle w:val="Hperlink"/>
            <w:rFonts w:ascii="Verdana" w:hAnsi="Verdana" w:cs="Arial"/>
            <w:color w:val="551A8B"/>
            <w:bdr w:val="none" w:sz="0" w:space="0" w:color="auto" w:frame="1"/>
          </w:rPr>
          <w:t>RT I 2007, 19, 94</w:t>
        </w:r>
      </w:hyperlink>
      <w:r w:rsidRPr="00C12BCB">
        <w:rPr>
          <w:rStyle w:val="apple-converted-space"/>
          <w:rFonts w:ascii="Verdana" w:hAnsi="Verdana" w:cs="Arial"/>
          <w:color w:val="202020"/>
          <w:bdr w:val="none" w:sz="0" w:space="0" w:color="auto" w:frame="1"/>
        </w:rPr>
        <w:t> </w:t>
      </w:r>
      <w:r w:rsidRPr="00C12BCB">
        <w:rPr>
          <w:rStyle w:val="mm"/>
          <w:rFonts w:ascii="Verdana" w:hAnsi="Verdana" w:cs="Arial"/>
          <w:color w:val="202020"/>
          <w:bdr w:val="none" w:sz="0" w:space="0" w:color="auto" w:frame="1"/>
        </w:rPr>
        <w:t>- jõust. 11.03.2007]</w:t>
      </w:r>
      <w:r w:rsidRPr="00C12BCB">
        <w:rPr>
          <w:rFonts w:ascii="Verdana" w:hAnsi="Verdana"/>
          <w:u w:val="single"/>
        </w:rPr>
        <w:br/>
      </w:r>
    </w:p>
    <w:p w:rsidR="00EC380D" w:rsidRPr="00606C0D" w:rsidRDefault="006158C3" w:rsidP="00EC380D">
      <w:pPr>
        <w:rPr>
          <w:rFonts w:ascii="Verdana" w:hAnsi="Verdana"/>
          <w:u w:val="single"/>
        </w:rPr>
      </w:pPr>
      <w:r w:rsidRPr="00C12BCB">
        <w:rPr>
          <w:rFonts w:ascii="Verdana" w:hAnsi="Verdana"/>
          <w:u w:val="single"/>
        </w:rPr>
        <w:t>Jäätmeseaduse alusel kehtestatud määrus:</w:t>
      </w:r>
      <w:r w:rsidR="00606C0D">
        <w:rPr>
          <w:rFonts w:ascii="Verdana" w:hAnsi="Verdana"/>
          <w:u w:val="single"/>
        </w:rPr>
        <w:t xml:space="preserve"> </w:t>
      </w:r>
      <w:r w:rsidRPr="00C12BCB">
        <w:rPr>
          <w:rFonts w:ascii="Verdana" w:hAnsi="Verdana"/>
          <w:u w:val="single"/>
        </w:rPr>
        <w:t>JÄÄ</w:t>
      </w:r>
      <w:r w:rsidR="00EC380D" w:rsidRPr="00C12BCB">
        <w:rPr>
          <w:rFonts w:ascii="Verdana" w:hAnsi="Verdana"/>
          <w:u w:val="single"/>
        </w:rPr>
        <w:t>TMETE, SEALHULGAS OHTLIKE JÄÄTMETE NIMISTU</w:t>
      </w:r>
    </w:p>
    <w:p w:rsidR="00EC380D" w:rsidRPr="00C12BCB" w:rsidRDefault="00EC380D" w:rsidP="006158C3">
      <w:pPr>
        <w:shd w:val="clear" w:color="auto" w:fill="FFFFFF"/>
        <w:jc w:val="center"/>
        <w:rPr>
          <w:rFonts w:ascii="Verdana" w:eastAsia="SimSun" w:hAnsi="Verdana" w:cs="Arial"/>
          <w:color w:val="202020"/>
          <w:lang w:eastAsia="zh-CN"/>
        </w:rPr>
      </w:pPr>
      <w:r w:rsidRPr="00C12BCB">
        <w:rPr>
          <w:rFonts w:ascii="Verdana" w:eastAsia="SimSun" w:hAnsi="Verdana" w:cs="Arial"/>
          <w:b/>
          <w:bCs/>
          <w:color w:val="202020"/>
          <w:bdr w:val="none" w:sz="0" w:space="0" w:color="auto" w:frame="1"/>
          <w:lang w:eastAsia="zh-CN"/>
        </w:rPr>
        <w:t>1. jagu</w:t>
      </w:r>
      <w:r w:rsidRPr="00C12BCB">
        <w:rPr>
          <w:rFonts w:ascii="Verdana" w:eastAsia="SimSun" w:hAnsi="Verdana" w:cs="Arial"/>
          <w:color w:val="202020"/>
          <w:lang w:eastAsia="zh-CN"/>
        </w:rPr>
        <w:br/>
      </w:r>
      <w:r w:rsidRPr="00C12BCB">
        <w:rPr>
          <w:rFonts w:ascii="Verdana" w:eastAsia="SimSun" w:hAnsi="Verdana" w:cs="Arial"/>
          <w:b/>
          <w:bCs/>
          <w:color w:val="202020"/>
          <w:bdr w:val="none" w:sz="0" w:space="0" w:color="auto" w:frame="1"/>
          <w:lang w:eastAsia="zh-CN"/>
        </w:rPr>
        <w:t>NIMISTU JAOTISEKOODID</w:t>
      </w:r>
    </w:p>
    <w:tbl>
      <w:tblPr>
        <w:tblStyle w:val="Keskminekoordinaatvrk1rhk1"/>
        <w:tblW w:w="0" w:type="auto"/>
        <w:tblLook w:val="01E0" w:firstRow="1" w:lastRow="1" w:firstColumn="1" w:lastColumn="1" w:noHBand="0" w:noVBand="0"/>
      </w:tblPr>
      <w:tblGrid>
        <w:gridCol w:w="722"/>
        <w:gridCol w:w="8073"/>
      </w:tblGrid>
      <w:tr w:rsidR="00EC380D" w:rsidRPr="00CE54CD" w:rsidTr="00C748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E54CD">
            <w:pPr>
              <w:spacing w:before="120"/>
              <w:jc w:val="center"/>
              <w:rPr>
                <w:rFonts w:ascii="Verdana" w:hAnsi="Verdana" w:cs="Arial"/>
                <w:b w:val="0"/>
                <w:color w:val="202020"/>
                <w:lang w:eastAsia="zh-CN"/>
              </w:rPr>
            </w:pPr>
            <w:r w:rsidRPr="00C748E8">
              <w:rPr>
                <w:rFonts w:ascii="Verdana" w:hAnsi="Verdana" w:cs="Arial"/>
                <w:b w:val="0"/>
                <w:color w:val="202020"/>
                <w:lang w:eastAsia="zh-CN"/>
              </w:rPr>
              <w:t>Kood</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E54CD">
            <w:pPr>
              <w:spacing w:before="120"/>
              <w:rPr>
                <w:rFonts w:ascii="Verdana" w:hAnsi="Verdana" w:cs="Arial"/>
                <w:b w:val="0"/>
                <w:color w:val="202020"/>
                <w:lang w:eastAsia="zh-CN"/>
              </w:rPr>
            </w:pP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01</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Maavarade ja maa-ainese uuringutel, kaevandamisel ning füüsikalisel ja keemilisel töötlemisel tekkinud jäätmed</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02</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Põllumajanduses, aianduses, vesiviljeluses, metsanduses, jahinduses ja kalapüügil ning toiduainete valmistamisel ja töötlemisel tekkinud 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03</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Puidu töötlemisel, plaatide ja mööbli ning tselluloosi, paberi ja kartongi tootmisel tekkinud jäätmed</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04</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Naha-, karusnaha- ja tekstiilitööstusjäätmed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05</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Nafta ja õli rafineerimisel ning fraktsioneerimisel, maagaasi puhastamisel ja kivisöe ning põlevkivi utmisel tekkinud jäätmed</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06</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Anorgaanilistes keemiaprotsessides tekkinud 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07</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Orgaanilistes keemiaprotsessides tekkinud jäätmed</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08</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Pinnakatete (värvide, lakkide ja klaasjate emailide), liimide, hermeetikute ja trükivärvide valmistamisel, kokkusegamisel, jaotamisel ja kasutamisel tekkinud 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09</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Fotograafiajäätmed</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10</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Termilistes protsessides tekkinud 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11</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Metallide ja muude materjalide pinnatöötlusel ja pindamisel ning värviliste metallide hüdrometallurgiaprotsessides tekkinud jäätmed</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12</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Metallide ja plastide mehaanilisel vormimisel ning füüsikalisel ja mehaanilisel pinnatöötlemisel tekkinud 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13</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Õli- ja vedelkütusejäätmed (välja arvatud toiduõlid ning jaotistes 05, 12 ja 19 nimetatud jäätmed)</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14</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Orgaaniliste lahustite, külmutusagensi- ja vahu- või aerosoolikandegaasijäätmed (välja arvatud jaotistes 07 ja 08 nimetatud 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15</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Pakendijäätmed; nimistus mujal nimetamata absorbendid, puhastuskaltsud, filtermaterjalid ja kaitseriietus</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16</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Nimistus mujal nimetamata jäätmed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17</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Ehitus- ja lammutuspraht (sealhulgas saastunud maa-aladelt eemaldatud pinnas)</w:t>
            </w:r>
          </w:p>
        </w:tc>
      </w:tr>
      <w:tr w:rsidR="00EC380D" w:rsidRPr="00CE54CD" w:rsidTr="00C748E8">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18</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Inimeste ja loomade tervishoiul või sellega seonduvatel uuringutel tekkinud jäätmed (välja arvatud köögi- ja sööklajäätmed, mis ei ole tervishoiuga otseselt seotud)</w:t>
            </w:r>
          </w:p>
        </w:tc>
      </w:tr>
      <w:tr w:rsidR="00EC380D" w:rsidRPr="00CE54CD" w:rsidTr="00C74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19</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Jäätmekäitlusettevõtete, ettevõtteväliste reoveepuhastite ning joogi- ja tööstusvee käitlemisel tekkinud jäätmed</w:t>
            </w:r>
          </w:p>
        </w:tc>
      </w:tr>
      <w:tr w:rsidR="00EC380D" w:rsidRPr="00CE54CD" w:rsidTr="00C748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rsidR="00EC380D" w:rsidRPr="00C748E8" w:rsidRDefault="00EC380D" w:rsidP="00C12BCB">
            <w:pPr>
              <w:jc w:val="center"/>
              <w:rPr>
                <w:rFonts w:ascii="Verdana" w:hAnsi="Verdana" w:cs="Arial"/>
                <w:b w:val="0"/>
                <w:color w:val="202020"/>
                <w:lang w:eastAsia="zh-CN"/>
              </w:rPr>
            </w:pPr>
            <w:r w:rsidRPr="00C748E8">
              <w:rPr>
                <w:rFonts w:ascii="Verdana" w:hAnsi="Verdana" w:cs="Arial"/>
                <w:b w:val="0"/>
                <w:color w:val="202020"/>
                <w:lang w:eastAsia="zh-CN"/>
              </w:rPr>
              <w:t>20</w:t>
            </w:r>
          </w:p>
        </w:tc>
        <w:tc>
          <w:tcPr>
            <w:cnfStyle w:val="000100000000" w:firstRow="0" w:lastRow="0" w:firstColumn="0" w:lastColumn="1" w:oddVBand="0" w:evenVBand="0" w:oddHBand="0" w:evenHBand="0" w:firstRowFirstColumn="0" w:firstRowLastColumn="0" w:lastRowFirstColumn="0" w:lastRowLastColumn="0"/>
            <w:tcW w:w="8073" w:type="dxa"/>
          </w:tcPr>
          <w:p w:rsidR="00EC380D" w:rsidRPr="00C748E8" w:rsidRDefault="00EC380D" w:rsidP="00C12BCB">
            <w:pPr>
              <w:rPr>
                <w:rFonts w:ascii="Verdana" w:hAnsi="Verdana" w:cs="Arial"/>
                <w:b w:val="0"/>
                <w:color w:val="202020"/>
                <w:lang w:eastAsia="zh-CN"/>
              </w:rPr>
            </w:pPr>
            <w:r w:rsidRPr="00C748E8">
              <w:rPr>
                <w:rFonts w:ascii="Verdana" w:hAnsi="Verdana" w:cs="Arial"/>
                <w:b w:val="0"/>
                <w:color w:val="202020"/>
                <w:lang w:eastAsia="zh-CN"/>
              </w:rPr>
              <w:t>Olmejäätmed (kodumajapidamisjäätmed ja samalaadsed kaubandus-, tööstus- ja ametiasutusjäätmed), sealhulgas liigiti kogutud jäätmed</w:t>
            </w:r>
          </w:p>
        </w:tc>
      </w:tr>
    </w:tbl>
    <w:p w:rsidR="00AF23E6" w:rsidRPr="00C748E8" w:rsidRDefault="00AF23E6" w:rsidP="00C748E8">
      <w:pPr>
        <w:pStyle w:val="Pealkiri2"/>
      </w:pPr>
      <w:bookmarkStart w:id="47" w:name="_Toc341362252"/>
      <w:bookmarkStart w:id="48" w:name="_Toc358822438"/>
      <w:r w:rsidRPr="00556AAF">
        <w:lastRenderedPageBreak/>
        <w:t xml:space="preserve">Lisa </w:t>
      </w:r>
      <w:bookmarkStart w:id="49" w:name="_Toc341362253"/>
      <w:bookmarkEnd w:id="47"/>
      <w:r w:rsidR="00933E62">
        <w:t>3</w:t>
      </w:r>
      <w:r w:rsidR="00C748E8">
        <w:t xml:space="preserve">: </w:t>
      </w:r>
      <w:r w:rsidR="00606C0D">
        <w:t>"Kõrvaldamise” definitsioon</w:t>
      </w:r>
      <w:bookmarkEnd w:id="48"/>
      <w:bookmarkEnd w:id="49"/>
      <w:r w:rsidRPr="00556AAF">
        <w:rPr>
          <w:sz w:val="20"/>
          <w:szCs w:val="20"/>
        </w:rPr>
        <w:t xml:space="preserve"> </w:t>
      </w:r>
    </w:p>
    <w:p w:rsidR="00EC380D" w:rsidRPr="009E575C" w:rsidRDefault="00EC380D" w:rsidP="00606C0D">
      <w:r w:rsidRPr="009E575C">
        <w:rPr>
          <w:rStyle w:val="Tugev"/>
          <w:rFonts w:ascii="Verdana" w:hAnsi="Verdana"/>
          <w:b w:val="0"/>
          <w:bCs w:val="0"/>
          <w:color w:val="000000"/>
          <w:bdr w:val="none" w:sz="0" w:space="0" w:color="auto" w:frame="1"/>
        </w:rPr>
        <w:t>Jäätmeseadus § 17.</w:t>
      </w:r>
      <w:r w:rsidRPr="009E575C">
        <w:rPr>
          <w:rStyle w:val="apple-converted-space"/>
          <w:rFonts w:ascii="Verdana" w:hAnsi="Verdana"/>
          <w:color w:val="000000"/>
          <w:bdr w:val="none" w:sz="0" w:space="0" w:color="auto" w:frame="1"/>
        </w:rPr>
        <w:t> </w:t>
      </w:r>
      <w:bookmarkStart w:id="50" w:name="para17"/>
      <w:r w:rsidRPr="009E575C">
        <w:rPr>
          <w:color w:val="0061AA"/>
          <w:bdr w:val="none" w:sz="0" w:space="0" w:color="auto" w:frame="1"/>
        </w:rPr>
        <w:t> </w:t>
      </w:r>
      <w:bookmarkEnd w:id="50"/>
      <w:r w:rsidRPr="009E575C">
        <w:t>Jäätmete kõrvaldamine</w:t>
      </w:r>
    </w:p>
    <w:p w:rsidR="00EC380D" w:rsidRPr="009E575C" w:rsidRDefault="00EC380D" w:rsidP="00B46C91">
      <w:pPr>
        <w:pStyle w:val="Normaallaadveeb"/>
        <w:shd w:val="clear" w:color="auto" w:fill="FFFFFF"/>
        <w:spacing w:before="0" w:beforeAutospacing="0" w:after="0" w:afterAutospacing="0"/>
        <w:jc w:val="both"/>
        <w:rPr>
          <w:rFonts w:ascii="Verdana" w:hAnsi="Verdana" w:cs="Arial"/>
          <w:color w:val="202020"/>
          <w:lang w:val="et-EE"/>
        </w:rPr>
      </w:pPr>
      <w:bookmarkStart w:id="51" w:name="para17lg1"/>
      <w:r w:rsidRPr="005F3253">
        <w:rPr>
          <w:rFonts w:ascii="Arial" w:hAnsi="Arial" w:cs="Arial"/>
          <w:color w:val="0061AA"/>
          <w:sz w:val="21"/>
          <w:szCs w:val="21"/>
          <w:bdr w:val="none" w:sz="0" w:space="0" w:color="auto" w:frame="1"/>
          <w:lang w:val="et-EE"/>
        </w:rPr>
        <w:t> </w:t>
      </w:r>
      <w:bookmarkEnd w:id="51"/>
      <w:r w:rsidRPr="005F3253">
        <w:rPr>
          <w:rFonts w:ascii="Arial" w:hAnsi="Arial" w:cs="Arial"/>
          <w:color w:val="202020"/>
          <w:sz w:val="21"/>
          <w:szCs w:val="21"/>
          <w:lang w:val="et-EE"/>
        </w:rPr>
        <w:t>(</w:t>
      </w:r>
      <w:r w:rsidRPr="009E575C">
        <w:rPr>
          <w:rFonts w:ascii="Verdana" w:hAnsi="Verdana" w:cs="Arial"/>
          <w:color w:val="202020"/>
          <w:lang w:val="et-EE"/>
        </w:rPr>
        <w:t>1) Jäätmete kõrvaldamine on nende ladestamine prügilasse, põletamine ilma energiakasutuseta või muu samaväärne toiming, mis ei ole taaskasutamine, kaasa arvatud jäätmete ettevalmistamine kõrvaldamiseks, isegi kui toimingul on osaliselt teisene tagajärg ainete või energia taasväärtustamise näol.</w:t>
      </w:r>
      <w:r w:rsidR="00C748E8">
        <w:rPr>
          <w:rFonts w:ascii="Verdana" w:hAnsi="Verdana" w:cs="Arial"/>
          <w:color w:val="202020"/>
          <w:lang w:val="et-EE"/>
        </w:rPr>
        <w:t xml:space="preserve"> </w:t>
      </w:r>
      <w:r w:rsidRPr="009E575C">
        <w:rPr>
          <w:rStyle w:val="mm"/>
          <w:rFonts w:ascii="Verdana" w:hAnsi="Verdana" w:cs="Arial"/>
          <w:color w:val="202020"/>
          <w:bdr w:val="none" w:sz="0" w:space="0" w:color="auto" w:frame="1"/>
          <w:lang w:val="et-EE"/>
        </w:rPr>
        <w:t>[</w:t>
      </w:r>
      <w:hyperlink r:id="rId23" w:history="1">
        <w:r w:rsidRPr="009E575C">
          <w:rPr>
            <w:rStyle w:val="Hperlink"/>
            <w:rFonts w:ascii="Verdana" w:hAnsi="Verdana" w:cs="Arial"/>
            <w:color w:val="551A8B"/>
            <w:bdr w:val="none" w:sz="0" w:space="0" w:color="auto" w:frame="1"/>
            <w:lang w:val="et-EE"/>
          </w:rPr>
          <w:t>RT I, 09.11.2011, 1</w:t>
        </w:r>
      </w:hyperlink>
      <w:r w:rsidRPr="009E575C">
        <w:rPr>
          <w:rStyle w:val="apple-converted-space"/>
          <w:rFonts w:ascii="Verdana" w:hAnsi="Verdana" w:cs="Arial"/>
          <w:color w:val="202020"/>
          <w:bdr w:val="none" w:sz="0" w:space="0" w:color="auto" w:frame="1"/>
          <w:lang w:val="et-EE"/>
        </w:rPr>
        <w:t> </w:t>
      </w:r>
      <w:r w:rsidRPr="009E575C">
        <w:rPr>
          <w:rStyle w:val="mm"/>
          <w:rFonts w:ascii="Verdana" w:hAnsi="Verdana" w:cs="Arial"/>
          <w:color w:val="202020"/>
          <w:bdr w:val="none" w:sz="0" w:space="0" w:color="auto" w:frame="1"/>
          <w:lang w:val="et-EE"/>
        </w:rPr>
        <w:t>- jõust. 10.11.2011]</w:t>
      </w:r>
    </w:p>
    <w:p w:rsidR="00EC380D" w:rsidRPr="009E575C" w:rsidRDefault="00EC380D" w:rsidP="00EC380D">
      <w:pPr>
        <w:pStyle w:val="Normaallaadveeb"/>
        <w:shd w:val="clear" w:color="auto" w:fill="FFFFFF"/>
        <w:spacing w:before="0" w:beforeAutospacing="0" w:after="0" w:afterAutospacing="0"/>
        <w:rPr>
          <w:rFonts w:ascii="Verdana" w:hAnsi="Verdana" w:cs="Arial"/>
          <w:color w:val="202020"/>
          <w:lang w:val="et-EE"/>
        </w:rPr>
      </w:pPr>
      <w:bookmarkStart w:id="52" w:name="para17lg2"/>
      <w:r w:rsidRPr="009E575C">
        <w:rPr>
          <w:rFonts w:ascii="Verdana" w:hAnsi="Verdana" w:cs="Arial"/>
          <w:color w:val="0061AA"/>
          <w:bdr w:val="none" w:sz="0" w:space="0" w:color="auto" w:frame="1"/>
          <w:lang w:val="et-EE"/>
        </w:rPr>
        <w:t> </w:t>
      </w:r>
      <w:bookmarkEnd w:id="52"/>
      <w:r w:rsidRPr="009E575C">
        <w:rPr>
          <w:rFonts w:ascii="Verdana" w:hAnsi="Verdana" w:cs="Arial"/>
          <w:color w:val="202020"/>
          <w:lang w:val="et-EE"/>
        </w:rPr>
        <w:t>(2) Jäätmete kõrvaldamistoimingute nimistu</w:t>
      </w:r>
      <w:r w:rsidRPr="009E575C">
        <w:rPr>
          <w:rStyle w:val="apple-converted-space"/>
          <w:rFonts w:ascii="Verdana" w:hAnsi="Verdana" w:cs="Arial"/>
          <w:color w:val="202020"/>
          <w:lang w:val="et-EE"/>
        </w:rPr>
        <w:t> </w:t>
      </w:r>
      <w:hyperlink r:id="rId24" w:history="1">
        <w:r w:rsidRPr="009E575C">
          <w:rPr>
            <w:rStyle w:val="Hperlink"/>
            <w:rFonts w:ascii="Verdana" w:hAnsi="Verdana" w:cs="Arial"/>
            <w:color w:val="551A8B"/>
            <w:bdr w:val="none" w:sz="0" w:space="0" w:color="auto" w:frame="1"/>
            <w:lang w:val="et-EE"/>
          </w:rPr>
          <w:t>kehtestatakse Vabariigi Valitsuse määrusega</w:t>
        </w:r>
      </w:hyperlink>
      <w:r w:rsidRPr="009E575C">
        <w:rPr>
          <w:rFonts w:ascii="Verdana" w:hAnsi="Verdana" w:cs="Arial"/>
          <w:color w:val="202020"/>
          <w:lang w:val="et-EE"/>
        </w:rPr>
        <w:t xml:space="preserve">.  </w:t>
      </w:r>
    </w:p>
    <w:p w:rsidR="00F63FD6" w:rsidRDefault="00AF23E6" w:rsidP="00F30235">
      <w:pPr>
        <w:rPr>
          <w:rStyle w:val="Rhutus"/>
          <w:rFonts w:ascii="Verdana" w:hAnsi="Verdana"/>
          <w:i/>
          <w:iCs/>
          <w:sz w:val="16"/>
          <w:szCs w:val="16"/>
        </w:rPr>
      </w:pPr>
      <w:bookmarkStart w:id="53" w:name="_Toc341362254"/>
      <w:r w:rsidRPr="009E575C">
        <w:rPr>
          <w:rStyle w:val="Rhutus"/>
          <w:rFonts w:ascii="Verdana" w:hAnsi="Verdana"/>
          <w:i/>
          <w:sz w:val="16"/>
          <w:szCs w:val="16"/>
        </w:rPr>
        <w:t xml:space="preserve">Eesti Vabariigi Jäätmeseaduse </w:t>
      </w:r>
      <w:r w:rsidRPr="009E575C">
        <w:rPr>
          <w:rStyle w:val="Rhutus"/>
          <w:rFonts w:ascii="Verdana" w:hAnsi="Verdana"/>
          <w:sz w:val="16"/>
          <w:szCs w:val="16"/>
        </w:rPr>
        <w:t>§ 15 lõike 8 ja § 17 lõike 2 alusel</w:t>
      </w:r>
      <w:r w:rsidRPr="009E575C">
        <w:rPr>
          <w:rStyle w:val="Rhutus"/>
          <w:rFonts w:ascii="Verdana" w:hAnsi="Verdana"/>
          <w:i/>
          <w:iCs/>
          <w:sz w:val="16"/>
          <w:szCs w:val="16"/>
        </w:rPr>
        <w:t xml:space="preserve"> kehtestatud määrus:</w:t>
      </w:r>
      <w:r w:rsidR="006158C3" w:rsidRPr="009E575C">
        <w:rPr>
          <w:rStyle w:val="Rhutus"/>
          <w:rFonts w:ascii="Verdana" w:hAnsi="Verdana"/>
          <w:i/>
          <w:iCs/>
          <w:sz w:val="16"/>
          <w:szCs w:val="16"/>
        </w:rPr>
        <w:t xml:space="preserve"> </w:t>
      </w:r>
      <w:r w:rsidRPr="009E575C">
        <w:rPr>
          <w:rStyle w:val="Rhutus"/>
          <w:rFonts w:ascii="Verdana" w:hAnsi="Verdana"/>
          <w:sz w:val="16"/>
          <w:szCs w:val="16"/>
        </w:rPr>
        <w:t>Jäätmete taaskasutamis- ja kõrvaldamistoimingute nimistud1</w:t>
      </w:r>
      <w:r w:rsidR="006158C3" w:rsidRPr="009E575C">
        <w:rPr>
          <w:rStyle w:val="Rhutus"/>
          <w:rFonts w:ascii="Verdana" w:hAnsi="Verdana"/>
          <w:i/>
          <w:iCs/>
          <w:sz w:val="16"/>
          <w:szCs w:val="16"/>
        </w:rPr>
        <w:t xml:space="preserve">; </w:t>
      </w:r>
      <w:r w:rsidRPr="009E575C">
        <w:rPr>
          <w:rStyle w:val="Rhutus"/>
          <w:rFonts w:ascii="Verdana" w:hAnsi="Verdana"/>
          <w:sz w:val="16"/>
          <w:szCs w:val="16"/>
        </w:rPr>
        <w:t>Vastu võetud 08.12.2011 nr 148</w:t>
      </w:r>
      <w:r w:rsidRPr="009E575C">
        <w:rPr>
          <w:color w:val="202020"/>
        </w:rPr>
        <w:t>.</w:t>
      </w:r>
      <w:bookmarkEnd w:id="53"/>
      <w:r w:rsidR="00C748E8">
        <w:rPr>
          <w:rStyle w:val="Rhutus"/>
          <w:rFonts w:ascii="Verdana" w:hAnsi="Verdana"/>
          <w:i/>
          <w:iCs/>
          <w:sz w:val="16"/>
          <w:szCs w:val="16"/>
        </w:rPr>
        <w:t xml:space="preserve"> </w:t>
      </w:r>
    </w:p>
    <w:p w:rsidR="00AF23E6" w:rsidRPr="00C748E8" w:rsidRDefault="00AF23E6" w:rsidP="00F30235">
      <w:pPr>
        <w:rPr>
          <w:rFonts w:ascii="Verdana" w:hAnsi="Verdana"/>
          <w:i/>
          <w:iCs/>
          <w:caps/>
          <w:color w:val="505A19" w:themeColor="accent1" w:themeShade="7F"/>
          <w:spacing w:val="5"/>
          <w:sz w:val="16"/>
          <w:szCs w:val="16"/>
        </w:rPr>
      </w:pPr>
      <w:r w:rsidRPr="009E575C">
        <w:rPr>
          <w:rFonts w:ascii="Verdana" w:hAnsi="Verdana"/>
          <w:color w:val="333333"/>
          <w:sz w:val="16"/>
          <w:szCs w:val="16"/>
        </w:rPr>
        <w:t xml:space="preserve">Jäätmete kõrvaldamistoimingud sätestatakse rahvusvaheliselt tunnustatud D-koodinumbrite alusel. </w:t>
      </w:r>
    </w:p>
    <w:p w:rsidR="00AF23E6" w:rsidRPr="009E575C" w:rsidRDefault="00AF23E6" w:rsidP="00F30235">
      <w:r w:rsidRPr="009E575C">
        <w:rPr>
          <w:rStyle w:val="Tugev"/>
          <w:rFonts w:ascii="Verdana" w:hAnsi="Verdana"/>
          <w:b w:val="0"/>
          <w:bCs w:val="0"/>
          <w:color w:val="000000"/>
          <w:bdr w:val="none" w:sz="0" w:space="0" w:color="auto" w:frame="1"/>
        </w:rPr>
        <w:t>§ 4.</w:t>
      </w:r>
      <w:bookmarkStart w:id="54" w:name="para4"/>
      <w:r w:rsidRPr="009E575C">
        <w:rPr>
          <w:color w:val="0061AA"/>
          <w:bdr w:val="none" w:sz="0" w:space="0" w:color="auto" w:frame="1"/>
        </w:rPr>
        <w:t> </w:t>
      </w:r>
      <w:bookmarkEnd w:id="54"/>
      <w:r w:rsidRPr="009E575C">
        <w:t>Jäätmete kõrvaldamistoimingute nimistu</w:t>
      </w:r>
    </w:p>
    <w:p w:rsidR="00D13871" w:rsidRDefault="00AF23E6" w:rsidP="00F30235">
      <w:pPr>
        <w:pStyle w:val="Normaallaadveeb"/>
        <w:shd w:val="clear" w:color="auto" w:fill="FFFFFF"/>
        <w:spacing w:before="0" w:beforeAutospacing="0" w:after="0" w:afterAutospacing="0"/>
        <w:rPr>
          <w:rFonts w:ascii="Verdana" w:hAnsi="Verdana" w:cs="Arial"/>
          <w:color w:val="202020"/>
          <w:sz w:val="16"/>
          <w:szCs w:val="16"/>
          <w:lang w:val="et-EE"/>
        </w:rPr>
      </w:pPr>
      <w:bookmarkStart w:id="55" w:name="lg15"/>
      <w:r w:rsidRPr="009E575C">
        <w:rPr>
          <w:rFonts w:ascii="Verdana" w:hAnsi="Verdana" w:cs="Arial"/>
          <w:color w:val="0061AA"/>
          <w:bdr w:val="none" w:sz="0" w:space="0" w:color="auto" w:frame="1"/>
          <w:lang w:val="et-EE"/>
        </w:rPr>
        <w:t> </w:t>
      </w:r>
      <w:bookmarkEnd w:id="55"/>
      <w:r w:rsidRPr="009E575C">
        <w:rPr>
          <w:rStyle w:val="apple-converted-space"/>
          <w:rFonts w:ascii="Verdana" w:hAnsi="Verdana" w:cs="Arial"/>
          <w:color w:val="202020"/>
          <w:lang w:val="et-EE"/>
        </w:rPr>
        <w:t> </w:t>
      </w:r>
      <w:r w:rsidRPr="009E575C">
        <w:rPr>
          <w:rFonts w:ascii="Verdana" w:hAnsi="Verdana" w:cs="Arial"/>
          <w:color w:val="202020"/>
          <w:lang w:val="et-EE"/>
        </w:rPr>
        <w:t>Jäätmete kõrvaldamistoimingud on:</w:t>
      </w:r>
      <w:r w:rsidRPr="009E575C">
        <w:rPr>
          <w:rFonts w:ascii="Verdana" w:hAnsi="Verdana" w:cs="Arial"/>
          <w:color w:val="202020"/>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1)</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D1 – maapealne või maa-alune ladestamine (näiteks prügilatesse);</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2)</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D2 – pinnastöötlus (näiteks vedelate või püdelate heitmete biolagundamine pinnases);</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3)</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D3 – süvainjektsioon maapõue (näiteks vedelate heidete pumpamine puuraukudesse, mahajäetud soolakaevandustesse või looduslikesse tühemikesse);</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4)</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D4 – vedelate või püdelate jäätmete paigutamine maapealsetesse kaevanditesse, basseinidesse, paistiikidesse jne;</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5)</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D5 – paigutamine tarindprügilatesse (näiteks jäätmete paigutamine üksteisest ning keskkonnast isoleeritud, pealt kaetud ja vooderdatud pesadesse);</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6)</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D6 – heitmine veekogudesse, välja arvatud merre või ookeani;</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7)</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D7 – heitmine merre või ookeani, sealhulgas ladestamine merepõhja;</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8)</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D8 – bioloogiline töötlemine, mida ei ole käsitletud mujal selles nimistus ning mille lõppsaaduseks on ühendid või segud, mis kõrvaldatakse koodinumbriga D1–D12 märgitud mis tahes toiminguga;</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9)</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D9 – füüsikalis-keemiline töötlemine (näiteks aurutamine, kuivatamine, kaltsineerimine), mida mujal selles nimistus ei ole käsitletud ning mille lõppsaaduseks on ühendid või segud, mis kõrvaldatakse koodinumbriga D1–D12 märgitud mis tahes toiminguga;</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10)</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D10 – põletamine maismaal;</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11)</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D11 – põletamine merel (juhul kui Euroopa Liidu õigusaktid ja riikidevahelised lepingud seda lubavad);</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12)</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D12 – püsiladustamine (näiteks konteinerites jäätmete paigutamine kaevandustesse);</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13)</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D13 – jäätmesegude koostamine või jäätmete segamine või muu eeltöötlus enne koodinumbriga D1–D12 märgitud mis tahes toimingut, sealhulgas:</w:t>
      </w:r>
      <w:r w:rsidRPr="00F63FD6">
        <w:rPr>
          <w:rFonts w:ascii="Verdana" w:hAnsi="Verdana" w:cs="Arial"/>
          <w:color w:val="202020"/>
          <w:sz w:val="16"/>
          <w:szCs w:val="16"/>
          <w:lang w:val="et-EE"/>
        </w:rPr>
        <w:br/>
        <w:t>D13x – jäätmete kõrvaldamisele eelnev jäätmesegude koostamine või jäätmete segamine;</w:t>
      </w:r>
      <w:r w:rsidRPr="00F63FD6">
        <w:rPr>
          <w:rFonts w:ascii="Verdana" w:hAnsi="Verdana" w:cs="Arial"/>
          <w:color w:val="202020"/>
          <w:sz w:val="16"/>
          <w:szCs w:val="16"/>
          <w:lang w:val="et-EE"/>
        </w:rPr>
        <w:br/>
        <w:t>D13s – jäätmete kõrvaldamisele eelnev sortimine või teatud komponentide eraldamine, millega võib kaasneda mehhaaniline töötlemine (purustamine, tükeldamine, demonteerimine, kokkupressimine, granuleerimine jms), juhul kui selle tegevuse tulemusel tekivad uued jäätmeliigid ning jäätmete olemus või koostis muutub;</w:t>
      </w:r>
      <w:r w:rsidRPr="00F63FD6">
        <w:rPr>
          <w:rFonts w:ascii="Verdana" w:hAnsi="Verdana" w:cs="Arial"/>
          <w:color w:val="202020"/>
          <w:sz w:val="16"/>
          <w:szCs w:val="16"/>
          <w:lang w:val="et-EE"/>
        </w:rPr>
        <w:br/>
      </w:r>
      <w:r w:rsidRPr="00F63FD6">
        <w:rPr>
          <w:rFonts w:ascii="Verdana" w:hAnsi="Verdana" w:cs="Arial"/>
          <w:color w:val="0061AA"/>
          <w:sz w:val="16"/>
          <w:szCs w:val="16"/>
          <w:bdr w:val="none" w:sz="0" w:space="0" w:color="auto" w:frame="1"/>
          <w:lang w:val="et-EE"/>
        </w:rPr>
        <w:t> </w:t>
      </w:r>
      <w:r w:rsidRPr="00F63FD6">
        <w:rPr>
          <w:rFonts w:ascii="Verdana" w:hAnsi="Verdana" w:cs="Arial"/>
          <w:color w:val="202020"/>
          <w:sz w:val="16"/>
          <w:szCs w:val="16"/>
          <w:lang w:val="et-EE"/>
        </w:rPr>
        <w:t>14)</w:t>
      </w:r>
      <w:r w:rsidRPr="00F63FD6">
        <w:rPr>
          <w:rStyle w:val="apple-converted-space"/>
          <w:rFonts w:ascii="Verdana" w:hAnsi="Verdana" w:cs="Arial"/>
          <w:color w:val="202020"/>
          <w:sz w:val="16"/>
          <w:szCs w:val="16"/>
          <w:bdr w:val="none" w:sz="0" w:space="0" w:color="auto" w:frame="1"/>
          <w:lang w:val="et-EE"/>
        </w:rPr>
        <w:t> </w:t>
      </w:r>
      <w:r w:rsidRPr="00F63FD6">
        <w:rPr>
          <w:rFonts w:ascii="Verdana" w:hAnsi="Verdana" w:cs="Arial"/>
          <w:color w:val="202020"/>
          <w:sz w:val="16"/>
          <w:szCs w:val="16"/>
          <w:lang w:val="et-EE"/>
        </w:rPr>
        <w:t>D14 – jäätmete ümberpakkimine enne koodinumbriga D1–D13 märgitud mis tahes toimingut;</w:t>
      </w:r>
      <w:r w:rsidRPr="00F63FD6">
        <w:rPr>
          <w:rFonts w:ascii="Verdana" w:hAnsi="Verdana" w:cs="Arial"/>
          <w:color w:val="202020"/>
          <w:sz w:val="16"/>
          <w:szCs w:val="16"/>
          <w:lang w:val="et-EE"/>
        </w:rPr>
        <w:br/>
      </w:r>
      <w:bookmarkStart w:id="56" w:name=""/>
      <w:r w:rsidRPr="00F63FD6">
        <w:rPr>
          <w:rFonts w:ascii="Arial" w:hAnsi="Arial" w:cs="Arial"/>
          <w:color w:val="0061AA"/>
          <w:sz w:val="16"/>
          <w:szCs w:val="16"/>
          <w:bdr w:val="none" w:sz="0" w:space="0" w:color="auto" w:frame="1"/>
          <w:lang w:val="et-EE"/>
        </w:rPr>
        <w:t> </w:t>
      </w:r>
      <w:bookmarkEnd w:id="56"/>
      <w:r w:rsidRPr="00F63FD6">
        <w:rPr>
          <w:rFonts w:ascii="Verdana" w:hAnsi="Verdana" w:cs="Arial"/>
          <w:color w:val="202020"/>
          <w:sz w:val="16"/>
          <w:szCs w:val="16"/>
          <w:lang w:val="et-EE"/>
        </w:rPr>
        <w:t>15)</w:t>
      </w:r>
      <w:r w:rsidRPr="00F63FD6">
        <w:rPr>
          <w:rFonts w:ascii="Verdana" w:hAnsi="Verdana"/>
          <w:sz w:val="16"/>
          <w:szCs w:val="16"/>
        </w:rPr>
        <w:t> </w:t>
      </w:r>
      <w:r w:rsidRPr="00F63FD6">
        <w:rPr>
          <w:rFonts w:ascii="Verdana" w:hAnsi="Verdana" w:cs="Arial"/>
          <w:color w:val="202020"/>
          <w:sz w:val="16"/>
          <w:szCs w:val="16"/>
          <w:lang w:val="et-EE"/>
        </w:rPr>
        <w:t>D15 – ladustamine koodinumbriga D1–D14 märgitud mis tahes toimingu eesmärgil, välja arvatud ajutine kogumiseel</w:t>
      </w:r>
      <w:r w:rsidR="009A2C39" w:rsidRPr="00F63FD6">
        <w:rPr>
          <w:rFonts w:ascii="Verdana" w:hAnsi="Verdana" w:cs="Arial"/>
          <w:color w:val="202020"/>
          <w:sz w:val="16"/>
          <w:szCs w:val="16"/>
          <w:lang w:val="et-EE"/>
        </w:rPr>
        <w:t>ne hoidmine jäätmete tekkekohas</w:t>
      </w:r>
      <w:r w:rsidR="00D13871" w:rsidRPr="00F63FD6">
        <w:rPr>
          <w:rFonts w:ascii="Verdana" w:hAnsi="Verdana" w:cs="Arial"/>
          <w:color w:val="202020"/>
          <w:sz w:val="16"/>
          <w:szCs w:val="16"/>
          <w:lang w:val="et-EE"/>
        </w:rPr>
        <w:t>.</w:t>
      </w:r>
    </w:p>
    <w:p w:rsidR="00F63FD6" w:rsidRPr="00F63FD6" w:rsidRDefault="00F63FD6" w:rsidP="00D13871">
      <w:pPr>
        <w:pStyle w:val="Normaallaadveeb"/>
        <w:shd w:val="clear" w:color="auto" w:fill="FFFFFF"/>
        <w:spacing w:before="0" w:beforeAutospacing="0" w:after="0" w:afterAutospacing="0"/>
        <w:rPr>
          <w:rFonts w:ascii="Arial" w:hAnsi="Arial" w:cs="Arial"/>
          <w:color w:val="202020"/>
          <w:sz w:val="16"/>
          <w:szCs w:val="16"/>
          <w:lang w:val="et-EE"/>
        </w:rPr>
      </w:pPr>
    </w:p>
    <w:p w:rsidR="00D13871" w:rsidRPr="00F63FD6" w:rsidRDefault="00D13871" w:rsidP="00F63FD6">
      <w:pPr>
        <w:pStyle w:val="Pealkiri2"/>
      </w:pPr>
      <w:r>
        <w:rPr>
          <w:color w:val="202020"/>
          <w:sz w:val="21"/>
          <w:szCs w:val="21"/>
        </w:rPr>
        <w:br w:type="page"/>
      </w:r>
      <w:bookmarkStart w:id="57" w:name="_Toc341362255"/>
      <w:bookmarkStart w:id="58" w:name="_Toc358822439"/>
      <w:r w:rsidR="00443FBB">
        <w:lastRenderedPageBreak/>
        <w:t xml:space="preserve">Lisa </w:t>
      </w:r>
      <w:bookmarkEnd w:id="57"/>
      <w:r w:rsidR="00933E62">
        <w:t>4</w:t>
      </w:r>
      <w:r w:rsidR="00F63FD6">
        <w:t xml:space="preserve">: </w:t>
      </w:r>
      <w:r w:rsidRPr="00D13871">
        <w:t>Süsinikdioksiidi heide</w:t>
      </w:r>
      <w:bookmarkEnd w:id="58"/>
      <w:r w:rsidRPr="00556AAF">
        <w:rPr>
          <w:vertAlign w:val="subscript"/>
        </w:rPr>
        <w:t xml:space="preserve">        </w:t>
      </w:r>
    </w:p>
    <w:p w:rsidR="00D13871" w:rsidRPr="00556AAF" w:rsidRDefault="00D13871">
      <w:pPr>
        <w:pStyle w:val="Normaallaadveeb"/>
        <w:rPr>
          <w:lang w:val="et-EE"/>
        </w:rPr>
      </w:pPr>
      <w:r w:rsidRPr="00556AAF">
        <w:rPr>
          <w:rStyle w:val="Rhutus"/>
          <w:rFonts w:ascii="Verdana" w:hAnsi="Verdana"/>
          <w:lang w:val="et-EE"/>
        </w:rPr>
        <w:t>Andmete kogumine</w:t>
      </w:r>
    </w:p>
    <w:p w:rsidR="00D13871" w:rsidRPr="00556AAF" w:rsidRDefault="006314FA" w:rsidP="00606C0D">
      <w:pPr>
        <w:pStyle w:val="Normaallaadveeb"/>
        <w:jc w:val="both"/>
        <w:rPr>
          <w:lang w:val="et-EE"/>
        </w:rPr>
      </w:pPr>
      <w:r>
        <w:rPr>
          <w:rFonts w:ascii="Verdana" w:hAnsi="Verdana"/>
          <w:lang w:val="et-EE"/>
        </w:rPr>
        <w:t xml:space="preserve">Kuna </w:t>
      </w:r>
      <w:r w:rsidR="00D13871" w:rsidRPr="00556AAF">
        <w:rPr>
          <w:rFonts w:ascii="Verdana" w:hAnsi="Verdana"/>
          <w:lang w:val="et-EE"/>
        </w:rPr>
        <w:t>CO</w:t>
      </w:r>
      <w:r w:rsidR="00D13871" w:rsidRPr="00556AAF">
        <w:rPr>
          <w:rFonts w:ascii="Verdana" w:hAnsi="Verdana"/>
          <w:vertAlign w:val="subscript"/>
          <w:lang w:val="et-EE"/>
        </w:rPr>
        <w:t>2</w:t>
      </w:r>
      <w:r>
        <w:rPr>
          <w:rFonts w:ascii="Verdana" w:hAnsi="Verdana"/>
          <w:lang w:val="et-EE"/>
        </w:rPr>
        <w:t xml:space="preserve"> heite otsene mõõtmine pole alati võimalik</w:t>
      </w:r>
      <w:r w:rsidR="00D13871" w:rsidRPr="00556AAF">
        <w:rPr>
          <w:rFonts w:ascii="Verdana" w:hAnsi="Verdana"/>
          <w:lang w:val="et-EE"/>
        </w:rPr>
        <w:t xml:space="preserve">, siis rahvuslikud keemiatööstuse liidud ja CEFIC </w:t>
      </w:r>
      <w:r>
        <w:rPr>
          <w:rFonts w:ascii="Verdana" w:hAnsi="Verdana"/>
          <w:lang w:val="et-EE"/>
        </w:rPr>
        <w:t>arvutavad</w:t>
      </w:r>
      <w:r w:rsidR="00D13871" w:rsidRPr="00556AAF">
        <w:rPr>
          <w:rFonts w:ascii="Verdana" w:hAnsi="Verdana"/>
          <w:lang w:val="et-EE"/>
        </w:rPr>
        <w:t xml:space="preserve"> neid hulki, tuginedes energia tarbimise statistikale.</w:t>
      </w:r>
    </w:p>
    <w:p w:rsidR="00D13871" w:rsidRPr="00556AAF" w:rsidRDefault="00D13871">
      <w:pPr>
        <w:pStyle w:val="Normaallaadveeb"/>
        <w:rPr>
          <w:rStyle w:val="Rhutus"/>
          <w:rFonts w:ascii="Verdana" w:hAnsi="Verdana"/>
          <w:lang w:val="et-EE"/>
        </w:rPr>
      </w:pPr>
      <w:r w:rsidRPr="00556AAF">
        <w:rPr>
          <w:rStyle w:val="Rhutus"/>
          <w:rFonts w:ascii="Verdana" w:hAnsi="Verdana"/>
          <w:lang w:val="et-EE"/>
        </w:rPr>
        <w:t>Metoodika</w:t>
      </w:r>
    </w:p>
    <w:p w:rsidR="00D13871" w:rsidRPr="00556AAF" w:rsidRDefault="00D13871" w:rsidP="00C61F7A">
      <w:pPr>
        <w:spacing w:before="100" w:beforeAutospacing="1" w:after="100" w:afterAutospacing="1"/>
        <w:jc w:val="both"/>
        <w:rPr>
          <w:rFonts w:ascii="Verdana" w:hAnsi="Verdana"/>
        </w:rPr>
      </w:pPr>
      <w:r w:rsidRPr="00556AAF">
        <w:rPr>
          <w:rFonts w:ascii="Verdana" w:hAnsi="Verdana"/>
        </w:rPr>
        <w:t>Arvesse võetakse üksnes kütuste</w:t>
      </w:r>
      <w:r>
        <w:rPr>
          <w:rFonts w:ascii="Verdana" w:hAnsi="Verdana"/>
        </w:rPr>
        <w:t>,</w:t>
      </w:r>
      <w:r w:rsidRPr="00556AAF">
        <w:rPr>
          <w:rFonts w:ascii="Verdana" w:hAnsi="Verdana"/>
        </w:rPr>
        <w:t xml:space="preserve"> kui energia allika</w:t>
      </w:r>
      <w:r>
        <w:rPr>
          <w:rFonts w:ascii="Verdana" w:hAnsi="Verdana"/>
        </w:rPr>
        <w:t>,</w:t>
      </w:r>
      <w:r w:rsidRPr="00556AAF">
        <w:rPr>
          <w:rFonts w:ascii="Verdana" w:hAnsi="Verdana"/>
        </w:rPr>
        <w:t xml:space="preserve"> tarbimine. Seda juhtudel, mis puudutab otsest CO</w:t>
      </w:r>
      <w:r w:rsidRPr="00556AAF">
        <w:rPr>
          <w:rFonts w:ascii="Verdana" w:hAnsi="Verdana"/>
          <w:vertAlign w:val="subscript"/>
        </w:rPr>
        <w:t>2</w:t>
      </w:r>
      <w:r w:rsidRPr="00556AAF">
        <w:rPr>
          <w:rFonts w:ascii="Verdana" w:hAnsi="Verdana"/>
        </w:rPr>
        <w:t xml:space="preserve"> heidet. Kasutatakse alljärgnevaid </w:t>
      </w:r>
      <w:r w:rsidR="00C61F7A">
        <w:rPr>
          <w:rFonts w:ascii="Verdana" w:hAnsi="Verdana"/>
        </w:rPr>
        <w:t>lihtsustusi</w:t>
      </w:r>
      <w:r w:rsidR="00C61F7A" w:rsidRPr="00C61F7A">
        <w:rPr>
          <w:rFonts w:ascii="Verdana" w:hAnsi="Verdana"/>
        </w:rPr>
        <w:t xml:space="preserve"> </w:t>
      </w:r>
      <w:r w:rsidR="00C61F7A" w:rsidRPr="00556AAF">
        <w:rPr>
          <w:rFonts w:ascii="Verdana" w:hAnsi="Verdana"/>
        </w:rPr>
        <w:t xml:space="preserve">ja </w:t>
      </w:r>
      <w:r w:rsidR="00C61F7A">
        <w:rPr>
          <w:rFonts w:ascii="Verdana" w:hAnsi="Verdana"/>
        </w:rPr>
        <w:t xml:space="preserve">tabelis 1 </w:t>
      </w:r>
      <w:r w:rsidR="00C61F7A" w:rsidRPr="00556AAF">
        <w:rPr>
          <w:rFonts w:ascii="Verdana" w:hAnsi="Verdana"/>
        </w:rPr>
        <w:t>toodud CO</w:t>
      </w:r>
      <w:r w:rsidR="00C61F7A" w:rsidRPr="00556AAF">
        <w:rPr>
          <w:rFonts w:ascii="Verdana" w:hAnsi="Verdana"/>
          <w:vertAlign w:val="subscript"/>
        </w:rPr>
        <w:t>2</w:t>
      </w:r>
      <w:r w:rsidR="00C61F7A" w:rsidRPr="00556AAF">
        <w:rPr>
          <w:rFonts w:ascii="Verdana" w:hAnsi="Verdana"/>
        </w:rPr>
        <w:t xml:space="preserve"> heite</w:t>
      </w:r>
      <w:r w:rsidR="00C61F7A">
        <w:rPr>
          <w:rFonts w:ascii="Verdana" w:hAnsi="Verdana"/>
        </w:rPr>
        <w:t xml:space="preserve"> konverteerimisfaktoreid</w:t>
      </w:r>
      <w:r w:rsidRPr="00556AAF">
        <w:rPr>
          <w:rFonts w:ascii="Verdana" w:hAnsi="Verdana"/>
        </w:rPr>
        <w:t>:</w:t>
      </w:r>
    </w:p>
    <w:p w:rsidR="00D13871" w:rsidRPr="00556AAF" w:rsidRDefault="00D13871" w:rsidP="00D13871">
      <w:pPr>
        <w:numPr>
          <w:ilvl w:val="0"/>
          <w:numId w:val="5"/>
        </w:numPr>
        <w:spacing w:before="100" w:beforeAutospacing="1" w:after="100" w:afterAutospacing="1"/>
        <w:rPr>
          <w:rFonts w:ascii="Verdana" w:hAnsi="Verdana"/>
        </w:rPr>
      </w:pPr>
      <w:r w:rsidRPr="00556AAF">
        <w:rPr>
          <w:rFonts w:ascii="Verdana" w:hAnsi="Verdana"/>
        </w:rPr>
        <w:t>Tahked kütused = 100% kivisüsi.</w:t>
      </w:r>
    </w:p>
    <w:p w:rsidR="00D13871" w:rsidRPr="00556AAF" w:rsidRDefault="00D13871" w:rsidP="00CE54CD">
      <w:pPr>
        <w:numPr>
          <w:ilvl w:val="0"/>
          <w:numId w:val="5"/>
        </w:numPr>
        <w:spacing w:before="100" w:beforeAutospacing="1" w:after="100" w:afterAutospacing="1"/>
      </w:pPr>
      <w:r w:rsidRPr="00556AAF">
        <w:rPr>
          <w:rFonts w:ascii="Verdana" w:hAnsi="Verdana"/>
        </w:rPr>
        <w:t xml:space="preserve">Vedelkütused = 100% </w:t>
      </w:r>
      <w:r w:rsidR="003E2D22">
        <w:rPr>
          <w:rFonts w:ascii="Verdana" w:hAnsi="Verdana"/>
        </w:rPr>
        <w:t>toor</w:t>
      </w:r>
      <w:r w:rsidRPr="00556AAF">
        <w:rPr>
          <w:rFonts w:ascii="Verdana" w:hAnsi="Verdana"/>
        </w:rPr>
        <w:t>õli.</w:t>
      </w:r>
    </w:p>
    <w:p w:rsidR="00D13871" w:rsidRPr="00556AAF" w:rsidRDefault="00D13871" w:rsidP="00CE54CD">
      <w:pPr>
        <w:numPr>
          <w:ilvl w:val="0"/>
          <w:numId w:val="5"/>
        </w:numPr>
        <w:spacing w:before="100" w:beforeAutospacing="1" w:after="100" w:afterAutospacing="1"/>
      </w:pPr>
      <w:r w:rsidRPr="00556AAF">
        <w:rPr>
          <w:rFonts w:ascii="Verdana" w:hAnsi="Verdana"/>
        </w:rPr>
        <w:t>Gaasilised kütused = 100% looduslikku gaasi (kuiv).</w:t>
      </w:r>
      <w:r w:rsidRPr="00556AAF">
        <w:t xml:space="preserve"> </w:t>
      </w:r>
    </w:p>
    <w:p w:rsidR="00D13871" w:rsidRPr="00556AAF" w:rsidRDefault="00D13871" w:rsidP="00760C6F">
      <w:pPr>
        <w:spacing w:before="100" w:beforeAutospacing="1" w:after="100" w:afterAutospacing="1"/>
        <w:jc w:val="both"/>
        <w:rPr>
          <w:rFonts w:ascii="Verdana" w:hAnsi="Verdana"/>
        </w:rPr>
      </w:pPr>
      <w:r w:rsidRPr="00556AAF">
        <w:rPr>
          <w:rFonts w:ascii="Verdana" w:hAnsi="Verdana"/>
        </w:rPr>
        <w:t>CO</w:t>
      </w:r>
      <w:r w:rsidRPr="00556AAF">
        <w:rPr>
          <w:rFonts w:ascii="Verdana" w:hAnsi="Verdana"/>
          <w:vertAlign w:val="subscript"/>
        </w:rPr>
        <w:t>2</w:t>
      </w:r>
      <w:r w:rsidRPr="00556AAF">
        <w:rPr>
          <w:rFonts w:ascii="Verdana" w:hAnsi="Verdana"/>
        </w:rPr>
        <w:t xml:space="preserve"> heide, mis puudutab elektri tarbimist („ostetud elekter” miinus „võrgustikku müüdud elekter”) on kaudsed heited. Kaudsete heidete kalkuleerimisel on võimalik võtta arvesse elektri tootmise keskmist riiklikku kütusesegu (kasutades näiteks IEA-OECD „OECD riikide energiabilanss”). Elektri hulk jaotatakse tahkeks, vedelaks ja gaasiliseks kütuseks vastavalt keskmisele kütusesegule ja korrutatakse vastava tahke, vedela või gaasilise kütuse CO</w:t>
      </w:r>
      <w:r w:rsidRPr="00556AAF">
        <w:rPr>
          <w:rFonts w:ascii="Verdana" w:hAnsi="Verdana"/>
          <w:vertAlign w:val="subscript"/>
        </w:rPr>
        <w:t xml:space="preserve">2 </w:t>
      </w:r>
      <w:r w:rsidRPr="00556AAF">
        <w:rPr>
          <w:rFonts w:ascii="Verdana" w:hAnsi="Verdana"/>
        </w:rPr>
        <w:t>heite</w:t>
      </w:r>
      <w:r w:rsidR="0065395C">
        <w:rPr>
          <w:rFonts w:ascii="Verdana" w:hAnsi="Verdana"/>
        </w:rPr>
        <w:t>koefitsiendiga</w:t>
      </w:r>
      <w:r w:rsidRPr="00556AAF">
        <w:rPr>
          <w:rFonts w:ascii="Verdana" w:hAnsi="Verdana"/>
        </w:rPr>
        <w:t xml:space="preserve">. </w:t>
      </w:r>
    </w:p>
    <w:p w:rsidR="00D13871" w:rsidRDefault="00D13871" w:rsidP="008D1402">
      <w:pPr>
        <w:spacing w:before="100" w:beforeAutospacing="1" w:after="100" w:afterAutospacing="1"/>
        <w:jc w:val="both"/>
        <w:rPr>
          <w:rFonts w:ascii="Verdana" w:hAnsi="Verdana"/>
        </w:rPr>
      </w:pPr>
      <w:r w:rsidRPr="00556AAF">
        <w:rPr>
          <w:rFonts w:ascii="Verdana" w:hAnsi="Verdana"/>
        </w:rPr>
        <w:t xml:space="preserve">Märkus: Riiklikud statistilised andmed elektrienergia tarbimise kohta sektori tasandil hõlmavad endas elektrienergia ostmist, kuid ei sisalda võrku müüdud elektrienergiat. CEFIC eeldab, et Hoolime ja Vastutame programmiga liitunud ettevõtetel on olemas teave ostetud elektrienergia kohta, mis kantakse üle põhivõrku ning nii saab anda teavet „ostetud elektrienergia kohta”. </w:t>
      </w:r>
    </w:p>
    <w:p w:rsidR="00E47FAC" w:rsidRPr="00556AAF" w:rsidRDefault="00E47FAC" w:rsidP="00E47FAC">
      <w:pPr>
        <w:pStyle w:val="Normaallaadveeb"/>
        <w:spacing w:before="0" w:beforeAutospacing="0" w:after="0" w:afterAutospacing="0"/>
        <w:rPr>
          <w:lang w:val="et-EE"/>
        </w:rPr>
      </w:pPr>
      <w:r w:rsidRPr="00556AAF">
        <w:rPr>
          <w:rFonts w:ascii="Verdana" w:hAnsi="Verdana"/>
          <w:lang w:val="et-EE"/>
        </w:rPr>
        <w:t>Näidis:</w:t>
      </w:r>
      <w:r w:rsidRPr="00556AAF">
        <w:rPr>
          <w:lang w:val="et-EE"/>
        </w:rPr>
        <w:t xml:space="preserve"> </w:t>
      </w:r>
      <w:r w:rsidRPr="00556AAF">
        <w:rPr>
          <w:rFonts w:ascii="Verdana" w:hAnsi="Verdana"/>
          <w:lang w:val="et-EE"/>
        </w:rPr>
        <w:t>Tahke kütus (näiteks kivisüsi)</w:t>
      </w:r>
    </w:p>
    <w:p w:rsidR="00E47FAC" w:rsidRPr="007E5BB4" w:rsidRDefault="00E47FAC" w:rsidP="00E47FAC">
      <w:pPr>
        <w:spacing w:before="0" w:after="0"/>
        <w:rPr>
          <w:rFonts w:ascii="Verdana" w:hAnsi="Verdana"/>
        </w:rPr>
      </w:pPr>
      <w:r w:rsidRPr="007E5BB4">
        <w:rPr>
          <w:rFonts w:ascii="Verdana" w:hAnsi="Verdana"/>
        </w:rPr>
        <w:t>alates</w:t>
      </w:r>
      <w:r w:rsidRPr="007E5BB4">
        <w:rPr>
          <w:rFonts w:ascii="Verdana" w:hAnsi="Verdana"/>
        </w:rPr>
        <w:tab/>
        <w:t>1 GJ</w:t>
      </w:r>
      <w:r>
        <w:rPr>
          <w:rFonts w:ascii="Verdana" w:hAnsi="Verdana"/>
        </w:rPr>
        <w:t xml:space="preserve"> </w:t>
      </w:r>
      <w:r w:rsidRPr="007E5BB4">
        <w:rPr>
          <w:rFonts w:ascii="Verdana" w:hAnsi="Verdana"/>
        </w:rPr>
        <w:t>= 25.8 kg C (süsinik)</w:t>
      </w:r>
    </w:p>
    <w:p w:rsidR="00E47FAC" w:rsidRPr="007E5BB4" w:rsidRDefault="00E47FAC" w:rsidP="00E47FAC">
      <w:pPr>
        <w:spacing w:before="0" w:after="0"/>
        <w:rPr>
          <w:rFonts w:ascii="Verdana" w:hAnsi="Verdana"/>
        </w:rPr>
      </w:pPr>
      <w:r w:rsidRPr="007E5BB4">
        <w:rPr>
          <w:rFonts w:ascii="Verdana" w:hAnsi="Verdana"/>
        </w:rPr>
        <w:tab/>
        <w:t>1 GJ</w:t>
      </w:r>
      <w:r>
        <w:rPr>
          <w:rFonts w:ascii="Verdana" w:hAnsi="Verdana"/>
        </w:rPr>
        <w:t xml:space="preserve"> </w:t>
      </w:r>
      <w:r w:rsidRPr="007E5BB4">
        <w:rPr>
          <w:rFonts w:ascii="Verdana" w:hAnsi="Verdana"/>
        </w:rPr>
        <w:t>= 25.8 x 44/12 kg CO</w:t>
      </w:r>
      <w:r w:rsidRPr="00900256">
        <w:rPr>
          <w:rFonts w:ascii="Verdana" w:hAnsi="Verdana"/>
          <w:vertAlign w:val="subscript"/>
        </w:rPr>
        <w:t>2</w:t>
      </w:r>
      <w:r w:rsidRPr="007E5BB4">
        <w:rPr>
          <w:rFonts w:ascii="Verdana" w:hAnsi="Verdana"/>
        </w:rPr>
        <w:t xml:space="preserve"> (CO</w:t>
      </w:r>
      <w:r w:rsidRPr="00900256">
        <w:rPr>
          <w:rFonts w:ascii="Verdana" w:hAnsi="Verdana"/>
          <w:vertAlign w:val="subscript"/>
        </w:rPr>
        <w:t>2</w:t>
      </w:r>
      <w:r w:rsidRPr="007E5BB4">
        <w:rPr>
          <w:rFonts w:ascii="Verdana" w:hAnsi="Verdana"/>
        </w:rPr>
        <w:t xml:space="preserve"> molekulmassi suhe süsiniku molekulmassi)</w:t>
      </w:r>
    </w:p>
    <w:p w:rsidR="00E47FAC" w:rsidRPr="007E5BB4" w:rsidRDefault="00E47FAC" w:rsidP="00E47FAC">
      <w:pPr>
        <w:spacing w:before="0" w:after="0"/>
        <w:rPr>
          <w:rFonts w:ascii="Verdana" w:hAnsi="Verdana"/>
        </w:rPr>
      </w:pPr>
      <w:r w:rsidRPr="007E5BB4">
        <w:rPr>
          <w:rFonts w:ascii="Verdana" w:hAnsi="Verdana"/>
        </w:rPr>
        <w:tab/>
        <w:t>1 toe = 41.868GJ</w:t>
      </w:r>
    </w:p>
    <w:p w:rsidR="00E47FAC" w:rsidRPr="007E5BB4" w:rsidRDefault="00E47FAC" w:rsidP="00E47FAC">
      <w:pPr>
        <w:spacing w:before="0" w:after="0"/>
        <w:rPr>
          <w:rFonts w:ascii="Verdana" w:hAnsi="Verdana"/>
        </w:rPr>
      </w:pPr>
      <w:r w:rsidRPr="007E5BB4">
        <w:rPr>
          <w:rFonts w:ascii="Verdana" w:hAnsi="Verdana"/>
        </w:rPr>
        <w:tab/>
        <w:t>1 toe = 41.868 x 25.8 x 44/12 kg CO</w:t>
      </w:r>
      <w:r w:rsidRPr="00900256">
        <w:rPr>
          <w:rFonts w:ascii="Verdana" w:hAnsi="Verdana"/>
          <w:vertAlign w:val="subscript"/>
        </w:rPr>
        <w:t>2</w:t>
      </w:r>
    </w:p>
    <w:p w:rsidR="00E47FAC" w:rsidRPr="007E5BB4" w:rsidRDefault="00E47FAC" w:rsidP="00E47FAC">
      <w:pPr>
        <w:spacing w:before="0" w:after="0"/>
        <w:rPr>
          <w:rFonts w:ascii="Verdana" w:hAnsi="Verdana"/>
        </w:rPr>
      </w:pPr>
      <w:r w:rsidRPr="007E5BB4">
        <w:rPr>
          <w:rFonts w:ascii="Verdana" w:hAnsi="Verdana"/>
        </w:rPr>
        <w:tab/>
        <w:t>1 toe = 41.868 x 25.8 x 44/12 x 1/1000 tonn CO</w:t>
      </w:r>
      <w:r w:rsidRPr="00900256">
        <w:rPr>
          <w:rFonts w:ascii="Verdana" w:hAnsi="Verdana"/>
          <w:vertAlign w:val="subscript"/>
        </w:rPr>
        <w:t>2</w:t>
      </w:r>
    </w:p>
    <w:p w:rsidR="00E47FAC" w:rsidRPr="007E5BB4" w:rsidRDefault="00E47FAC" w:rsidP="00E47FAC">
      <w:pPr>
        <w:spacing w:before="0" w:after="0"/>
        <w:rPr>
          <w:rFonts w:ascii="Verdana" w:hAnsi="Verdana"/>
        </w:rPr>
      </w:pPr>
      <w:r w:rsidRPr="007E5BB4">
        <w:rPr>
          <w:rFonts w:ascii="Verdana" w:hAnsi="Verdana"/>
        </w:rPr>
        <w:tab/>
        <w:t>1 toe = 3.961 tonni CO</w:t>
      </w:r>
      <w:r w:rsidRPr="00900256">
        <w:rPr>
          <w:rFonts w:ascii="Verdana" w:hAnsi="Verdana"/>
          <w:vertAlign w:val="subscript"/>
        </w:rPr>
        <w:t>2</w:t>
      </w:r>
      <w:r w:rsidRPr="007E5BB4">
        <w:rPr>
          <w:rFonts w:ascii="Verdana" w:hAnsi="Verdana"/>
        </w:rPr>
        <w:t xml:space="preserve">  (25.8 x 44/12 x 41.868/1000 = 3.961)</w:t>
      </w:r>
    </w:p>
    <w:p w:rsidR="00E47FAC" w:rsidRPr="00556AAF" w:rsidRDefault="00E47FAC" w:rsidP="00900256">
      <w:pPr>
        <w:pStyle w:val="Normaallaadveeb"/>
        <w:jc w:val="both"/>
        <w:rPr>
          <w:rFonts w:ascii="Verdana" w:hAnsi="Verdana"/>
          <w:lang w:val="et-EE"/>
        </w:rPr>
      </w:pPr>
      <w:r w:rsidRPr="00556AAF">
        <w:rPr>
          <w:rFonts w:ascii="Verdana" w:hAnsi="Verdana"/>
          <w:lang w:val="et-EE"/>
        </w:rPr>
        <w:t>Mõningatel juhtudel seda tüüpi kalkulatsioonid sisaldavad ka oksüdeerumisfaktorite arvestamist (näiteks 0.98 tahkete kütuste jaoks).</w:t>
      </w:r>
    </w:p>
    <w:p w:rsidR="00E47FAC" w:rsidRPr="00556AAF" w:rsidRDefault="00E47FAC" w:rsidP="008D1402">
      <w:pPr>
        <w:spacing w:before="100" w:beforeAutospacing="1" w:after="100" w:afterAutospacing="1"/>
        <w:jc w:val="both"/>
        <w:rPr>
          <w:rFonts w:ascii="Verdana" w:hAnsi="Verdana"/>
        </w:rPr>
      </w:pPr>
    </w:p>
    <w:p w:rsidR="00C61F7A" w:rsidRDefault="00C61F7A" w:rsidP="00C61F7A">
      <w:pPr>
        <w:pStyle w:val="Pealdis"/>
        <w:keepNext/>
      </w:pPr>
      <w:r>
        <w:lastRenderedPageBreak/>
        <w:t xml:space="preserve">Tabel </w:t>
      </w:r>
      <w:fldSimple w:instr=" SEQ Tabel \* ARABIC ">
        <w:r w:rsidR="0065395C">
          <w:rPr>
            <w:noProof/>
          </w:rPr>
          <w:t>1</w:t>
        </w:r>
      </w:fldSimple>
    </w:p>
    <w:tbl>
      <w:tblPr>
        <w:tblStyle w:val="Keskminevarjustus2rhk1"/>
        <w:tblW w:w="0" w:type="auto"/>
        <w:tblLayout w:type="fixed"/>
        <w:tblLook w:val="04A0" w:firstRow="1" w:lastRow="0" w:firstColumn="1" w:lastColumn="0" w:noHBand="0" w:noVBand="1"/>
      </w:tblPr>
      <w:tblGrid>
        <w:gridCol w:w="2093"/>
        <w:gridCol w:w="1843"/>
        <w:gridCol w:w="1701"/>
        <w:gridCol w:w="1842"/>
        <w:gridCol w:w="2127"/>
      </w:tblGrid>
      <w:tr w:rsidR="00691590" w:rsidTr="00534A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06" w:type="dxa"/>
            <w:gridSpan w:val="5"/>
          </w:tcPr>
          <w:p w:rsidR="00691590" w:rsidRPr="00735AC6" w:rsidRDefault="00691590" w:rsidP="00735AC6">
            <w:pPr>
              <w:spacing w:before="100" w:beforeAutospacing="1" w:after="100" w:afterAutospacing="1"/>
              <w:jc w:val="center"/>
              <w:rPr>
                <w:rFonts w:ascii="Verdana" w:hAnsi="Verdana"/>
              </w:rPr>
            </w:pPr>
            <w:r w:rsidRPr="00735AC6">
              <w:rPr>
                <w:rFonts w:ascii="Verdana" w:hAnsi="Verdana"/>
              </w:rPr>
              <w:t>CEFIC poolt kasutatavad konverteerimisfaktorid</w:t>
            </w:r>
          </w:p>
        </w:tc>
      </w:tr>
      <w:tr w:rsidR="00691590" w:rsidTr="00534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91590" w:rsidRPr="00735AC6" w:rsidRDefault="00691590" w:rsidP="00735AC6">
            <w:pPr>
              <w:spacing w:before="100" w:beforeAutospacing="1" w:after="100" w:afterAutospacing="1"/>
              <w:rPr>
                <w:rFonts w:ascii="Verdana" w:hAnsi="Verdana"/>
              </w:rPr>
            </w:pPr>
          </w:p>
        </w:tc>
        <w:tc>
          <w:tcPr>
            <w:tcW w:w="1843" w:type="dxa"/>
          </w:tcPr>
          <w:p w:rsidR="00691590" w:rsidRPr="00735AC6" w:rsidRDefault="00691590"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Süsiniku heitekoefitsient</w:t>
            </w:r>
          </w:p>
        </w:tc>
        <w:tc>
          <w:tcPr>
            <w:tcW w:w="1701" w:type="dxa"/>
          </w:tcPr>
          <w:p w:rsidR="00691590" w:rsidRPr="00735AC6" w:rsidRDefault="003E2D22"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CO</w:t>
            </w:r>
            <w:r w:rsidRPr="00735AC6">
              <w:rPr>
                <w:rFonts w:ascii="Verdana" w:hAnsi="Verdana"/>
                <w:vertAlign w:val="subscript"/>
              </w:rPr>
              <w:t>2</w:t>
            </w:r>
            <w:r w:rsidRPr="00735AC6">
              <w:rPr>
                <w:rFonts w:ascii="Verdana" w:hAnsi="Verdana"/>
              </w:rPr>
              <w:t>/C molaarmassi suhe</w:t>
            </w:r>
          </w:p>
        </w:tc>
        <w:tc>
          <w:tcPr>
            <w:tcW w:w="1842" w:type="dxa"/>
          </w:tcPr>
          <w:p w:rsidR="00691590" w:rsidRPr="00735AC6" w:rsidRDefault="003E2D22"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CO</w:t>
            </w:r>
            <w:r w:rsidRPr="00735AC6">
              <w:rPr>
                <w:rFonts w:ascii="Verdana" w:hAnsi="Verdana"/>
                <w:vertAlign w:val="subscript"/>
              </w:rPr>
              <w:t>2</w:t>
            </w:r>
            <w:r w:rsidR="0065395C" w:rsidRPr="00735AC6">
              <w:rPr>
                <w:rFonts w:ascii="Verdana" w:hAnsi="Verdana"/>
              </w:rPr>
              <w:t xml:space="preserve"> heite</w:t>
            </w:r>
            <w:r w:rsidRPr="00735AC6">
              <w:rPr>
                <w:rFonts w:ascii="Verdana" w:hAnsi="Verdana"/>
              </w:rPr>
              <w:t>koefitsient</w:t>
            </w:r>
          </w:p>
        </w:tc>
        <w:tc>
          <w:tcPr>
            <w:tcW w:w="2127" w:type="dxa"/>
          </w:tcPr>
          <w:p w:rsidR="00691590" w:rsidRPr="00735AC6" w:rsidRDefault="003E2D22"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CO</w:t>
            </w:r>
            <w:r w:rsidRPr="00735AC6">
              <w:rPr>
                <w:rFonts w:ascii="Verdana" w:hAnsi="Verdana"/>
                <w:vertAlign w:val="subscript"/>
              </w:rPr>
              <w:t>2</w:t>
            </w:r>
            <w:r w:rsidR="0065395C" w:rsidRPr="00735AC6">
              <w:rPr>
                <w:rFonts w:ascii="Verdana" w:hAnsi="Verdana"/>
              </w:rPr>
              <w:t xml:space="preserve"> heite</w:t>
            </w:r>
            <w:r w:rsidRPr="00735AC6">
              <w:rPr>
                <w:rFonts w:ascii="Verdana" w:hAnsi="Verdana"/>
              </w:rPr>
              <w:t>koefitsient</w:t>
            </w:r>
          </w:p>
        </w:tc>
      </w:tr>
      <w:tr w:rsidR="00691590" w:rsidTr="00534AFD">
        <w:tc>
          <w:tcPr>
            <w:cnfStyle w:val="001000000000" w:firstRow="0" w:lastRow="0" w:firstColumn="1" w:lastColumn="0" w:oddVBand="0" w:evenVBand="0" w:oddHBand="0" w:evenHBand="0" w:firstRowFirstColumn="0" w:firstRowLastColumn="0" w:lastRowFirstColumn="0" w:lastRowLastColumn="0"/>
            <w:tcW w:w="2093" w:type="dxa"/>
          </w:tcPr>
          <w:p w:rsidR="00691590" w:rsidRPr="00735AC6" w:rsidRDefault="00691590" w:rsidP="00735AC6">
            <w:pPr>
              <w:spacing w:before="100" w:beforeAutospacing="1" w:after="100" w:afterAutospacing="1"/>
              <w:rPr>
                <w:rFonts w:ascii="Verdana" w:hAnsi="Verdana"/>
              </w:rPr>
            </w:pPr>
            <w:r w:rsidRPr="00735AC6">
              <w:rPr>
                <w:rFonts w:ascii="Verdana" w:hAnsi="Verdana"/>
              </w:rPr>
              <w:t>Ühik</w:t>
            </w:r>
          </w:p>
        </w:tc>
        <w:tc>
          <w:tcPr>
            <w:tcW w:w="1843" w:type="dxa"/>
          </w:tcPr>
          <w:p w:rsidR="00691590" w:rsidRPr="00735AC6" w:rsidRDefault="003E2D22" w:rsidP="00735AC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kg C/GJ</w:t>
            </w:r>
          </w:p>
        </w:tc>
        <w:tc>
          <w:tcPr>
            <w:tcW w:w="1701" w:type="dxa"/>
          </w:tcPr>
          <w:p w:rsidR="00691590" w:rsidRPr="00990C87" w:rsidRDefault="006314FA" w:rsidP="00C61F7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m:oMathPara>
              <m:oMath>
                <m:f>
                  <m:fPr>
                    <m:ctrlPr>
                      <w:rPr>
                        <w:rFonts w:ascii="Cambria Math" w:hAnsi="Cambria Math"/>
                        <w:i/>
                      </w:rPr>
                    </m:ctrlPr>
                  </m:fPr>
                  <m:num>
                    <m:r>
                      <w:rPr>
                        <w:rFonts w:ascii="Cambria Math" w:hAnsi="Cambria Math"/>
                      </w:rPr>
                      <m:t>44 g/mol</m:t>
                    </m:r>
                  </m:num>
                  <m:den>
                    <m:r>
                      <w:rPr>
                        <w:rFonts w:ascii="Cambria Math" w:hAnsi="Cambria Math"/>
                      </w:rPr>
                      <m:t>12 g/mol</m:t>
                    </m:r>
                  </m:den>
                </m:f>
              </m:oMath>
            </m:oMathPara>
          </w:p>
        </w:tc>
        <w:tc>
          <w:tcPr>
            <w:tcW w:w="1842" w:type="dxa"/>
          </w:tcPr>
          <w:p w:rsidR="00691590" w:rsidRPr="00735AC6" w:rsidRDefault="003E2D22" w:rsidP="00735AC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kg CO</w:t>
            </w:r>
            <w:r w:rsidRPr="00735AC6">
              <w:rPr>
                <w:rFonts w:ascii="Verdana" w:hAnsi="Verdana"/>
                <w:vertAlign w:val="subscript"/>
              </w:rPr>
              <w:t>2</w:t>
            </w:r>
            <w:r w:rsidRPr="00735AC6">
              <w:rPr>
                <w:rFonts w:ascii="Verdana" w:hAnsi="Verdana"/>
              </w:rPr>
              <w:t>/GJ</w:t>
            </w:r>
          </w:p>
        </w:tc>
        <w:tc>
          <w:tcPr>
            <w:tcW w:w="2127" w:type="dxa"/>
          </w:tcPr>
          <w:p w:rsidR="00691590" w:rsidRPr="00735AC6" w:rsidRDefault="004E6B63" w:rsidP="00735AC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tonn</w:t>
            </w:r>
            <w:r w:rsidR="003E2D22" w:rsidRPr="00735AC6">
              <w:rPr>
                <w:rFonts w:ascii="Verdana" w:hAnsi="Verdana"/>
              </w:rPr>
              <w:t xml:space="preserve"> CO</w:t>
            </w:r>
            <w:r w:rsidR="003E2D22" w:rsidRPr="00735AC6">
              <w:rPr>
                <w:rFonts w:ascii="Verdana" w:hAnsi="Verdana"/>
                <w:vertAlign w:val="subscript"/>
              </w:rPr>
              <w:t>2</w:t>
            </w:r>
            <w:r w:rsidR="003E2D22" w:rsidRPr="00735AC6">
              <w:rPr>
                <w:rFonts w:ascii="Verdana" w:hAnsi="Verdana"/>
              </w:rPr>
              <w:t>/toe</w:t>
            </w:r>
          </w:p>
        </w:tc>
      </w:tr>
      <w:tr w:rsidR="00691590" w:rsidTr="00534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91590" w:rsidRPr="00735AC6" w:rsidRDefault="00691590" w:rsidP="00735AC6">
            <w:pPr>
              <w:spacing w:before="100" w:beforeAutospacing="1" w:after="100" w:afterAutospacing="1"/>
              <w:rPr>
                <w:rFonts w:ascii="Verdana" w:hAnsi="Verdana"/>
              </w:rPr>
            </w:pPr>
            <w:r w:rsidRPr="00735AC6">
              <w:rPr>
                <w:rFonts w:ascii="Verdana" w:hAnsi="Verdana"/>
              </w:rPr>
              <w:t>Tahke</w:t>
            </w:r>
            <w:r w:rsidR="00534AFD">
              <w:rPr>
                <w:rFonts w:ascii="Verdana" w:hAnsi="Verdana"/>
              </w:rPr>
              <w:t xml:space="preserve"> </w:t>
            </w:r>
            <w:r w:rsidR="003E2D22" w:rsidRPr="00735AC6">
              <w:rPr>
                <w:rFonts w:ascii="Verdana" w:hAnsi="Verdana"/>
              </w:rPr>
              <w:t>(kivisüsi)</w:t>
            </w:r>
          </w:p>
        </w:tc>
        <w:tc>
          <w:tcPr>
            <w:tcW w:w="1843"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25,8</w:t>
            </w:r>
          </w:p>
        </w:tc>
        <w:tc>
          <w:tcPr>
            <w:tcW w:w="1701"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3,67</w:t>
            </w:r>
          </w:p>
        </w:tc>
        <w:tc>
          <w:tcPr>
            <w:tcW w:w="1842"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95</w:t>
            </w:r>
          </w:p>
        </w:tc>
        <w:tc>
          <w:tcPr>
            <w:tcW w:w="2127"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b/>
              </w:rPr>
            </w:pPr>
            <w:r w:rsidRPr="00735AC6">
              <w:rPr>
                <w:rFonts w:ascii="Verdana" w:hAnsi="Verdana"/>
                <w:b/>
              </w:rPr>
              <w:t>3,961</w:t>
            </w:r>
          </w:p>
        </w:tc>
      </w:tr>
      <w:tr w:rsidR="00691590" w:rsidTr="00534AFD">
        <w:tc>
          <w:tcPr>
            <w:cnfStyle w:val="001000000000" w:firstRow="0" w:lastRow="0" w:firstColumn="1" w:lastColumn="0" w:oddVBand="0" w:evenVBand="0" w:oddHBand="0" w:evenHBand="0" w:firstRowFirstColumn="0" w:firstRowLastColumn="0" w:lastRowFirstColumn="0" w:lastRowLastColumn="0"/>
            <w:tcW w:w="2093" w:type="dxa"/>
          </w:tcPr>
          <w:p w:rsidR="00691590" w:rsidRPr="00735AC6" w:rsidRDefault="00691590" w:rsidP="00534AFD">
            <w:pPr>
              <w:spacing w:before="100" w:beforeAutospacing="1" w:after="100" w:afterAutospacing="1"/>
              <w:rPr>
                <w:rFonts w:ascii="Verdana" w:hAnsi="Verdana"/>
              </w:rPr>
            </w:pPr>
            <w:r w:rsidRPr="00735AC6">
              <w:rPr>
                <w:rFonts w:ascii="Verdana" w:hAnsi="Verdana"/>
              </w:rPr>
              <w:t>Vedel</w:t>
            </w:r>
            <w:r w:rsidR="003E2D22" w:rsidRPr="00735AC6">
              <w:rPr>
                <w:rFonts w:ascii="Verdana" w:hAnsi="Verdana"/>
              </w:rPr>
              <w:t xml:space="preserve"> (toorõli)</w:t>
            </w:r>
          </w:p>
        </w:tc>
        <w:tc>
          <w:tcPr>
            <w:tcW w:w="1843" w:type="dxa"/>
          </w:tcPr>
          <w:p w:rsidR="00691590" w:rsidRPr="00735AC6" w:rsidRDefault="003E2D22"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20,0</w:t>
            </w:r>
          </w:p>
        </w:tc>
        <w:tc>
          <w:tcPr>
            <w:tcW w:w="1701" w:type="dxa"/>
          </w:tcPr>
          <w:p w:rsidR="00691590" w:rsidRPr="00735AC6" w:rsidRDefault="003E2D22"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3,67</w:t>
            </w:r>
          </w:p>
        </w:tc>
        <w:tc>
          <w:tcPr>
            <w:tcW w:w="1842" w:type="dxa"/>
          </w:tcPr>
          <w:p w:rsidR="00691590" w:rsidRPr="00735AC6" w:rsidRDefault="003E2D22"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73</w:t>
            </w:r>
          </w:p>
        </w:tc>
        <w:tc>
          <w:tcPr>
            <w:tcW w:w="2127" w:type="dxa"/>
          </w:tcPr>
          <w:p w:rsidR="00691590" w:rsidRPr="00735AC6" w:rsidRDefault="003E2D22"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b/>
              </w:rPr>
            </w:pPr>
            <w:r w:rsidRPr="00735AC6">
              <w:rPr>
                <w:rFonts w:ascii="Verdana" w:hAnsi="Verdana"/>
                <w:b/>
              </w:rPr>
              <w:t>3,070</w:t>
            </w:r>
          </w:p>
        </w:tc>
      </w:tr>
      <w:tr w:rsidR="00691590" w:rsidTr="00534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91590" w:rsidRPr="00735AC6" w:rsidRDefault="00691590" w:rsidP="00735AC6">
            <w:pPr>
              <w:spacing w:before="100" w:beforeAutospacing="1" w:after="100" w:afterAutospacing="1"/>
              <w:rPr>
                <w:rFonts w:ascii="Verdana" w:hAnsi="Verdana"/>
              </w:rPr>
            </w:pPr>
            <w:r w:rsidRPr="00735AC6">
              <w:rPr>
                <w:rFonts w:ascii="Verdana" w:hAnsi="Verdana"/>
              </w:rPr>
              <w:t>Gaasiline</w:t>
            </w:r>
            <w:r w:rsidR="003E2D22" w:rsidRPr="00735AC6">
              <w:rPr>
                <w:rFonts w:ascii="Verdana" w:hAnsi="Verdana"/>
              </w:rPr>
              <w:t xml:space="preserve"> (looduslik gaas)</w:t>
            </w:r>
          </w:p>
        </w:tc>
        <w:tc>
          <w:tcPr>
            <w:tcW w:w="1843"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15,3</w:t>
            </w:r>
          </w:p>
        </w:tc>
        <w:tc>
          <w:tcPr>
            <w:tcW w:w="1701"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3,67</w:t>
            </w:r>
          </w:p>
        </w:tc>
        <w:tc>
          <w:tcPr>
            <w:tcW w:w="1842"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56</w:t>
            </w:r>
          </w:p>
        </w:tc>
        <w:tc>
          <w:tcPr>
            <w:tcW w:w="2127" w:type="dxa"/>
          </w:tcPr>
          <w:p w:rsidR="00691590" w:rsidRPr="00735AC6" w:rsidRDefault="003E2D22"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b/>
              </w:rPr>
            </w:pPr>
            <w:r w:rsidRPr="00735AC6">
              <w:rPr>
                <w:rFonts w:ascii="Verdana" w:hAnsi="Verdana"/>
                <w:b/>
              </w:rPr>
              <w:t>2,349</w:t>
            </w:r>
          </w:p>
        </w:tc>
      </w:tr>
      <w:tr w:rsidR="003E2D22" w:rsidTr="00534AFD">
        <w:tc>
          <w:tcPr>
            <w:cnfStyle w:val="001000000000" w:firstRow="0" w:lastRow="0" w:firstColumn="1" w:lastColumn="0" w:oddVBand="0" w:evenVBand="0" w:oddHBand="0" w:evenHBand="0" w:firstRowFirstColumn="0" w:firstRowLastColumn="0" w:lastRowFirstColumn="0" w:lastRowLastColumn="0"/>
            <w:tcW w:w="9606" w:type="dxa"/>
            <w:gridSpan w:val="5"/>
          </w:tcPr>
          <w:p w:rsidR="003E2D22" w:rsidRPr="00735AC6" w:rsidRDefault="003E2D22" w:rsidP="00735AC6">
            <w:pPr>
              <w:spacing w:before="100" w:beforeAutospacing="1" w:after="100" w:afterAutospacing="1"/>
              <w:rPr>
                <w:rFonts w:ascii="Verdana" w:hAnsi="Verdana"/>
                <w:b w:val="0"/>
              </w:rPr>
            </w:pPr>
            <w:r w:rsidRPr="00735AC6">
              <w:rPr>
                <w:rFonts w:ascii="Verdana" w:hAnsi="Verdana"/>
              </w:rPr>
              <w:t xml:space="preserve">Märkus: </w:t>
            </w:r>
            <w:r w:rsidRPr="00735AC6">
              <w:rPr>
                <w:rFonts w:ascii="Verdana" w:hAnsi="Verdana"/>
                <w:b w:val="0"/>
              </w:rPr>
              <w:t>1 toe = 41,868 GJ</w:t>
            </w:r>
            <w:r w:rsidR="006D79D5" w:rsidRPr="00735AC6">
              <w:rPr>
                <w:rFonts w:ascii="Verdana" w:hAnsi="Verdana"/>
                <w:b w:val="0"/>
              </w:rPr>
              <w:t xml:space="preserve"> = 11.630 kWh</w:t>
            </w:r>
          </w:p>
          <w:p w:rsidR="006D79D5" w:rsidRPr="00735AC6" w:rsidRDefault="006D79D5" w:rsidP="00735AC6">
            <w:pPr>
              <w:spacing w:before="100" w:beforeAutospacing="1" w:after="100" w:afterAutospacing="1"/>
              <w:rPr>
                <w:rFonts w:ascii="Verdana" w:hAnsi="Verdana"/>
              </w:rPr>
            </w:pPr>
            <w:r w:rsidRPr="00735AC6">
              <w:rPr>
                <w:rFonts w:ascii="Verdana" w:hAnsi="Verdana"/>
                <w:b w:val="0"/>
              </w:rPr>
              <w:t xml:space="preserve">NB! Konverteerimise hõlbustamiseks kasutada Energia Agentuuri (IEA) kalkulaatorit: </w:t>
            </w:r>
            <w:hyperlink r:id="rId25" w:history="1">
              <w:r w:rsidRPr="00735AC6">
                <w:rPr>
                  <w:rStyle w:val="Hperlink"/>
                  <w:rFonts w:ascii="Verdana" w:hAnsi="Verdana"/>
                  <w:b w:val="0"/>
                </w:rPr>
                <w:t>http://www.iea.org/stats/unit.asp</w:t>
              </w:r>
            </w:hyperlink>
          </w:p>
        </w:tc>
      </w:tr>
    </w:tbl>
    <w:p w:rsidR="007E5BB4" w:rsidRPr="00E47FAC" w:rsidRDefault="00D13871" w:rsidP="00900256">
      <w:pPr>
        <w:jc w:val="both"/>
      </w:pPr>
      <w:r w:rsidRPr="00556AAF">
        <w:rPr>
          <w:rFonts w:ascii="Verdana" w:hAnsi="Verdana"/>
        </w:rPr>
        <w:t xml:space="preserve">Vea marginaal, mis tuleneb nende eelduste </w:t>
      </w:r>
      <w:r w:rsidR="0065395C">
        <w:rPr>
          <w:rFonts w:ascii="Verdana" w:hAnsi="Verdana"/>
        </w:rPr>
        <w:t>ja lihtsus</w:t>
      </w:r>
      <w:r w:rsidRPr="00556AAF">
        <w:rPr>
          <w:rFonts w:ascii="Verdana" w:hAnsi="Verdana"/>
        </w:rPr>
        <w:t>t</w:t>
      </w:r>
      <w:r w:rsidR="0065395C">
        <w:rPr>
          <w:rFonts w:ascii="Verdana" w:hAnsi="Verdana"/>
        </w:rPr>
        <w:t>uste kasutamisest</w:t>
      </w:r>
      <w:r w:rsidRPr="00556AAF">
        <w:rPr>
          <w:rFonts w:ascii="Verdana" w:hAnsi="Verdana"/>
        </w:rPr>
        <w:t xml:space="preserve"> on </w:t>
      </w:r>
      <w:r w:rsidR="00E708AC">
        <w:rPr>
          <w:rFonts w:ascii="Verdana" w:hAnsi="Verdana"/>
        </w:rPr>
        <w:t>väike</w:t>
      </w:r>
      <w:r w:rsidRPr="00556AAF">
        <w:rPr>
          <w:rFonts w:ascii="Verdana" w:hAnsi="Verdana"/>
        </w:rPr>
        <w:t>, kuna CO</w:t>
      </w:r>
      <w:r w:rsidRPr="00556AAF">
        <w:rPr>
          <w:rFonts w:ascii="Verdana" w:hAnsi="Verdana"/>
          <w:vertAlign w:val="subscript"/>
        </w:rPr>
        <w:t>2</w:t>
      </w:r>
      <w:r w:rsidRPr="00556AAF">
        <w:rPr>
          <w:rFonts w:ascii="Verdana" w:hAnsi="Verdana"/>
        </w:rPr>
        <w:t xml:space="preserve"> heite</w:t>
      </w:r>
      <w:r w:rsidR="0065395C">
        <w:rPr>
          <w:rFonts w:ascii="Verdana" w:hAnsi="Verdana"/>
        </w:rPr>
        <w:t xml:space="preserve">koefitsiendid </w:t>
      </w:r>
      <w:r w:rsidRPr="00556AAF">
        <w:rPr>
          <w:rFonts w:ascii="Verdana" w:hAnsi="Verdana"/>
        </w:rPr>
        <w:t>on väga ligilähedased sama klassi kütuste h</w:t>
      </w:r>
      <w:r w:rsidR="007E5BB4">
        <w:rPr>
          <w:rFonts w:ascii="Verdana" w:hAnsi="Verdana"/>
        </w:rPr>
        <w:t>ulgas (vaata allolevat tabelit)</w:t>
      </w:r>
    </w:p>
    <w:p w:rsidR="0065395C" w:rsidRDefault="0065395C" w:rsidP="0065395C">
      <w:pPr>
        <w:pStyle w:val="Pealdis"/>
        <w:keepNext/>
      </w:pPr>
      <w:r>
        <w:t xml:space="preserve">Tabel </w:t>
      </w:r>
      <w:fldSimple w:instr=" SEQ Tabel \* ARABIC ">
        <w:r>
          <w:rPr>
            <w:noProof/>
          </w:rPr>
          <w:t>2</w:t>
        </w:r>
      </w:fldSimple>
    </w:p>
    <w:tbl>
      <w:tblPr>
        <w:tblStyle w:val="Keskminekoordinaatvrk1rhk1"/>
        <w:tblW w:w="5000" w:type="pct"/>
        <w:tblLook w:val="0000" w:firstRow="0" w:lastRow="0" w:firstColumn="0" w:lastColumn="0" w:noHBand="0" w:noVBand="0"/>
      </w:tblPr>
      <w:tblGrid>
        <w:gridCol w:w="2686"/>
        <w:gridCol w:w="2472"/>
        <w:gridCol w:w="1990"/>
        <w:gridCol w:w="2472"/>
      </w:tblGrid>
      <w:tr w:rsidR="007E5BB4" w:rsidRPr="007E5BB4" w:rsidTr="00E47F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4"/>
          </w:tcPr>
          <w:p w:rsidR="007E5BB4" w:rsidRPr="007E5BB4" w:rsidRDefault="00691590" w:rsidP="0065395C">
            <w:pPr>
              <w:jc w:val="center"/>
              <w:rPr>
                <w:b/>
                <w:bCs/>
              </w:rPr>
            </w:pPr>
            <w:r>
              <w:rPr>
                <w:rFonts w:ascii="Verdana" w:hAnsi="Verdana"/>
                <w:b/>
                <w:bCs/>
              </w:rPr>
              <w:t>Süsiniku heite</w:t>
            </w:r>
            <w:r w:rsidR="0065395C">
              <w:rPr>
                <w:rFonts w:ascii="Verdana" w:hAnsi="Verdana"/>
                <w:b/>
                <w:bCs/>
              </w:rPr>
              <w:t xml:space="preserve">koefitsiendid </w:t>
            </w:r>
            <w:r w:rsidR="007E5BB4" w:rsidRPr="007E5BB4">
              <w:rPr>
                <w:rFonts w:ascii="Verdana" w:hAnsi="Verdana"/>
                <w:b/>
                <w:bCs/>
              </w:rPr>
              <w:t xml:space="preserve">(CEF) </w:t>
            </w:r>
          </w:p>
        </w:tc>
      </w:tr>
      <w:tr w:rsidR="0065395C" w:rsidRPr="007E5BB4" w:rsidTr="00E47FA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b/>
              </w:rPr>
            </w:pPr>
            <w:r w:rsidRPr="007E5BB4">
              <w:rPr>
                <w:rFonts w:ascii="Verdana" w:hAnsi="Verdana"/>
                <w:b/>
              </w:rPr>
              <w:t>Kütus</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b/>
                <w:bCs/>
              </w:rPr>
              <w:t>Süsiniku heite</w:t>
            </w:r>
            <w:r w:rsidR="0065395C">
              <w:rPr>
                <w:rFonts w:ascii="Verdana" w:hAnsi="Verdana"/>
                <w:b/>
                <w:bCs/>
              </w:rPr>
              <w:t>keofitsient</w:t>
            </w:r>
            <w:r w:rsidRPr="007E5BB4">
              <w:rPr>
                <w:rFonts w:ascii="Verdana" w:hAnsi="Verdana"/>
                <w:b/>
                <w:bCs/>
              </w:rPr>
              <w:br/>
              <w:t xml:space="preserve">(kg C/GJ)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b/>
              </w:rPr>
            </w:pPr>
            <w:r w:rsidRPr="007E5BB4">
              <w:rPr>
                <w:rFonts w:ascii="Verdana" w:hAnsi="Verdana"/>
                <w:b/>
              </w:rPr>
              <w:t>Kütus</w:t>
            </w:r>
          </w:p>
        </w:tc>
        <w:tc>
          <w:tcPr>
            <w:tcW w:w="0" w:type="auto"/>
          </w:tcPr>
          <w:p w:rsidR="007E5BB4" w:rsidRPr="007E5BB4" w:rsidRDefault="007E5BB4" w:rsidP="0065395C">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b/>
                <w:bCs/>
              </w:rPr>
              <w:t>Süsiniku heite</w:t>
            </w:r>
            <w:r w:rsidR="0065395C">
              <w:rPr>
                <w:rFonts w:ascii="Verdana" w:hAnsi="Verdana"/>
                <w:b/>
                <w:bCs/>
              </w:rPr>
              <w:t>koefitsient</w:t>
            </w:r>
            <w:r w:rsidRPr="007E5BB4">
              <w:rPr>
                <w:rFonts w:ascii="Verdana" w:hAnsi="Verdana"/>
                <w:b/>
                <w:bCs/>
              </w:rPr>
              <w:br/>
              <w:t xml:space="preserve">(kg C/GJ) </w:t>
            </w:r>
          </w:p>
        </w:tc>
      </w:tr>
      <w:tr w:rsidR="0065395C" w:rsidRPr="007E5BB4" w:rsidTr="00E47F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Toornafta</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20,0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Kivisüsi</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25,8 </w:t>
            </w:r>
          </w:p>
        </w:tc>
      </w:tr>
      <w:tr w:rsidR="0065395C" w:rsidRPr="007E5BB4" w:rsidTr="00E47FA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Bensiin</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18,9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Koksisüsi</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25,8 </w:t>
            </w:r>
          </w:p>
        </w:tc>
      </w:tr>
      <w:tr w:rsidR="0065395C" w:rsidRPr="007E5BB4" w:rsidTr="00E47F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Petrooleum</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19,6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Naftakoks</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27,5 </w:t>
            </w:r>
          </w:p>
        </w:tc>
      </w:tr>
      <w:tr w:rsidR="0065395C" w:rsidRPr="007E5BB4" w:rsidTr="00E47FA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Reaktiivkütus</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19,5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Pruunsüsi</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26,1 </w:t>
            </w:r>
          </w:p>
        </w:tc>
      </w:tr>
      <w:tr w:rsidR="0065395C" w:rsidRPr="007E5BB4" w:rsidTr="00E47F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Gaas/diisliõli</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20,2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Bituumensüsi</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27,6 </w:t>
            </w:r>
          </w:p>
        </w:tc>
      </w:tr>
      <w:tr w:rsidR="0065395C" w:rsidRPr="007E5BB4" w:rsidTr="00E47FA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 xml:space="preserve">Jääkkütteõli </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21,1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Turvas</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28,9 </w:t>
            </w:r>
          </w:p>
        </w:tc>
      </w:tr>
      <w:tr w:rsidR="0065395C" w:rsidRPr="007E5BB4" w:rsidTr="00E47F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Nafta</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20,0</w:t>
            </w:r>
            <w:r w:rsidRPr="007E5BB4">
              <w:rPr>
                <w:rFonts w:ascii="Verdana" w:hAnsi="Verdana"/>
                <w:vertAlign w:val="superscript"/>
              </w:rPr>
              <w:t>1</w:t>
            </w:r>
            <w:r w:rsidRPr="007E5BB4">
              <w:rPr>
                <w:rFonts w:ascii="Verdana" w:hAnsi="Verdana"/>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r w:rsidRPr="007E5BB4">
              <w:rPr>
                <w:rFonts w:ascii="Verdana" w:hAnsi="Verdana"/>
              </w:rPr>
              <w:t>BKB &amp; Patentkütus</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25,8</w:t>
            </w:r>
            <w:r w:rsidRPr="007E5BB4">
              <w:rPr>
                <w:rFonts w:ascii="Verdana" w:hAnsi="Verdana"/>
                <w:vertAlign w:val="superscript"/>
              </w:rPr>
              <w:t>1</w:t>
            </w:r>
            <w:r w:rsidRPr="007E5BB4">
              <w:rPr>
                <w:rFonts w:ascii="Verdana" w:hAnsi="Verdana"/>
              </w:rPr>
              <w:t xml:space="preserve"> </w:t>
            </w:r>
          </w:p>
        </w:tc>
      </w:tr>
      <w:tr w:rsidR="0065395C" w:rsidRPr="007E5BB4" w:rsidTr="00E47FA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Bituumen</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22,0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Koks</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29,5 </w:t>
            </w:r>
          </w:p>
        </w:tc>
      </w:tr>
      <w:tr w:rsidR="0065395C" w:rsidRPr="007E5BB4" w:rsidTr="00E47F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Määrdeõlid</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20,0</w:t>
            </w:r>
            <w:r w:rsidRPr="007E5BB4">
              <w:rPr>
                <w:rFonts w:ascii="Verdana" w:hAnsi="Verdana"/>
                <w:vertAlign w:val="superscript"/>
              </w:rPr>
              <w:t>1</w:t>
            </w:r>
            <w:r w:rsidRPr="007E5BB4">
              <w:rPr>
                <w:rFonts w:ascii="Verdana" w:hAnsi="Verdana"/>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Looduslik gaas (kuiv)</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15,3 </w:t>
            </w:r>
          </w:p>
        </w:tc>
      </w:tr>
      <w:tr w:rsidR="0065395C" w:rsidRPr="007E5BB4" w:rsidTr="00E47FA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Naftatöötlemistehase toorõli</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20,0</w:t>
            </w:r>
            <w:r w:rsidRPr="007E5BB4">
              <w:rPr>
                <w:rFonts w:ascii="Verdana" w:hAnsi="Verdana"/>
                <w:vertAlign w:val="superscript"/>
              </w:rPr>
              <w:t>1</w:t>
            </w:r>
            <w:r w:rsidRPr="007E5BB4">
              <w:rPr>
                <w:rFonts w:ascii="Verdana" w:hAnsi="Verdana"/>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Looduslik vedelgaas</w:t>
            </w:r>
          </w:p>
        </w:tc>
        <w:tc>
          <w:tcPr>
            <w:tcW w:w="0" w:type="auto"/>
          </w:tcPr>
          <w:p w:rsidR="007E5BB4" w:rsidRPr="007E5BB4" w:rsidRDefault="007E5BB4" w:rsidP="007E5BB4">
            <w:pPr>
              <w:jc w:val="center"/>
              <w:cnfStyle w:val="000000000000" w:firstRow="0" w:lastRow="0" w:firstColumn="0" w:lastColumn="0" w:oddVBand="0" w:evenVBand="0" w:oddHBand="0" w:evenHBand="0" w:firstRowFirstColumn="0" w:firstRowLastColumn="0" w:lastRowFirstColumn="0" w:lastRowLastColumn="0"/>
            </w:pPr>
            <w:r w:rsidRPr="007E5BB4">
              <w:rPr>
                <w:rFonts w:ascii="Verdana" w:hAnsi="Verdana"/>
              </w:rPr>
              <w:t xml:space="preserve">15,2 </w:t>
            </w:r>
          </w:p>
        </w:tc>
      </w:tr>
      <w:tr w:rsidR="0065395C" w:rsidRPr="007E5BB4" w:rsidTr="00E47F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Teised õlid</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20,0</w:t>
            </w:r>
            <w:r w:rsidRPr="007E5BB4">
              <w:rPr>
                <w:rFonts w:ascii="Verdana" w:hAnsi="Verdana"/>
                <w:vertAlign w:val="superscript"/>
              </w:rPr>
              <w:t>1</w:t>
            </w:r>
            <w:r w:rsidRPr="007E5BB4">
              <w:rPr>
                <w:rFonts w:ascii="Verdana" w:hAnsi="Verdana"/>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7E5BB4" w:rsidRPr="007E5BB4" w:rsidRDefault="007E5BB4" w:rsidP="007E5BB4">
            <w:pPr>
              <w:rPr>
                <w:rFonts w:ascii="Verdana" w:hAnsi="Verdana"/>
              </w:rPr>
            </w:pPr>
            <w:r w:rsidRPr="007E5BB4">
              <w:rPr>
                <w:rFonts w:ascii="Verdana" w:hAnsi="Verdana"/>
              </w:rPr>
              <w:t>Veeldatud naftagaasid</w:t>
            </w:r>
          </w:p>
        </w:tc>
        <w:tc>
          <w:tcPr>
            <w:tcW w:w="0" w:type="auto"/>
          </w:tcPr>
          <w:p w:rsidR="007E5BB4" w:rsidRPr="007E5BB4" w:rsidRDefault="007E5BB4" w:rsidP="007E5BB4">
            <w:pPr>
              <w:jc w:val="center"/>
              <w:cnfStyle w:val="000000100000" w:firstRow="0" w:lastRow="0" w:firstColumn="0" w:lastColumn="0" w:oddVBand="0" w:evenVBand="0" w:oddHBand="1" w:evenHBand="0" w:firstRowFirstColumn="0" w:firstRowLastColumn="0" w:lastRowFirstColumn="0" w:lastRowLastColumn="0"/>
            </w:pPr>
            <w:r w:rsidRPr="007E5BB4">
              <w:rPr>
                <w:rFonts w:ascii="Verdana" w:hAnsi="Verdana"/>
              </w:rPr>
              <w:t xml:space="preserve">17,2 </w:t>
            </w:r>
          </w:p>
        </w:tc>
      </w:tr>
    </w:tbl>
    <w:p w:rsidR="0039600B" w:rsidRDefault="00E708AC" w:rsidP="0039600B">
      <w:pPr>
        <w:pStyle w:val="Normaallaadveeb"/>
        <w:spacing w:after="0" w:afterAutospacing="0"/>
        <w:rPr>
          <w:rFonts w:ascii="Verdana" w:hAnsi="Verdana"/>
          <w:sz w:val="15"/>
          <w:szCs w:val="15"/>
          <w:lang w:val="et-EE"/>
        </w:rPr>
      </w:pPr>
      <w:r w:rsidRPr="00556AAF">
        <w:rPr>
          <w:rFonts w:ascii="Verdana" w:hAnsi="Verdana"/>
          <w:sz w:val="15"/>
          <w:szCs w:val="15"/>
          <w:vertAlign w:val="superscript"/>
          <w:lang w:val="et-EE"/>
        </w:rPr>
        <w:t>1</w:t>
      </w:r>
      <w:r w:rsidRPr="00556AAF">
        <w:rPr>
          <w:rFonts w:ascii="Verdana" w:hAnsi="Verdana"/>
          <w:sz w:val="15"/>
          <w:szCs w:val="15"/>
          <w:lang w:val="et-EE"/>
        </w:rPr>
        <w:t xml:space="preserve"> See väärtus on vaikimisi kokku lepitud kuni kütuse spetsiifiline CEF on määratud.</w:t>
      </w:r>
      <w:r w:rsidRPr="00556AAF">
        <w:rPr>
          <w:rFonts w:ascii="Verdana" w:hAnsi="Verdana"/>
          <w:sz w:val="15"/>
          <w:szCs w:val="15"/>
          <w:lang w:val="et-EE"/>
        </w:rPr>
        <w:br/>
        <w:t xml:space="preserve">Allikas: </w:t>
      </w:r>
    </w:p>
    <w:p w:rsidR="00E708AC" w:rsidRDefault="00E708AC" w:rsidP="0039600B">
      <w:pPr>
        <w:pStyle w:val="Normaallaadveeb"/>
        <w:numPr>
          <w:ilvl w:val="0"/>
          <w:numId w:val="35"/>
        </w:numPr>
        <w:spacing w:before="0" w:beforeAutospacing="0" w:after="0" w:afterAutospacing="0"/>
        <w:rPr>
          <w:rFonts w:ascii="Verdana" w:hAnsi="Verdana"/>
          <w:sz w:val="15"/>
          <w:szCs w:val="15"/>
          <w:lang w:val="et-EE"/>
        </w:rPr>
      </w:pPr>
      <w:r w:rsidRPr="00556AAF">
        <w:rPr>
          <w:rFonts w:ascii="Verdana" w:hAnsi="Verdana"/>
          <w:sz w:val="15"/>
          <w:szCs w:val="15"/>
          <w:lang w:val="et-EE"/>
        </w:rPr>
        <w:t>Kasvuhoonegaaside aruandluse käsiraamat, 2. köide; IPCC/OECD Ühisprogramm</w:t>
      </w:r>
    </w:p>
    <w:p w:rsidR="0039600B" w:rsidRPr="0039600B" w:rsidRDefault="0039600B" w:rsidP="0039600B">
      <w:pPr>
        <w:pStyle w:val="Normaallaadveeb"/>
        <w:numPr>
          <w:ilvl w:val="0"/>
          <w:numId w:val="35"/>
        </w:numPr>
        <w:spacing w:before="0" w:beforeAutospacing="0" w:after="0" w:afterAutospacing="0"/>
        <w:rPr>
          <w:rFonts w:ascii="Verdana" w:hAnsi="Verdana"/>
          <w:sz w:val="15"/>
          <w:szCs w:val="15"/>
          <w:lang w:val="et-EE"/>
        </w:rPr>
      </w:pPr>
      <w:r w:rsidRPr="0039600B">
        <w:rPr>
          <w:rFonts w:ascii="Verdana" w:hAnsi="Verdana"/>
          <w:sz w:val="15"/>
          <w:szCs w:val="15"/>
          <w:lang w:val="et-EE"/>
        </w:rPr>
        <w:t>KOMISJONI OTSUS,</w:t>
      </w:r>
      <w:r>
        <w:rPr>
          <w:rFonts w:ascii="Verdana" w:hAnsi="Verdana"/>
          <w:sz w:val="15"/>
          <w:szCs w:val="15"/>
          <w:lang w:val="et-EE"/>
        </w:rPr>
        <w:t xml:space="preserve"> </w:t>
      </w:r>
      <w:r w:rsidRPr="0039600B">
        <w:rPr>
          <w:rFonts w:ascii="Verdana" w:hAnsi="Verdana"/>
          <w:sz w:val="15"/>
          <w:szCs w:val="15"/>
          <w:lang w:val="et-EE"/>
        </w:rPr>
        <w:t>18. juuli 2007,</w:t>
      </w:r>
      <w:r>
        <w:rPr>
          <w:rFonts w:ascii="Verdana" w:hAnsi="Verdana"/>
          <w:sz w:val="15"/>
          <w:szCs w:val="15"/>
          <w:lang w:val="et-EE"/>
        </w:rPr>
        <w:t xml:space="preserve"> </w:t>
      </w:r>
      <w:r w:rsidRPr="0039600B">
        <w:rPr>
          <w:rFonts w:ascii="Verdana" w:hAnsi="Verdana"/>
          <w:sz w:val="15"/>
          <w:szCs w:val="15"/>
          <w:lang w:val="et-EE"/>
        </w:rPr>
        <w:t>millega kehtestatakse Euroopa Parlamendi ja nõukogu direktiivi 2003/87/EÜ kohaselt</w:t>
      </w:r>
      <w:r>
        <w:rPr>
          <w:rFonts w:ascii="Verdana" w:hAnsi="Verdana"/>
          <w:sz w:val="15"/>
          <w:szCs w:val="15"/>
          <w:lang w:val="et-EE"/>
        </w:rPr>
        <w:t xml:space="preserve"> </w:t>
      </w:r>
      <w:r w:rsidRPr="0039600B">
        <w:rPr>
          <w:rFonts w:ascii="Verdana" w:hAnsi="Verdana"/>
          <w:sz w:val="15"/>
          <w:szCs w:val="15"/>
          <w:lang w:val="et-EE"/>
        </w:rPr>
        <w:t>kasvuhoonegaaside heiteseire ja aruandluse suunised</w:t>
      </w:r>
      <w:r>
        <w:rPr>
          <w:rFonts w:ascii="Verdana" w:hAnsi="Verdana"/>
          <w:sz w:val="15"/>
          <w:szCs w:val="15"/>
          <w:lang w:val="et-EE"/>
        </w:rPr>
        <w:t xml:space="preserve"> </w:t>
      </w:r>
      <w:r w:rsidRPr="0039600B">
        <w:rPr>
          <w:rFonts w:ascii="Verdana" w:hAnsi="Verdana"/>
          <w:sz w:val="15"/>
          <w:szCs w:val="15"/>
          <w:lang w:val="et-EE"/>
        </w:rPr>
        <w:t>(teatavaks tehtud numbri K(2007) 3416 all)</w:t>
      </w:r>
      <w:r>
        <w:rPr>
          <w:rFonts w:ascii="Verdana" w:hAnsi="Verdana"/>
          <w:sz w:val="15"/>
          <w:szCs w:val="15"/>
          <w:lang w:val="et-EE"/>
        </w:rPr>
        <w:t xml:space="preserve"> </w:t>
      </w:r>
      <w:r w:rsidRPr="0039600B">
        <w:rPr>
          <w:rFonts w:ascii="Verdana" w:hAnsi="Verdana"/>
          <w:sz w:val="15"/>
          <w:szCs w:val="15"/>
          <w:lang w:val="et-EE"/>
        </w:rPr>
        <w:t>(EMPs kohaldatav tekst)(2007/589/EÜ)</w:t>
      </w:r>
    </w:p>
    <w:p w:rsidR="00900256" w:rsidRDefault="00900256">
      <w:pPr>
        <w:pStyle w:val="Normaallaadveeb"/>
        <w:rPr>
          <w:rStyle w:val="Rhutus"/>
          <w:rFonts w:ascii="Verdana" w:hAnsi="Verdana"/>
          <w:lang w:val="et-EE"/>
        </w:rPr>
      </w:pPr>
    </w:p>
    <w:p w:rsidR="00900256" w:rsidRDefault="00900256">
      <w:pPr>
        <w:pStyle w:val="Normaallaadveeb"/>
        <w:rPr>
          <w:rStyle w:val="Rhutus"/>
          <w:rFonts w:ascii="Verdana" w:hAnsi="Verdana"/>
          <w:lang w:val="et-EE"/>
        </w:rPr>
      </w:pPr>
    </w:p>
    <w:p w:rsidR="00D13871" w:rsidRPr="00556AAF" w:rsidRDefault="006314FA">
      <w:pPr>
        <w:pStyle w:val="Normaallaadveeb"/>
        <w:rPr>
          <w:lang w:val="et-EE"/>
        </w:rPr>
      </w:pPr>
      <w:r>
        <w:rPr>
          <w:rStyle w:val="Rhutus"/>
          <w:rFonts w:ascii="Verdana" w:hAnsi="Verdana"/>
          <w:lang w:val="et-EE"/>
        </w:rPr>
        <w:lastRenderedPageBreak/>
        <w:t>ARVUTAMINE</w:t>
      </w:r>
    </w:p>
    <w:p w:rsidR="00900256" w:rsidRPr="00900256" w:rsidRDefault="0065395C" w:rsidP="00900256">
      <w:pPr>
        <w:numPr>
          <w:ilvl w:val="0"/>
          <w:numId w:val="6"/>
        </w:numPr>
        <w:spacing w:before="100" w:beforeAutospacing="1" w:after="100" w:afterAutospacing="1"/>
        <w:jc w:val="both"/>
      </w:pPr>
      <w:r>
        <w:rPr>
          <w:rFonts w:ascii="Verdana" w:hAnsi="Verdana"/>
        </w:rPr>
        <w:t>Fossiilkütused</w:t>
      </w:r>
      <w:r w:rsidR="00D13871" w:rsidRPr="00556AAF">
        <w:rPr>
          <w:rFonts w:ascii="Verdana" w:hAnsi="Verdana"/>
        </w:rPr>
        <w:t xml:space="preserve"> (otsene CO</w:t>
      </w:r>
      <w:r w:rsidR="00D13871" w:rsidRPr="00556AAF">
        <w:rPr>
          <w:rFonts w:ascii="Verdana" w:hAnsi="Verdana"/>
          <w:vertAlign w:val="subscript"/>
        </w:rPr>
        <w:t>2</w:t>
      </w:r>
      <w:r w:rsidR="00D13871" w:rsidRPr="00556AAF">
        <w:rPr>
          <w:rFonts w:ascii="Verdana" w:hAnsi="Verdana"/>
        </w:rPr>
        <w:t xml:space="preserve"> heide):</w:t>
      </w:r>
    </w:p>
    <w:p w:rsidR="00D13871" w:rsidRPr="00556AAF" w:rsidRDefault="00D13871" w:rsidP="00900256">
      <w:pPr>
        <w:numPr>
          <w:ilvl w:val="1"/>
          <w:numId w:val="6"/>
        </w:numPr>
        <w:spacing w:before="100" w:beforeAutospacing="1" w:after="100" w:afterAutospacing="1"/>
        <w:jc w:val="both"/>
      </w:pPr>
      <w:r w:rsidRPr="00556AAF">
        <w:rPr>
          <w:rFonts w:ascii="Verdana" w:hAnsi="Verdana"/>
        </w:rPr>
        <w:t>Tahke, vedela ja gaasilise kütuse kogus, mida vajatakse energia kasutamiseks (elektri- ja soojusenergia omatoodang) korrutatuna vastava CO</w:t>
      </w:r>
      <w:r w:rsidRPr="00556AAF">
        <w:rPr>
          <w:rFonts w:ascii="Verdana" w:hAnsi="Verdana"/>
          <w:vertAlign w:val="subscript"/>
        </w:rPr>
        <w:t xml:space="preserve">2 </w:t>
      </w:r>
      <w:r w:rsidRPr="00556AAF">
        <w:rPr>
          <w:rFonts w:ascii="Verdana" w:hAnsi="Verdana"/>
        </w:rPr>
        <w:t>heite</w:t>
      </w:r>
      <w:r w:rsidR="0015058C">
        <w:rPr>
          <w:rFonts w:ascii="Verdana" w:hAnsi="Verdana"/>
        </w:rPr>
        <w:t>koefitsiendiga</w:t>
      </w:r>
      <w:r w:rsidRPr="00556AAF">
        <w:rPr>
          <w:rFonts w:ascii="Verdana" w:hAnsi="Verdana"/>
        </w:rPr>
        <w:t>.</w:t>
      </w:r>
      <w:r w:rsidRPr="00556AAF">
        <w:t xml:space="preserve"> </w:t>
      </w:r>
    </w:p>
    <w:p w:rsidR="00900256" w:rsidRDefault="00C22F25" w:rsidP="00900256">
      <w:pPr>
        <w:numPr>
          <w:ilvl w:val="0"/>
          <w:numId w:val="6"/>
        </w:numPr>
        <w:spacing w:before="100" w:beforeAutospacing="1" w:after="100" w:afterAutospacing="1"/>
        <w:jc w:val="both"/>
      </w:pPr>
      <w:r>
        <w:rPr>
          <w:rFonts w:ascii="Verdana" w:hAnsi="Verdana"/>
        </w:rPr>
        <w:t>Ostetud energia (elektri, auru või soojusena);</w:t>
      </w:r>
      <w:r w:rsidR="00D13871" w:rsidRPr="00556AAF">
        <w:rPr>
          <w:rFonts w:ascii="Verdana" w:hAnsi="Verdana"/>
        </w:rPr>
        <w:t xml:space="preserve"> (kaudne CO</w:t>
      </w:r>
      <w:r w:rsidR="00D13871" w:rsidRPr="00556AAF">
        <w:rPr>
          <w:rFonts w:ascii="Verdana" w:hAnsi="Verdana"/>
          <w:vertAlign w:val="subscript"/>
        </w:rPr>
        <w:t>2</w:t>
      </w:r>
      <w:r w:rsidR="00D13871" w:rsidRPr="00556AAF">
        <w:rPr>
          <w:rFonts w:ascii="Verdana" w:hAnsi="Verdana"/>
        </w:rPr>
        <w:t xml:space="preserve"> heide):</w:t>
      </w:r>
    </w:p>
    <w:p w:rsidR="00C61F7A" w:rsidRDefault="00C22F25" w:rsidP="00900256">
      <w:pPr>
        <w:numPr>
          <w:ilvl w:val="1"/>
          <w:numId w:val="6"/>
        </w:numPr>
        <w:spacing w:before="100" w:beforeAutospacing="1" w:after="100" w:afterAutospacing="1"/>
        <w:jc w:val="both"/>
      </w:pPr>
      <w:r>
        <w:rPr>
          <w:rFonts w:ascii="Verdana" w:hAnsi="Verdana"/>
        </w:rPr>
        <w:t>E</w:t>
      </w:r>
      <w:r w:rsidR="00D13871" w:rsidRPr="00900256">
        <w:rPr>
          <w:rFonts w:ascii="Verdana" w:hAnsi="Verdana"/>
        </w:rPr>
        <w:t>nergia hulk, mida kasutatakse CO</w:t>
      </w:r>
      <w:r w:rsidR="00D13871" w:rsidRPr="00900256">
        <w:rPr>
          <w:rFonts w:ascii="Verdana" w:hAnsi="Verdana"/>
          <w:vertAlign w:val="subscript"/>
        </w:rPr>
        <w:t>2</w:t>
      </w:r>
      <w:r w:rsidR="00D13871" w:rsidRPr="00900256">
        <w:rPr>
          <w:rFonts w:ascii="Verdana" w:hAnsi="Verdana"/>
        </w:rPr>
        <w:t xml:space="preserve"> heite kalkuleerimisel on  „ostetud</w:t>
      </w:r>
      <w:r>
        <w:rPr>
          <w:rFonts w:ascii="Verdana" w:hAnsi="Verdana"/>
        </w:rPr>
        <w:t xml:space="preserve"> energia (</w:t>
      </w:r>
      <w:r w:rsidR="00D13871" w:rsidRPr="00900256">
        <w:rPr>
          <w:rFonts w:ascii="Verdana" w:hAnsi="Verdana"/>
        </w:rPr>
        <w:t>elekter</w:t>
      </w:r>
      <w:r>
        <w:rPr>
          <w:rFonts w:ascii="Verdana" w:hAnsi="Verdana"/>
        </w:rPr>
        <w:t>)</w:t>
      </w:r>
      <w:r w:rsidR="00D13871" w:rsidRPr="00900256">
        <w:rPr>
          <w:rFonts w:ascii="Verdana" w:hAnsi="Verdana"/>
        </w:rPr>
        <w:t xml:space="preserve">” miinus „võrku müüdud </w:t>
      </w:r>
      <w:r>
        <w:rPr>
          <w:rFonts w:ascii="Verdana" w:hAnsi="Verdana"/>
        </w:rPr>
        <w:t>energia (</w:t>
      </w:r>
      <w:r w:rsidR="00D13871" w:rsidRPr="00900256">
        <w:rPr>
          <w:rFonts w:ascii="Verdana" w:hAnsi="Verdana"/>
        </w:rPr>
        <w:t>elekter</w:t>
      </w:r>
      <w:r>
        <w:rPr>
          <w:rFonts w:ascii="Verdana" w:hAnsi="Verdana"/>
        </w:rPr>
        <w:t>)</w:t>
      </w:r>
      <w:r w:rsidR="00D13871" w:rsidRPr="00900256">
        <w:rPr>
          <w:rFonts w:ascii="Verdana" w:hAnsi="Verdana"/>
        </w:rPr>
        <w:t xml:space="preserve">”. See </w:t>
      </w:r>
      <w:r>
        <w:rPr>
          <w:rFonts w:ascii="Verdana" w:hAnsi="Verdana"/>
        </w:rPr>
        <w:t>(</w:t>
      </w:r>
      <w:r w:rsidR="00D13871" w:rsidRPr="00900256">
        <w:rPr>
          <w:rFonts w:ascii="Verdana" w:hAnsi="Verdana"/>
        </w:rPr>
        <w:t>elektri</w:t>
      </w:r>
      <w:r>
        <w:rPr>
          <w:rFonts w:ascii="Verdana" w:hAnsi="Verdana"/>
        </w:rPr>
        <w:t>)</w:t>
      </w:r>
      <w:r w:rsidR="00D13871" w:rsidRPr="00900256">
        <w:rPr>
          <w:rFonts w:ascii="Verdana" w:hAnsi="Verdana"/>
        </w:rPr>
        <w:t>energia hulk jaotatakse seejärel tahkeks, vedelaks ja gaasiliseks kütuseks vastavalt keskmisele riiklikule elektrikütuse segule (avaldatuna näiteks IEA – OECF „OECD riikide energiabilanss) ja korrutatakse vastava tahke, vedela ja gaasilise kütuste CO</w:t>
      </w:r>
      <w:r w:rsidR="00D13871" w:rsidRPr="00900256">
        <w:rPr>
          <w:rFonts w:ascii="Verdana" w:hAnsi="Verdana"/>
          <w:vertAlign w:val="subscript"/>
        </w:rPr>
        <w:t xml:space="preserve">2 </w:t>
      </w:r>
      <w:r w:rsidR="00D13871" w:rsidRPr="00900256">
        <w:rPr>
          <w:rFonts w:ascii="Verdana" w:hAnsi="Verdana"/>
        </w:rPr>
        <w:t>heite</w:t>
      </w:r>
      <w:r w:rsidR="0015058C" w:rsidRPr="00900256">
        <w:rPr>
          <w:rFonts w:ascii="Verdana" w:hAnsi="Verdana"/>
        </w:rPr>
        <w:t>koefitsiendiga</w:t>
      </w:r>
      <w:r w:rsidR="00D13871" w:rsidRPr="00900256">
        <w:rPr>
          <w:rFonts w:ascii="Verdana" w:hAnsi="Verdana"/>
        </w:rPr>
        <w:t>.</w:t>
      </w:r>
      <w:r>
        <w:rPr>
          <w:rFonts w:ascii="Verdana" w:hAnsi="Verdana"/>
        </w:rPr>
        <w:t xml:space="preserve"> Lisaks tuleb näitaja</w:t>
      </w:r>
      <w:r w:rsidR="006314FA">
        <w:rPr>
          <w:rFonts w:ascii="Verdana" w:hAnsi="Verdana"/>
        </w:rPr>
        <w:t xml:space="preserve"> </w:t>
      </w:r>
      <w:r>
        <w:rPr>
          <w:rFonts w:ascii="Verdana" w:hAnsi="Verdana"/>
        </w:rPr>
        <w:t xml:space="preserve">esitada primaarenergia ühikutes ehk arvesse tuleb võtta ostetud energialiigi tootmise efektiivsust ja võrgukadusid. </w:t>
      </w:r>
      <w:r w:rsidR="00D13871" w:rsidRPr="00556AAF">
        <w:t xml:space="preserve"> </w:t>
      </w:r>
    </w:p>
    <w:p w:rsidR="00C61F7A" w:rsidRDefault="00C61F7A" w:rsidP="00900256">
      <w:pPr>
        <w:spacing w:before="100" w:beforeAutospacing="1" w:after="100" w:afterAutospacing="1"/>
        <w:jc w:val="both"/>
      </w:pPr>
    </w:p>
    <w:p w:rsidR="00C61F7A" w:rsidRPr="0015058C" w:rsidRDefault="00C61F7A" w:rsidP="00900256">
      <w:pPr>
        <w:pStyle w:val="Normaallaadveeb"/>
        <w:jc w:val="both"/>
        <w:rPr>
          <w:rStyle w:val="Rhutus"/>
          <w:b/>
        </w:rPr>
      </w:pPr>
      <w:r w:rsidRPr="0015058C">
        <w:rPr>
          <w:rStyle w:val="Rhutus"/>
          <w:b/>
        </w:rPr>
        <w:t>Ees</w:t>
      </w:r>
      <w:r w:rsidR="00F63FD6">
        <w:rPr>
          <w:rStyle w:val="Rhutus"/>
          <w:b/>
        </w:rPr>
        <w:t>ti aspektist olulised küsimused</w:t>
      </w:r>
    </w:p>
    <w:p w:rsidR="00900256" w:rsidRDefault="0065395C" w:rsidP="00900256">
      <w:pPr>
        <w:spacing w:before="0" w:after="0"/>
        <w:jc w:val="both"/>
        <w:rPr>
          <w:rFonts w:ascii="Verdana" w:hAnsi="Verdana"/>
        </w:rPr>
      </w:pPr>
      <w:r>
        <w:rPr>
          <w:rFonts w:ascii="Verdana" w:hAnsi="Verdana"/>
        </w:rPr>
        <w:t xml:space="preserve">Toome siinkohal välja </w:t>
      </w:r>
      <w:r w:rsidR="00BA7B5C">
        <w:rPr>
          <w:rFonts w:ascii="Verdana" w:hAnsi="Verdana"/>
        </w:rPr>
        <w:t>Eesti seisukohast oluliste kütuseliikide CO</w:t>
      </w:r>
      <w:r w:rsidR="00BA7B5C" w:rsidRPr="00BA7B5C">
        <w:rPr>
          <w:rFonts w:ascii="Verdana" w:hAnsi="Verdana"/>
          <w:vertAlign w:val="subscript"/>
        </w:rPr>
        <w:t>2</w:t>
      </w:r>
      <w:r w:rsidR="00BA7B5C">
        <w:rPr>
          <w:rFonts w:ascii="Verdana" w:hAnsi="Verdana"/>
        </w:rPr>
        <w:t xml:space="preserve"> heitekoefitsiendid</w:t>
      </w:r>
      <w:r w:rsidR="00F8363A">
        <w:rPr>
          <w:rFonts w:ascii="Verdana" w:hAnsi="Verdana"/>
        </w:rPr>
        <w:t xml:space="preserve">: </w:t>
      </w:r>
    </w:p>
    <w:p w:rsidR="00900256" w:rsidRDefault="00F8363A" w:rsidP="00900256">
      <w:pPr>
        <w:spacing w:before="0" w:after="0"/>
        <w:jc w:val="both"/>
        <w:rPr>
          <w:sz w:val="16"/>
          <w:szCs w:val="16"/>
        </w:rPr>
      </w:pPr>
      <w:r w:rsidRPr="00F8363A">
        <w:rPr>
          <w:rFonts w:ascii="Verdana" w:hAnsi="Verdana"/>
          <w:sz w:val="16"/>
          <w:szCs w:val="16"/>
        </w:rPr>
        <w:t>(allikas:</w:t>
      </w:r>
      <w:r>
        <w:rPr>
          <w:rFonts w:ascii="Verdana" w:hAnsi="Verdana"/>
        </w:rPr>
        <w:t xml:space="preserve"> </w:t>
      </w:r>
      <w:r w:rsidRPr="00F8363A">
        <w:rPr>
          <w:rFonts w:ascii="Verdana" w:hAnsi="Verdana"/>
          <w:sz w:val="16"/>
          <w:szCs w:val="16"/>
        </w:rPr>
        <w:t>KOMISJONI OTSUS, 18. juuli 2007, millega kehtestatakse Euroopa Parlamendi ja nõukogu direktiivi 2003/87/EÜ kohaselt kasvuhoonegaaside heiteseire ja aruandluse suunised (teatavaks tehtud numbri K(2007) 3416 all) (EMPs kohaldatav tekst)(2007/589/EÜ)</w:t>
      </w:r>
      <w:r w:rsidRPr="00F8363A">
        <w:rPr>
          <w:sz w:val="16"/>
          <w:szCs w:val="16"/>
        </w:rPr>
        <w:t xml:space="preserve"> </w:t>
      </w:r>
    </w:p>
    <w:p w:rsidR="0065395C" w:rsidRPr="00900256" w:rsidRDefault="006314FA" w:rsidP="00900256">
      <w:pPr>
        <w:spacing w:before="0" w:after="100" w:afterAutospacing="1"/>
        <w:jc w:val="both"/>
        <w:rPr>
          <w:sz w:val="16"/>
          <w:szCs w:val="16"/>
        </w:rPr>
      </w:pPr>
      <w:hyperlink r:id="rId26" w:history="1">
        <w:r w:rsidR="00F8363A" w:rsidRPr="004553A1">
          <w:rPr>
            <w:rStyle w:val="Hperlink"/>
            <w:rFonts w:ascii="Verdana" w:hAnsi="Verdana"/>
            <w:sz w:val="16"/>
            <w:szCs w:val="16"/>
          </w:rPr>
          <w:t>http://eur-lex.europa.eu/LexUriServ/LexUriServ.do?uri=OJ:L:2007:229:0001:0085:ET:PDF</w:t>
        </w:r>
      </w:hyperlink>
      <w:r w:rsidR="00F8363A">
        <w:rPr>
          <w:rFonts w:ascii="Verdana" w:hAnsi="Verdana"/>
          <w:sz w:val="16"/>
          <w:szCs w:val="16"/>
        </w:rPr>
        <w:t>)</w:t>
      </w:r>
      <w:r w:rsidR="00BA7B5C" w:rsidRPr="00F8363A">
        <w:rPr>
          <w:rFonts w:ascii="Verdana" w:hAnsi="Verdana"/>
          <w:sz w:val="16"/>
          <w:szCs w:val="16"/>
        </w:rPr>
        <w:t>.</w:t>
      </w:r>
    </w:p>
    <w:tbl>
      <w:tblPr>
        <w:tblStyle w:val="Keskminevarjustus2rhk1"/>
        <w:tblW w:w="0" w:type="auto"/>
        <w:tblLook w:val="04A0" w:firstRow="1" w:lastRow="0" w:firstColumn="1" w:lastColumn="0" w:noHBand="0" w:noVBand="1"/>
      </w:tblPr>
      <w:tblGrid>
        <w:gridCol w:w="1951"/>
        <w:gridCol w:w="1762"/>
        <w:gridCol w:w="1756"/>
        <w:gridCol w:w="1762"/>
        <w:gridCol w:w="1762"/>
      </w:tblGrid>
      <w:tr w:rsidR="00BA7B5C" w:rsidTr="00E47F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0" w:type="dxa"/>
            <w:gridSpan w:val="5"/>
          </w:tcPr>
          <w:p w:rsidR="00BA7B5C" w:rsidRPr="00735AC6" w:rsidRDefault="00BA7B5C" w:rsidP="00735AC6">
            <w:pPr>
              <w:spacing w:before="100" w:beforeAutospacing="1" w:after="100" w:afterAutospacing="1"/>
              <w:jc w:val="center"/>
              <w:rPr>
                <w:rFonts w:ascii="Verdana" w:hAnsi="Verdana"/>
              </w:rPr>
            </w:pPr>
            <w:r w:rsidRPr="00735AC6">
              <w:rPr>
                <w:rFonts w:ascii="Verdana" w:hAnsi="Verdana"/>
              </w:rPr>
              <w:t>Põlevkivi ja põlevkiviõli CO</w:t>
            </w:r>
            <w:r w:rsidRPr="00735AC6">
              <w:rPr>
                <w:rFonts w:ascii="Verdana" w:hAnsi="Verdana"/>
                <w:vertAlign w:val="subscript"/>
              </w:rPr>
              <w:t>2</w:t>
            </w:r>
            <w:r w:rsidRPr="00735AC6">
              <w:rPr>
                <w:rFonts w:ascii="Verdana" w:hAnsi="Verdana"/>
              </w:rPr>
              <w:t xml:space="preserve"> heitekoefitsientide võrdlus CEFIC poolt kasutatavate lihtsustatud CO</w:t>
            </w:r>
            <w:r w:rsidRPr="00735AC6">
              <w:rPr>
                <w:rFonts w:ascii="Verdana" w:hAnsi="Verdana"/>
                <w:vertAlign w:val="subscript"/>
              </w:rPr>
              <w:t>2</w:t>
            </w:r>
            <w:r w:rsidRPr="00735AC6">
              <w:rPr>
                <w:rFonts w:ascii="Verdana" w:hAnsi="Verdana"/>
              </w:rPr>
              <w:t xml:space="preserve"> heitekoefitsentidega</w:t>
            </w:r>
          </w:p>
        </w:tc>
      </w:tr>
      <w:tr w:rsidR="00BC69B6" w:rsidTr="00E47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A7B5C" w:rsidRPr="00735AC6" w:rsidRDefault="00BA7B5C" w:rsidP="00735AC6">
            <w:pPr>
              <w:spacing w:before="100" w:beforeAutospacing="1" w:after="100" w:afterAutospacing="1"/>
              <w:rPr>
                <w:rFonts w:ascii="Verdana" w:hAnsi="Verdana"/>
              </w:rPr>
            </w:pPr>
          </w:p>
        </w:tc>
        <w:tc>
          <w:tcPr>
            <w:tcW w:w="1561" w:type="dxa"/>
          </w:tcPr>
          <w:p w:rsidR="00BA7B5C" w:rsidRPr="00735AC6" w:rsidRDefault="00BA7B5C"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Süsiniku heitekoefitsient</w:t>
            </w:r>
          </w:p>
        </w:tc>
        <w:tc>
          <w:tcPr>
            <w:tcW w:w="1756" w:type="dxa"/>
          </w:tcPr>
          <w:p w:rsidR="00BA7B5C" w:rsidRPr="00735AC6" w:rsidRDefault="00BA7B5C"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CO</w:t>
            </w:r>
            <w:r w:rsidRPr="00735AC6">
              <w:rPr>
                <w:rFonts w:ascii="Verdana" w:hAnsi="Verdana"/>
                <w:vertAlign w:val="subscript"/>
              </w:rPr>
              <w:t>2</w:t>
            </w:r>
            <w:r w:rsidRPr="00735AC6">
              <w:rPr>
                <w:rFonts w:ascii="Verdana" w:hAnsi="Verdana"/>
              </w:rPr>
              <w:t>/C molaarmassi suhe</w:t>
            </w:r>
          </w:p>
        </w:tc>
        <w:tc>
          <w:tcPr>
            <w:tcW w:w="1756" w:type="dxa"/>
          </w:tcPr>
          <w:p w:rsidR="00BA7B5C" w:rsidRPr="00735AC6" w:rsidRDefault="00BA7B5C"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CO</w:t>
            </w:r>
            <w:r w:rsidRPr="00735AC6">
              <w:rPr>
                <w:rFonts w:ascii="Verdana" w:hAnsi="Verdana"/>
                <w:vertAlign w:val="subscript"/>
              </w:rPr>
              <w:t>2</w:t>
            </w:r>
            <w:r w:rsidRPr="00735AC6">
              <w:rPr>
                <w:rFonts w:ascii="Verdana" w:hAnsi="Verdana"/>
              </w:rPr>
              <w:t xml:space="preserve"> heitekoefitsient</w:t>
            </w:r>
          </w:p>
        </w:tc>
        <w:tc>
          <w:tcPr>
            <w:tcW w:w="1756" w:type="dxa"/>
          </w:tcPr>
          <w:p w:rsidR="00BA7B5C" w:rsidRPr="00735AC6" w:rsidRDefault="00BA7B5C" w:rsidP="00735AC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CO</w:t>
            </w:r>
            <w:r w:rsidRPr="00735AC6">
              <w:rPr>
                <w:rFonts w:ascii="Verdana" w:hAnsi="Verdana"/>
                <w:vertAlign w:val="subscript"/>
              </w:rPr>
              <w:t>2</w:t>
            </w:r>
            <w:r w:rsidRPr="00735AC6">
              <w:rPr>
                <w:rFonts w:ascii="Verdana" w:hAnsi="Verdana"/>
              </w:rPr>
              <w:t xml:space="preserve"> heitekoefitsient</w:t>
            </w:r>
          </w:p>
        </w:tc>
      </w:tr>
      <w:tr w:rsidR="00BC69B6" w:rsidTr="00E47FAC">
        <w:tc>
          <w:tcPr>
            <w:cnfStyle w:val="001000000000" w:firstRow="0" w:lastRow="0" w:firstColumn="1" w:lastColumn="0" w:oddVBand="0" w:evenVBand="0" w:oddHBand="0" w:evenHBand="0" w:firstRowFirstColumn="0" w:firstRowLastColumn="0" w:lastRowFirstColumn="0" w:lastRowLastColumn="0"/>
            <w:tcW w:w="1951" w:type="dxa"/>
          </w:tcPr>
          <w:p w:rsidR="00BA7B5C" w:rsidRPr="00735AC6" w:rsidRDefault="00BA7B5C" w:rsidP="00735AC6">
            <w:pPr>
              <w:spacing w:before="100" w:beforeAutospacing="1" w:after="100" w:afterAutospacing="1"/>
              <w:rPr>
                <w:rFonts w:ascii="Verdana" w:hAnsi="Verdana"/>
              </w:rPr>
            </w:pPr>
            <w:r w:rsidRPr="00735AC6">
              <w:rPr>
                <w:rFonts w:ascii="Verdana" w:hAnsi="Verdana"/>
              </w:rPr>
              <w:t>Ühik</w:t>
            </w:r>
          </w:p>
        </w:tc>
        <w:tc>
          <w:tcPr>
            <w:tcW w:w="1561" w:type="dxa"/>
          </w:tcPr>
          <w:p w:rsidR="00BA7B5C" w:rsidRPr="00735AC6" w:rsidRDefault="00BA7B5C" w:rsidP="00735AC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kg C/GJ</w:t>
            </w:r>
          </w:p>
        </w:tc>
        <w:tc>
          <w:tcPr>
            <w:tcW w:w="1756" w:type="dxa"/>
          </w:tcPr>
          <w:p w:rsidR="00BA7B5C" w:rsidRPr="00990C87" w:rsidRDefault="006314FA" w:rsidP="001167C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m:oMathPara>
              <m:oMath>
                <m:f>
                  <m:fPr>
                    <m:ctrlPr>
                      <w:rPr>
                        <w:rFonts w:ascii="Cambria Math" w:hAnsi="Cambria Math"/>
                        <w:i/>
                      </w:rPr>
                    </m:ctrlPr>
                  </m:fPr>
                  <m:num>
                    <m:r>
                      <w:rPr>
                        <w:rFonts w:ascii="Cambria Math" w:hAnsi="Cambria Math"/>
                      </w:rPr>
                      <m:t>44 g/mol</m:t>
                    </m:r>
                  </m:num>
                  <m:den>
                    <m:r>
                      <w:rPr>
                        <w:rFonts w:ascii="Cambria Math" w:hAnsi="Cambria Math"/>
                      </w:rPr>
                      <m:t>12 g/mol</m:t>
                    </m:r>
                  </m:den>
                </m:f>
              </m:oMath>
            </m:oMathPara>
          </w:p>
        </w:tc>
        <w:tc>
          <w:tcPr>
            <w:tcW w:w="1756" w:type="dxa"/>
          </w:tcPr>
          <w:p w:rsidR="00BA7B5C" w:rsidRPr="00735AC6" w:rsidRDefault="00BA7B5C" w:rsidP="00735AC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kg CO</w:t>
            </w:r>
            <w:r w:rsidRPr="00735AC6">
              <w:rPr>
                <w:rFonts w:ascii="Verdana" w:hAnsi="Verdana"/>
                <w:vertAlign w:val="subscript"/>
              </w:rPr>
              <w:t>2</w:t>
            </w:r>
            <w:r w:rsidRPr="00735AC6">
              <w:rPr>
                <w:rFonts w:ascii="Verdana" w:hAnsi="Verdana"/>
              </w:rPr>
              <w:t>/GJ</w:t>
            </w:r>
          </w:p>
        </w:tc>
        <w:tc>
          <w:tcPr>
            <w:tcW w:w="1756" w:type="dxa"/>
          </w:tcPr>
          <w:p w:rsidR="00BA7B5C" w:rsidRPr="00735AC6" w:rsidRDefault="00FE3999" w:rsidP="00735AC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tonn</w:t>
            </w:r>
            <w:r w:rsidR="00BA7B5C" w:rsidRPr="00735AC6">
              <w:rPr>
                <w:rFonts w:ascii="Verdana" w:hAnsi="Verdana"/>
              </w:rPr>
              <w:t xml:space="preserve"> CO</w:t>
            </w:r>
            <w:r w:rsidR="00BA7B5C" w:rsidRPr="00735AC6">
              <w:rPr>
                <w:rFonts w:ascii="Verdana" w:hAnsi="Verdana"/>
                <w:vertAlign w:val="subscript"/>
              </w:rPr>
              <w:t>2</w:t>
            </w:r>
            <w:r w:rsidR="00BA7B5C" w:rsidRPr="00735AC6">
              <w:rPr>
                <w:rFonts w:ascii="Verdana" w:hAnsi="Verdana"/>
              </w:rPr>
              <w:t>/toe</w:t>
            </w:r>
          </w:p>
        </w:tc>
      </w:tr>
      <w:tr w:rsidR="00BC69B6" w:rsidTr="00E47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A7B5C" w:rsidRPr="00E47FAC" w:rsidRDefault="00BA7B5C" w:rsidP="00735AC6">
            <w:pPr>
              <w:spacing w:before="100" w:beforeAutospacing="1" w:after="100" w:afterAutospacing="1"/>
              <w:rPr>
                <w:rFonts w:ascii="Verdana" w:hAnsi="Verdana"/>
                <w:b w:val="0"/>
              </w:rPr>
            </w:pPr>
            <w:r w:rsidRPr="00E47FAC">
              <w:rPr>
                <w:rFonts w:ascii="Verdana" w:hAnsi="Verdana"/>
                <w:b w:val="0"/>
              </w:rPr>
              <w:t>Tahke (kivisüsi)</w:t>
            </w:r>
          </w:p>
        </w:tc>
        <w:tc>
          <w:tcPr>
            <w:tcW w:w="1561"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25,8</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3,67</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95</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b/>
              </w:rPr>
            </w:pPr>
            <w:r w:rsidRPr="00735AC6">
              <w:rPr>
                <w:rFonts w:ascii="Verdana" w:hAnsi="Verdana"/>
                <w:b/>
              </w:rPr>
              <w:t>3,961</w:t>
            </w:r>
          </w:p>
        </w:tc>
      </w:tr>
      <w:tr w:rsidR="00BA7B5C" w:rsidTr="00E47FAC">
        <w:tc>
          <w:tcPr>
            <w:cnfStyle w:val="001000000000" w:firstRow="0" w:lastRow="0" w:firstColumn="1" w:lastColumn="0" w:oddVBand="0" w:evenVBand="0" w:oddHBand="0" w:evenHBand="0" w:firstRowFirstColumn="0" w:firstRowLastColumn="0" w:lastRowFirstColumn="0" w:lastRowLastColumn="0"/>
            <w:tcW w:w="1951" w:type="dxa"/>
          </w:tcPr>
          <w:p w:rsidR="00BA7B5C" w:rsidRPr="00E47FAC" w:rsidRDefault="00BA7B5C" w:rsidP="00735AC6">
            <w:pPr>
              <w:spacing w:before="100" w:beforeAutospacing="1" w:after="100" w:afterAutospacing="1"/>
              <w:rPr>
                <w:rFonts w:ascii="Verdana" w:hAnsi="Verdana"/>
              </w:rPr>
            </w:pPr>
            <w:r w:rsidRPr="00E47FAC">
              <w:rPr>
                <w:rFonts w:ascii="Verdana" w:hAnsi="Verdana"/>
              </w:rPr>
              <w:t>PÕLEVKIVI</w:t>
            </w:r>
          </w:p>
        </w:tc>
        <w:tc>
          <w:tcPr>
            <w:tcW w:w="1561" w:type="dxa"/>
          </w:tcPr>
          <w:p w:rsidR="00BA7B5C" w:rsidRPr="00735AC6" w:rsidRDefault="00BA7B5C"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b/>
              </w:rPr>
            </w:pPr>
            <w:r w:rsidRPr="00735AC6">
              <w:rPr>
                <w:rFonts w:ascii="Verdana" w:hAnsi="Verdana"/>
                <w:b/>
              </w:rPr>
              <w:t>28,</w:t>
            </w:r>
            <w:r w:rsidR="00BC69B6" w:rsidRPr="00735AC6">
              <w:rPr>
                <w:rFonts w:ascii="Verdana" w:hAnsi="Verdana"/>
                <w:b/>
              </w:rPr>
              <w:t>9</w:t>
            </w:r>
          </w:p>
        </w:tc>
        <w:tc>
          <w:tcPr>
            <w:tcW w:w="1756" w:type="dxa"/>
          </w:tcPr>
          <w:p w:rsidR="00BA7B5C" w:rsidRPr="00735AC6" w:rsidRDefault="00BA7B5C"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3,67</w:t>
            </w:r>
          </w:p>
        </w:tc>
        <w:tc>
          <w:tcPr>
            <w:tcW w:w="1756" w:type="dxa"/>
          </w:tcPr>
          <w:p w:rsidR="00BA7B5C" w:rsidRPr="00735AC6" w:rsidRDefault="00BA7B5C"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b/>
              </w:rPr>
            </w:pPr>
            <w:r w:rsidRPr="00735AC6">
              <w:rPr>
                <w:rFonts w:ascii="Verdana" w:hAnsi="Verdana"/>
                <w:b/>
              </w:rPr>
              <w:t>106</w:t>
            </w:r>
          </w:p>
        </w:tc>
        <w:tc>
          <w:tcPr>
            <w:tcW w:w="1756" w:type="dxa"/>
          </w:tcPr>
          <w:p w:rsidR="00BA7B5C" w:rsidRPr="00735AC6" w:rsidRDefault="00BC69B6"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b/>
              </w:rPr>
            </w:pPr>
            <w:r w:rsidRPr="00735AC6">
              <w:rPr>
                <w:rFonts w:ascii="Verdana" w:hAnsi="Verdana"/>
                <w:b/>
              </w:rPr>
              <w:t>4,441</w:t>
            </w:r>
          </w:p>
        </w:tc>
      </w:tr>
      <w:tr w:rsidR="00BC69B6" w:rsidTr="00E47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A7B5C" w:rsidRPr="00E47FAC" w:rsidRDefault="00BA7B5C" w:rsidP="00BA7B5C">
            <w:pPr>
              <w:rPr>
                <w:rFonts w:ascii="Verdana" w:hAnsi="Verdana"/>
                <w:b w:val="0"/>
              </w:rPr>
            </w:pPr>
            <w:r w:rsidRPr="00E47FAC">
              <w:rPr>
                <w:rFonts w:ascii="Verdana" w:hAnsi="Verdana"/>
                <w:b w:val="0"/>
              </w:rPr>
              <w:t xml:space="preserve">Vedel </w:t>
            </w:r>
          </w:p>
          <w:p w:rsidR="00BA7B5C" w:rsidRPr="00735AC6" w:rsidRDefault="00BA7B5C" w:rsidP="00735AC6">
            <w:pPr>
              <w:spacing w:after="100" w:afterAutospacing="1"/>
              <w:rPr>
                <w:rFonts w:ascii="Verdana" w:hAnsi="Verdana"/>
              </w:rPr>
            </w:pPr>
            <w:r w:rsidRPr="00E47FAC">
              <w:rPr>
                <w:rFonts w:ascii="Verdana" w:hAnsi="Verdana"/>
                <w:b w:val="0"/>
              </w:rPr>
              <w:t>(toorõli)</w:t>
            </w:r>
          </w:p>
        </w:tc>
        <w:tc>
          <w:tcPr>
            <w:tcW w:w="1561"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20,0</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3,67</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73</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b/>
              </w:rPr>
            </w:pPr>
            <w:r w:rsidRPr="00735AC6">
              <w:rPr>
                <w:rFonts w:ascii="Verdana" w:hAnsi="Verdana"/>
                <w:b/>
              </w:rPr>
              <w:t>3,070</w:t>
            </w:r>
          </w:p>
        </w:tc>
      </w:tr>
      <w:tr w:rsidR="00BA7B5C" w:rsidTr="00E47FAC">
        <w:tc>
          <w:tcPr>
            <w:cnfStyle w:val="001000000000" w:firstRow="0" w:lastRow="0" w:firstColumn="1" w:lastColumn="0" w:oddVBand="0" w:evenVBand="0" w:oddHBand="0" w:evenHBand="0" w:firstRowFirstColumn="0" w:firstRowLastColumn="0" w:lastRowFirstColumn="0" w:lastRowLastColumn="0"/>
            <w:tcW w:w="1951" w:type="dxa"/>
          </w:tcPr>
          <w:p w:rsidR="00BA7B5C" w:rsidRPr="00E47FAC" w:rsidRDefault="00BC69B6" w:rsidP="00735AC6">
            <w:pPr>
              <w:spacing w:before="100" w:beforeAutospacing="1" w:after="100" w:afterAutospacing="1"/>
              <w:rPr>
                <w:rFonts w:ascii="Verdana" w:hAnsi="Verdana"/>
              </w:rPr>
            </w:pPr>
            <w:r w:rsidRPr="00E47FAC">
              <w:rPr>
                <w:rFonts w:ascii="Verdana" w:hAnsi="Verdana"/>
              </w:rPr>
              <w:t>PÕLEVKIVIÕLI</w:t>
            </w:r>
          </w:p>
        </w:tc>
        <w:tc>
          <w:tcPr>
            <w:tcW w:w="1561" w:type="dxa"/>
          </w:tcPr>
          <w:p w:rsidR="00BA7B5C" w:rsidRPr="00735AC6" w:rsidRDefault="00BC69B6"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b/>
              </w:rPr>
            </w:pPr>
            <w:r w:rsidRPr="00735AC6">
              <w:rPr>
                <w:rFonts w:ascii="Verdana" w:hAnsi="Verdana"/>
                <w:b/>
              </w:rPr>
              <w:t>19,9</w:t>
            </w:r>
          </w:p>
        </w:tc>
        <w:tc>
          <w:tcPr>
            <w:tcW w:w="1756" w:type="dxa"/>
          </w:tcPr>
          <w:p w:rsidR="00BA7B5C" w:rsidRPr="00735AC6" w:rsidRDefault="00BA7B5C"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rPr>
            </w:pPr>
            <w:r w:rsidRPr="00735AC6">
              <w:rPr>
                <w:rFonts w:ascii="Verdana" w:hAnsi="Verdana"/>
              </w:rPr>
              <w:t>3,67</w:t>
            </w:r>
          </w:p>
        </w:tc>
        <w:tc>
          <w:tcPr>
            <w:tcW w:w="1756" w:type="dxa"/>
          </w:tcPr>
          <w:p w:rsidR="00BA7B5C" w:rsidRPr="00735AC6" w:rsidRDefault="00BA7B5C"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b/>
              </w:rPr>
            </w:pPr>
            <w:r w:rsidRPr="00735AC6">
              <w:rPr>
                <w:rFonts w:ascii="Verdana" w:hAnsi="Verdana"/>
                <w:b/>
              </w:rPr>
              <w:t>73</w:t>
            </w:r>
          </w:p>
        </w:tc>
        <w:tc>
          <w:tcPr>
            <w:tcW w:w="1756" w:type="dxa"/>
          </w:tcPr>
          <w:p w:rsidR="00BA7B5C" w:rsidRPr="00735AC6" w:rsidRDefault="00BC69B6" w:rsidP="00735AC6">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Verdana" w:hAnsi="Verdana"/>
                <w:b/>
              </w:rPr>
            </w:pPr>
            <w:r w:rsidRPr="00735AC6">
              <w:rPr>
                <w:rFonts w:ascii="Verdana" w:hAnsi="Verdana"/>
                <w:b/>
              </w:rPr>
              <w:t>3,058</w:t>
            </w:r>
          </w:p>
        </w:tc>
      </w:tr>
      <w:tr w:rsidR="00BC69B6" w:rsidTr="00E47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A7B5C" w:rsidRPr="00E47FAC" w:rsidRDefault="00BA7B5C" w:rsidP="00735AC6">
            <w:pPr>
              <w:spacing w:before="100" w:beforeAutospacing="1" w:after="100" w:afterAutospacing="1"/>
              <w:rPr>
                <w:rFonts w:ascii="Verdana" w:hAnsi="Verdana"/>
                <w:b w:val="0"/>
              </w:rPr>
            </w:pPr>
            <w:r w:rsidRPr="00E47FAC">
              <w:rPr>
                <w:rFonts w:ascii="Verdana" w:hAnsi="Verdana"/>
                <w:b w:val="0"/>
              </w:rPr>
              <w:t>Gaasiline (looduslik gaas)</w:t>
            </w:r>
          </w:p>
        </w:tc>
        <w:tc>
          <w:tcPr>
            <w:tcW w:w="1561"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15,3</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3,67</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rPr>
            </w:pPr>
            <w:r w:rsidRPr="00735AC6">
              <w:rPr>
                <w:rFonts w:ascii="Verdana" w:hAnsi="Verdana"/>
              </w:rPr>
              <w:t>56</w:t>
            </w:r>
          </w:p>
        </w:tc>
        <w:tc>
          <w:tcPr>
            <w:tcW w:w="1756" w:type="dxa"/>
          </w:tcPr>
          <w:p w:rsidR="00BA7B5C" w:rsidRPr="00735AC6" w:rsidRDefault="00BA7B5C" w:rsidP="00735AC6">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Verdana" w:hAnsi="Verdana"/>
                <w:b/>
              </w:rPr>
            </w:pPr>
            <w:r w:rsidRPr="00735AC6">
              <w:rPr>
                <w:rFonts w:ascii="Verdana" w:hAnsi="Verdana"/>
                <w:b/>
              </w:rPr>
              <w:t>2,349</w:t>
            </w:r>
          </w:p>
        </w:tc>
      </w:tr>
      <w:tr w:rsidR="00BA7B5C" w:rsidTr="00E47FAC">
        <w:tc>
          <w:tcPr>
            <w:cnfStyle w:val="001000000000" w:firstRow="0" w:lastRow="0" w:firstColumn="1" w:lastColumn="0" w:oddVBand="0" w:evenVBand="0" w:oddHBand="0" w:evenHBand="0" w:firstRowFirstColumn="0" w:firstRowLastColumn="0" w:lastRowFirstColumn="0" w:lastRowLastColumn="0"/>
            <w:tcW w:w="8780" w:type="dxa"/>
            <w:gridSpan w:val="5"/>
          </w:tcPr>
          <w:p w:rsidR="00BA7B5C" w:rsidRPr="00735AC6" w:rsidRDefault="00BA7B5C" w:rsidP="00735AC6">
            <w:pPr>
              <w:spacing w:before="100" w:beforeAutospacing="1" w:after="100" w:afterAutospacing="1"/>
              <w:rPr>
                <w:rFonts w:ascii="Verdana" w:hAnsi="Verdana"/>
                <w:b w:val="0"/>
              </w:rPr>
            </w:pPr>
            <w:r w:rsidRPr="00735AC6">
              <w:rPr>
                <w:rFonts w:ascii="Verdana" w:hAnsi="Verdana"/>
              </w:rPr>
              <w:t xml:space="preserve">Märkus: </w:t>
            </w:r>
            <w:r w:rsidRPr="00735AC6">
              <w:rPr>
                <w:rFonts w:ascii="Verdana" w:hAnsi="Verdana"/>
                <w:b w:val="0"/>
              </w:rPr>
              <w:t>1 toe = 41,868 GJ</w:t>
            </w:r>
            <w:r w:rsidR="006D79D5" w:rsidRPr="00735AC6">
              <w:rPr>
                <w:rFonts w:ascii="Verdana" w:hAnsi="Verdana"/>
                <w:b w:val="0"/>
              </w:rPr>
              <w:t xml:space="preserve"> = 11.630 kWh</w:t>
            </w:r>
          </w:p>
          <w:p w:rsidR="006D79D5" w:rsidRPr="00735AC6" w:rsidRDefault="006D79D5" w:rsidP="00735AC6">
            <w:pPr>
              <w:spacing w:before="100" w:beforeAutospacing="1" w:after="100" w:afterAutospacing="1"/>
              <w:rPr>
                <w:rFonts w:ascii="Verdana" w:hAnsi="Verdana"/>
              </w:rPr>
            </w:pPr>
            <w:r w:rsidRPr="00735AC6">
              <w:rPr>
                <w:rFonts w:ascii="Verdana" w:hAnsi="Verdana"/>
                <w:b w:val="0"/>
              </w:rPr>
              <w:t xml:space="preserve">NB! Konverteerimise hõlbustamiseks kasutada Energia Agentuuri kalkulaatorit: </w:t>
            </w:r>
            <w:hyperlink r:id="rId27" w:history="1">
              <w:r w:rsidRPr="00735AC6">
                <w:rPr>
                  <w:rStyle w:val="Hperlink"/>
                  <w:rFonts w:ascii="Verdana" w:hAnsi="Verdana"/>
                  <w:b w:val="0"/>
                </w:rPr>
                <w:t>http://www.iea.org/stats/unit.asp</w:t>
              </w:r>
            </w:hyperlink>
            <w:r w:rsidRPr="00735AC6">
              <w:rPr>
                <w:rFonts w:ascii="Verdana" w:hAnsi="Verdana"/>
                <w:b w:val="0"/>
              </w:rPr>
              <w:t xml:space="preserve"> </w:t>
            </w:r>
          </w:p>
        </w:tc>
      </w:tr>
    </w:tbl>
    <w:p w:rsidR="00BC69B6" w:rsidRDefault="00BC69B6" w:rsidP="00C61F7A">
      <w:pPr>
        <w:spacing w:before="100" w:beforeAutospacing="1" w:after="100" w:afterAutospacing="1"/>
        <w:rPr>
          <w:rFonts w:ascii="Verdana" w:hAnsi="Verdana"/>
        </w:rPr>
      </w:pPr>
      <w:r>
        <w:rPr>
          <w:rFonts w:ascii="Verdana" w:hAnsi="Verdana"/>
        </w:rPr>
        <w:t>Tabelist on näha, et põlevkivi puhul on tegelik CO</w:t>
      </w:r>
      <w:r w:rsidRPr="001167CA">
        <w:rPr>
          <w:rFonts w:ascii="Verdana" w:hAnsi="Verdana"/>
          <w:vertAlign w:val="subscript"/>
        </w:rPr>
        <w:t>2</w:t>
      </w:r>
      <w:r>
        <w:rPr>
          <w:rFonts w:ascii="Verdana" w:hAnsi="Verdana"/>
        </w:rPr>
        <w:t xml:space="preserve"> heitekoefitsient 12% suurem kui CEFIC poolt pakutud tahke kütuse lihtsustatud CO</w:t>
      </w:r>
      <w:r w:rsidRPr="001167CA">
        <w:rPr>
          <w:rFonts w:ascii="Verdana" w:hAnsi="Verdana"/>
          <w:vertAlign w:val="subscript"/>
        </w:rPr>
        <w:t>2</w:t>
      </w:r>
      <w:r>
        <w:rPr>
          <w:rFonts w:ascii="Verdana" w:hAnsi="Verdana"/>
        </w:rPr>
        <w:t xml:space="preserve"> heitekoefitsent.</w:t>
      </w:r>
    </w:p>
    <w:p w:rsidR="00C61F7A" w:rsidRDefault="00BC69B6" w:rsidP="00C61F7A">
      <w:pPr>
        <w:spacing w:before="100" w:beforeAutospacing="1" w:after="100" w:afterAutospacing="1"/>
        <w:rPr>
          <w:rFonts w:ascii="Verdana" w:hAnsi="Verdana"/>
        </w:rPr>
      </w:pPr>
      <w:r>
        <w:rPr>
          <w:rFonts w:ascii="Verdana" w:hAnsi="Verdana"/>
        </w:rPr>
        <w:lastRenderedPageBreak/>
        <w:t xml:space="preserve">Põlevkiviõli osas on aga lihtsustus tegelikule väärtusele väga ligilähedane ning seega võib probleemideta CEFIC poolt pakutud lihtsustust kasutada.  </w:t>
      </w:r>
    </w:p>
    <w:p w:rsidR="001167CA" w:rsidRDefault="001167CA" w:rsidP="00900256">
      <w:pPr>
        <w:spacing w:before="100" w:beforeAutospacing="1"/>
        <w:jc w:val="both"/>
        <w:rPr>
          <w:rFonts w:ascii="Verdana" w:hAnsi="Verdana"/>
        </w:rPr>
      </w:pPr>
      <w:r>
        <w:rPr>
          <w:rFonts w:ascii="Verdana" w:hAnsi="Verdana"/>
        </w:rPr>
        <w:t>CO</w:t>
      </w:r>
      <w:r w:rsidRPr="001167CA">
        <w:rPr>
          <w:rFonts w:ascii="Verdana" w:hAnsi="Verdana"/>
          <w:vertAlign w:val="subscript"/>
        </w:rPr>
        <w:t>2</w:t>
      </w:r>
      <w:r>
        <w:rPr>
          <w:rFonts w:ascii="Verdana" w:hAnsi="Verdana"/>
        </w:rPr>
        <w:t xml:space="preserve"> kaudne heide: nagu eelpool öeldud, </w:t>
      </w:r>
      <w:r w:rsidR="00900256">
        <w:rPr>
          <w:rFonts w:ascii="Verdana" w:hAnsi="Verdana"/>
        </w:rPr>
        <w:t>puudutab see näitaja ostetud energiat</w:t>
      </w:r>
      <w:r>
        <w:rPr>
          <w:rFonts w:ascii="Verdana" w:hAnsi="Verdana"/>
        </w:rPr>
        <w:t xml:space="preserve">. </w:t>
      </w:r>
      <w:r w:rsidRPr="00556AAF">
        <w:rPr>
          <w:rFonts w:ascii="Verdana" w:hAnsi="Verdana"/>
        </w:rPr>
        <w:t>Kaudsete heidete kalkuleerimisel on võimalik võtta arvesse elektri tootmise keskmist riiklikku kütusesegu (kasutades näiteks IEA-OECD „OECD riikide energiabilanss”).</w:t>
      </w:r>
    </w:p>
    <w:p w:rsidR="001167CA" w:rsidRDefault="00094189" w:rsidP="00900256">
      <w:pPr>
        <w:spacing w:before="100" w:beforeAutospacing="1"/>
        <w:jc w:val="both"/>
        <w:rPr>
          <w:rFonts w:ascii="Verdana" w:hAnsi="Verdana"/>
        </w:rPr>
      </w:pPr>
      <w:r>
        <w:rPr>
          <w:rFonts w:ascii="Verdana" w:hAnsi="Verdana"/>
        </w:rPr>
        <w:t>Eesti riiklikuks eripäraks on</w:t>
      </w:r>
      <w:r w:rsidR="00F8363A">
        <w:rPr>
          <w:rFonts w:ascii="Verdana" w:hAnsi="Verdana"/>
        </w:rPr>
        <w:t xml:space="preserve"> põlevkivi suur osakaal elektri </w:t>
      </w:r>
      <w:r>
        <w:rPr>
          <w:rFonts w:ascii="Verdana" w:hAnsi="Verdana"/>
        </w:rPr>
        <w:t>tootmise</w:t>
      </w:r>
      <w:r w:rsidR="00F87D59">
        <w:rPr>
          <w:rFonts w:ascii="Verdana" w:hAnsi="Verdana"/>
        </w:rPr>
        <w:t>ks kasutatavas  energia</w:t>
      </w:r>
      <w:r>
        <w:rPr>
          <w:rFonts w:ascii="Verdana" w:hAnsi="Verdana"/>
        </w:rPr>
        <w:t>segus. Vastav % on aeglaselt langenud: 9</w:t>
      </w:r>
      <w:r w:rsidR="00F87D59">
        <w:rPr>
          <w:rFonts w:ascii="Verdana" w:hAnsi="Verdana"/>
        </w:rPr>
        <w:t>5-lt protsendilt 1995. aastal 86</w:t>
      </w:r>
      <w:r>
        <w:rPr>
          <w:rFonts w:ascii="Verdana" w:hAnsi="Verdana"/>
        </w:rPr>
        <w:t xml:space="preserve">-le </w:t>
      </w:r>
      <w:r w:rsidR="00F87D59">
        <w:rPr>
          <w:rFonts w:ascii="Verdana" w:hAnsi="Verdana"/>
        </w:rPr>
        <w:t>protsendile 2010</w:t>
      </w:r>
      <w:r>
        <w:rPr>
          <w:rFonts w:ascii="Verdana" w:hAnsi="Verdana"/>
        </w:rPr>
        <w:t xml:space="preserve">. aastal. </w:t>
      </w:r>
      <w:r w:rsidR="008A6E42">
        <w:rPr>
          <w:rFonts w:ascii="Verdana" w:hAnsi="Verdana"/>
        </w:rPr>
        <w:t>Gaasid moodustasid 2010.a. energiasegust 5,5%, taastuvad energiaallikad 8% ning vedelad kütused 0,3</w:t>
      </w:r>
      <w:r w:rsidR="00765105">
        <w:rPr>
          <w:rFonts w:ascii="Verdana" w:hAnsi="Verdana"/>
        </w:rPr>
        <w:t xml:space="preserve">%. </w:t>
      </w:r>
    </w:p>
    <w:p w:rsidR="001167CA" w:rsidRDefault="001167CA" w:rsidP="00900256">
      <w:pPr>
        <w:spacing w:after="100" w:afterAutospacing="1"/>
        <w:jc w:val="both"/>
        <w:rPr>
          <w:rFonts w:ascii="Verdana" w:hAnsi="Verdana"/>
        </w:rPr>
      </w:pPr>
      <w:r w:rsidRPr="00556AAF">
        <w:rPr>
          <w:rFonts w:ascii="Verdana" w:hAnsi="Verdana"/>
        </w:rPr>
        <w:t>Elektri hulk jaotatakse tahkeks, vedelaks ja gaasiliseks kütuseks vastavalt keskmisele kütusesegule ja korrutatakse vastava tahke, vedela või gaasilise kütuse CO</w:t>
      </w:r>
      <w:r w:rsidRPr="00556AAF">
        <w:rPr>
          <w:rFonts w:ascii="Verdana" w:hAnsi="Verdana"/>
          <w:vertAlign w:val="subscript"/>
        </w:rPr>
        <w:t xml:space="preserve">2 </w:t>
      </w:r>
      <w:r w:rsidRPr="00556AAF">
        <w:rPr>
          <w:rFonts w:ascii="Verdana" w:hAnsi="Verdana"/>
        </w:rPr>
        <w:t>heite</w:t>
      </w:r>
      <w:r>
        <w:rPr>
          <w:rFonts w:ascii="Verdana" w:hAnsi="Verdana"/>
        </w:rPr>
        <w:t>koefitsiendiga</w:t>
      </w:r>
      <w:r w:rsidRPr="00556AAF">
        <w:rPr>
          <w:rFonts w:ascii="Verdana" w:hAnsi="Verdana"/>
        </w:rPr>
        <w:t>.</w:t>
      </w:r>
    </w:p>
    <w:p w:rsidR="00765105" w:rsidRDefault="00990C87" w:rsidP="00F87D59">
      <w:pPr>
        <w:spacing w:after="100" w:afterAutospacing="1"/>
        <w:rPr>
          <w:rFonts w:ascii="Verdana" w:hAnsi="Verdana"/>
        </w:rPr>
      </w:pPr>
      <w:r>
        <w:rPr>
          <w:rFonts w:ascii="Verdana" w:hAnsi="Verdana"/>
          <w:noProof/>
        </w:rPr>
        <w:drawing>
          <wp:inline distT="0" distB="0" distL="0" distR="0" wp14:anchorId="4BAC632E" wp14:editId="2F65C13D">
            <wp:extent cx="6400800" cy="1868805"/>
            <wp:effectExtent l="0" t="0" r="0" b="0"/>
            <wp:docPr id="7"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1868805"/>
                    </a:xfrm>
                    <a:prstGeom prst="rect">
                      <a:avLst/>
                    </a:prstGeom>
                    <a:noFill/>
                    <a:ln>
                      <a:noFill/>
                    </a:ln>
                  </pic:spPr>
                </pic:pic>
              </a:graphicData>
            </a:graphic>
          </wp:inline>
        </w:drawing>
      </w:r>
    </w:p>
    <w:p w:rsidR="008A6E42" w:rsidRDefault="00765105" w:rsidP="001167CA">
      <w:pPr>
        <w:spacing w:after="100" w:afterAutospacing="1"/>
        <w:rPr>
          <w:rFonts w:ascii="Verdana" w:hAnsi="Verdana"/>
        </w:rPr>
      </w:pPr>
      <w:r>
        <w:rPr>
          <w:rFonts w:ascii="Verdana" w:hAnsi="Verdana"/>
        </w:rPr>
        <w:t xml:space="preserve">Allikas: Euroopa Komisjoni Energia peadirektoraadi </w:t>
      </w:r>
      <w:r w:rsidR="008A6E42">
        <w:rPr>
          <w:rFonts w:ascii="Verdana" w:hAnsi="Verdana"/>
        </w:rPr>
        <w:t>väljaanne „EU Energy in Figures, 2012</w:t>
      </w:r>
      <w:r>
        <w:rPr>
          <w:rFonts w:ascii="Verdana" w:hAnsi="Verdana"/>
        </w:rPr>
        <w:t xml:space="preserve">: </w:t>
      </w:r>
      <w:hyperlink r:id="rId29" w:history="1">
        <w:r w:rsidR="008A6E42" w:rsidRPr="00125174">
          <w:rPr>
            <w:rStyle w:val="Hperlink"/>
            <w:rFonts w:ascii="Verdana" w:hAnsi="Verdana"/>
          </w:rPr>
          <w:t>http://ec.europa.eu/energy/publications/doc/2012_energy_figures.pdf</w:t>
        </w:r>
      </w:hyperlink>
      <w:r w:rsidR="008A6E42">
        <w:rPr>
          <w:rFonts w:ascii="Verdana" w:hAnsi="Verdana"/>
        </w:rPr>
        <w:t xml:space="preserve"> </w:t>
      </w:r>
    </w:p>
    <w:p w:rsidR="00CE203C" w:rsidRDefault="00CE203C" w:rsidP="00C0259B">
      <w:pPr>
        <w:spacing w:after="100" w:afterAutospacing="1"/>
        <w:jc w:val="both"/>
        <w:rPr>
          <w:rFonts w:ascii="Verdana" w:hAnsi="Verdana"/>
        </w:rPr>
      </w:pPr>
      <w:r>
        <w:rPr>
          <w:rFonts w:ascii="Verdana" w:hAnsi="Verdana"/>
        </w:rPr>
        <w:t>Seega on ettevõtetel oma CO</w:t>
      </w:r>
      <w:r w:rsidRPr="00F8363A">
        <w:rPr>
          <w:rFonts w:ascii="Verdana" w:hAnsi="Verdana"/>
          <w:vertAlign w:val="subscript"/>
        </w:rPr>
        <w:t>2</w:t>
      </w:r>
      <w:r>
        <w:rPr>
          <w:rFonts w:ascii="Verdana" w:hAnsi="Verdana"/>
        </w:rPr>
        <w:t xml:space="preserve"> heite kalkuleerimiseks mitmeid erinevaid võimalusi ning meetodi valik sõltub sellest, kui täpsetele andmetele on ettevõttel ligipääs. Kui ettevõte kasutab ainult kolmandate osapoolte toodetud elektrit ega oma infot täpsest energiasegust, siis tuleb kasutada käesolevas juhendis toodud lihtsustusi heite arvutamiseks. Oluline on, et ettevõte valiks kättesaadavate andmete põhjal endale sobivaima metoodika, dokumenteeriks selle ning kasutaks igaaastases aruandluses ühte ja sama lähenemist. Kõik edasised metoodika korrigeerimised ja muutmised tuleb samuti dokumenteerida ning EKTLga kooskõlastada. </w:t>
      </w:r>
    </w:p>
    <w:p w:rsidR="00D71880" w:rsidRDefault="00D71880" w:rsidP="00C0259B">
      <w:pPr>
        <w:spacing w:after="100" w:afterAutospacing="1"/>
        <w:jc w:val="both"/>
        <w:rPr>
          <w:rFonts w:ascii="Verdana" w:hAnsi="Verdana"/>
        </w:rPr>
      </w:pPr>
      <w:r>
        <w:rPr>
          <w:rFonts w:ascii="Verdana" w:hAnsi="Verdana"/>
        </w:rPr>
        <w:t xml:space="preserve">Loomulikult tuleb võtta arvesse, et ettevõtetel on võimalus osta vaid rohelist energiat ja/või kasutada omatoodangu jaoks taastuvaid kütuseid. Viimaste osas on Euroopa Komisjon välja toonud kütuste liigid, mille puhul rakendatakse heitekoefitsiendina „nulli“. </w:t>
      </w:r>
    </w:p>
    <w:p w:rsidR="0015058C" w:rsidRDefault="00D71880" w:rsidP="001167CA">
      <w:pPr>
        <w:spacing w:after="100" w:afterAutospacing="1"/>
        <w:rPr>
          <w:rFonts w:ascii="Verdana" w:hAnsi="Verdana"/>
        </w:rPr>
      </w:pPr>
      <w:r>
        <w:rPr>
          <w:rFonts w:ascii="Verdana" w:hAnsi="Verdana"/>
        </w:rPr>
        <w:t>Nendeks kütuseliikideks on:</w:t>
      </w:r>
    </w:p>
    <w:p w:rsidR="00D71880" w:rsidRPr="00D71880" w:rsidRDefault="00D71880" w:rsidP="00D71880">
      <w:pPr>
        <w:pStyle w:val="Loendilik"/>
        <w:numPr>
          <w:ilvl w:val="0"/>
          <w:numId w:val="37"/>
        </w:numPr>
        <w:rPr>
          <w:rFonts w:ascii="Verdana" w:hAnsi="Verdana"/>
        </w:rPr>
      </w:pPr>
      <w:r w:rsidRPr="00D71880">
        <w:rPr>
          <w:rFonts w:ascii="Verdana" w:hAnsi="Verdana"/>
        </w:rPr>
        <w:t xml:space="preserve">Puit/Puidujäätmed 0 </w:t>
      </w:r>
    </w:p>
    <w:p w:rsidR="00D71880" w:rsidRPr="00D71880" w:rsidRDefault="00D71880" w:rsidP="00D71880">
      <w:pPr>
        <w:pStyle w:val="Loendilik"/>
        <w:numPr>
          <w:ilvl w:val="0"/>
          <w:numId w:val="37"/>
        </w:numPr>
        <w:rPr>
          <w:rFonts w:ascii="Verdana" w:hAnsi="Verdana"/>
        </w:rPr>
      </w:pPr>
      <w:r w:rsidRPr="00D71880">
        <w:rPr>
          <w:rFonts w:ascii="Verdana" w:hAnsi="Verdana"/>
        </w:rPr>
        <w:lastRenderedPageBreak/>
        <w:t xml:space="preserve">Muu esmane tahke biomass 0 </w:t>
      </w:r>
    </w:p>
    <w:p w:rsidR="00D71880" w:rsidRDefault="00D71880" w:rsidP="00D71880">
      <w:pPr>
        <w:pStyle w:val="Loendilik"/>
        <w:numPr>
          <w:ilvl w:val="0"/>
          <w:numId w:val="37"/>
        </w:numPr>
        <w:rPr>
          <w:rFonts w:ascii="Verdana" w:hAnsi="Verdana"/>
        </w:rPr>
      </w:pPr>
      <w:r w:rsidRPr="00D71880">
        <w:rPr>
          <w:rFonts w:ascii="Verdana" w:hAnsi="Verdana"/>
        </w:rPr>
        <w:t xml:space="preserve">Puusüsi 0 </w:t>
      </w:r>
    </w:p>
    <w:p w:rsidR="00D71880" w:rsidRPr="00D71880" w:rsidRDefault="00D71880" w:rsidP="00D71880">
      <w:pPr>
        <w:pStyle w:val="Loendilik"/>
        <w:numPr>
          <w:ilvl w:val="0"/>
          <w:numId w:val="37"/>
        </w:numPr>
        <w:rPr>
          <w:rFonts w:ascii="Verdana" w:hAnsi="Verdana"/>
        </w:rPr>
      </w:pPr>
      <w:r w:rsidRPr="00D71880">
        <w:rPr>
          <w:rFonts w:ascii="Verdana" w:hAnsi="Verdana"/>
        </w:rPr>
        <w:t xml:space="preserve">Biobensiin 0 </w:t>
      </w:r>
    </w:p>
    <w:p w:rsidR="00D71880" w:rsidRPr="00D71880" w:rsidRDefault="00D71880" w:rsidP="00D71880">
      <w:pPr>
        <w:pStyle w:val="Loendilik"/>
        <w:numPr>
          <w:ilvl w:val="0"/>
          <w:numId w:val="37"/>
        </w:numPr>
        <w:rPr>
          <w:rFonts w:ascii="Verdana" w:hAnsi="Verdana"/>
        </w:rPr>
      </w:pPr>
      <w:r w:rsidRPr="00D71880">
        <w:rPr>
          <w:rFonts w:ascii="Verdana" w:hAnsi="Verdana"/>
        </w:rPr>
        <w:t xml:space="preserve">Biodiisel 0 </w:t>
      </w:r>
    </w:p>
    <w:p w:rsidR="00D71880" w:rsidRPr="00D71880" w:rsidRDefault="00D71880" w:rsidP="00D71880">
      <w:pPr>
        <w:pStyle w:val="Loendilik"/>
        <w:numPr>
          <w:ilvl w:val="0"/>
          <w:numId w:val="37"/>
        </w:numPr>
        <w:rPr>
          <w:rFonts w:ascii="Verdana" w:hAnsi="Verdana"/>
        </w:rPr>
      </w:pPr>
      <w:r w:rsidRPr="00D71880">
        <w:rPr>
          <w:rFonts w:ascii="Verdana" w:hAnsi="Verdana"/>
        </w:rPr>
        <w:t xml:space="preserve">Muud vedelad biokütused 0 </w:t>
      </w:r>
    </w:p>
    <w:p w:rsidR="00D71880" w:rsidRPr="00D71880" w:rsidRDefault="00D71880" w:rsidP="00D71880">
      <w:pPr>
        <w:pStyle w:val="Loendilik"/>
        <w:numPr>
          <w:ilvl w:val="0"/>
          <w:numId w:val="37"/>
        </w:numPr>
        <w:rPr>
          <w:rFonts w:ascii="Verdana" w:hAnsi="Verdana"/>
        </w:rPr>
      </w:pPr>
      <w:r w:rsidRPr="00D71880">
        <w:rPr>
          <w:rFonts w:ascii="Verdana" w:hAnsi="Verdana"/>
        </w:rPr>
        <w:t xml:space="preserve">Prügilagaas 0 </w:t>
      </w:r>
    </w:p>
    <w:p w:rsidR="00D71880" w:rsidRPr="00D71880" w:rsidRDefault="00D71880" w:rsidP="00D71880">
      <w:pPr>
        <w:pStyle w:val="Loendilik"/>
        <w:numPr>
          <w:ilvl w:val="0"/>
          <w:numId w:val="37"/>
        </w:numPr>
        <w:rPr>
          <w:rFonts w:ascii="Verdana" w:hAnsi="Verdana"/>
        </w:rPr>
      </w:pPr>
      <w:r w:rsidRPr="00D71880">
        <w:rPr>
          <w:rFonts w:ascii="Verdana" w:hAnsi="Verdana"/>
        </w:rPr>
        <w:t xml:space="preserve">Reoveegaas 0 </w:t>
      </w:r>
    </w:p>
    <w:p w:rsidR="00D71880" w:rsidRPr="00D71880" w:rsidRDefault="00D71880" w:rsidP="00D71880">
      <w:pPr>
        <w:pStyle w:val="Loendilik"/>
        <w:numPr>
          <w:ilvl w:val="0"/>
          <w:numId w:val="37"/>
        </w:numPr>
        <w:rPr>
          <w:rFonts w:ascii="Verdana" w:hAnsi="Verdana"/>
        </w:rPr>
      </w:pPr>
      <w:r w:rsidRPr="00D71880">
        <w:rPr>
          <w:rFonts w:ascii="Verdana" w:hAnsi="Verdana"/>
        </w:rPr>
        <w:t>Muu biogaas</w:t>
      </w:r>
      <w:r>
        <w:rPr>
          <w:rFonts w:ascii="Verdana" w:hAnsi="Verdana"/>
        </w:rPr>
        <w:t xml:space="preserve"> 0</w:t>
      </w:r>
    </w:p>
    <w:p w:rsidR="00D71880" w:rsidRPr="00C61F7A" w:rsidRDefault="00D71880" w:rsidP="001167CA">
      <w:pPr>
        <w:spacing w:after="100" w:afterAutospacing="1"/>
        <w:rPr>
          <w:rFonts w:ascii="Verdana" w:hAnsi="Verdana"/>
        </w:rPr>
      </w:pPr>
    </w:p>
    <w:p w:rsidR="00D71880" w:rsidRPr="00F63FD6" w:rsidRDefault="00D71880" w:rsidP="00F63FD6">
      <w:pPr>
        <w:pStyle w:val="Pealkiri2"/>
        <w:rPr>
          <w:sz w:val="20"/>
          <w:szCs w:val="20"/>
        </w:rPr>
      </w:pPr>
      <w:r>
        <w:rPr>
          <w:sz w:val="20"/>
          <w:szCs w:val="20"/>
        </w:rPr>
        <w:br w:type="page"/>
      </w:r>
      <w:bookmarkStart w:id="59" w:name="_Toc341362256"/>
      <w:bookmarkStart w:id="60" w:name="_Toc358822440"/>
      <w:r w:rsidRPr="00D71880">
        <w:lastRenderedPageBreak/>
        <w:t xml:space="preserve">Lisa </w:t>
      </w:r>
      <w:bookmarkEnd w:id="59"/>
      <w:r w:rsidR="00933E62">
        <w:t>5</w:t>
      </w:r>
      <w:r w:rsidR="00F63FD6">
        <w:t xml:space="preserve">: </w:t>
      </w:r>
      <w:r w:rsidRPr="00556AAF">
        <w:t xml:space="preserve">Energia </w:t>
      </w:r>
      <w:r>
        <w:t>tarbi</w:t>
      </w:r>
      <w:r w:rsidRPr="00556AAF">
        <w:t>mine</w:t>
      </w:r>
      <w:bookmarkEnd w:id="60"/>
    </w:p>
    <w:p w:rsidR="009A6513" w:rsidRDefault="009A6513" w:rsidP="00795B25">
      <w:pPr>
        <w:pStyle w:val="Normaallaadveeb"/>
        <w:jc w:val="both"/>
        <w:rPr>
          <w:rFonts w:ascii="Verdana" w:hAnsi="Verdana"/>
          <w:lang w:val="et-EE"/>
        </w:rPr>
      </w:pPr>
      <w:r>
        <w:rPr>
          <w:rFonts w:ascii="Verdana" w:hAnsi="Verdana"/>
          <w:lang w:val="et-EE"/>
        </w:rPr>
        <w:t>Energia tarbimist väljendatakse antud näitaja puhul primaarenergia ühikutes.</w:t>
      </w:r>
    </w:p>
    <w:p w:rsidR="00D71880" w:rsidRPr="00556AAF" w:rsidRDefault="00D71880" w:rsidP="00795B25">
      <w:pPr>
        <w:pStyle w:val="Normaallaadveeb"/>
        <w:jc w:val="both"/>
        <w:rPr>
          <w:lang w:val="et-EE"/>
        </w:rPr>
      </w:pPr>
      <w:r>
        <w:rPr>
          <w:rFonts w:ascii="Verdana" w:hAnsi="Verdana"/>
          <w:lang w:val="et-EE"/>
        </w:rPr>
        <w:t>Keemiatööstus tarbib</w:t>
      </w:r>
      <w:r w:rsidRPr="00556AAF">
        <w:rPr>
          <w:rFonts w:ascii="Verdana" w:hAnsi="Verdana"/>
          <w:lang w:val="et-EE"/>
        </w:rPr>
        <w:t xml:space="preserve"> energiaallika</w:t>
      </w:r>
      <w:r>
        <w:rPr>
          <w:rFonts w:ascii="Verdana" w:hAnsi="Verdana"/>
          <w:lang w:val="et-EE"/>
        </w:rPr>
        <w:t>i</w:t>
      </w:r>
      <w:r w:rsidRPr="00556AAF">
        <w:rPr>
          <w:rFonts w:ascii="Verdana" w:hAnsi="Verdana"/>
          <w:lang w:val="et-EE"/>
        </w:rPr>
        <w:t xml:space="preserve">d </w:t>
      </w:r>
      <w:r>
        <w:rPr>
          <w:rFonts w:ascii="Verdana" w:hAnsi="Verdana"/>
          <w:lang w:val="et-EE"/>
        </w:rPr>
        <w:t>kahel erineval</w:t>
      </w:r>
      <w:r w:rsidRPr="00556AAF">
        <w:rPr>
          <w:rFonts w:ascii="Verdana" w:hAnsi="Verdana"/>
          <w:lang w:val="et-EE"/>
        </w:rPr>
        <w:t xml:space="preserve"> </w:t>
      </w:r>
      <w:r>
        <w:rPr>
          <w:rFonts w:ascii="Verdana" w:hAnsi="Verdana"/>
          <w:lang w:val="et-EE"/>
        </w:rPr>
        <w:t>viisil</w:t>
      </w:r>
      <w:r w:rsidR="009A6513">
        <w:rPr>
          <w:rFonts w:ascii="Verdana" w:hAnsi="Verdana"/>
          <w:lang w:val="et-EE"/>
        </w:rPr>
        <w:t xml:space="preserve"> – otseselt ja kaudselt, kuid mõlema viisi puhul tuleb energiatarbimist väljendada primaarenergia ühikutes</w:t>
      </w:r>
      <w:r w:rsidRPr="00556AAF">
        <w:rPr>
          <w:rFonts w:ascii="Verdana" w:hAnsi="Verdana"/>
          <w:lang w:val="et-EE"/>
        </w:rPr>
        <w:t>:</w:t>
      </w:r>
    </w:p>
    <w:p w:rsidR="00D71880" w:rsidRPr="00556AAF" w:rsidRDefault="009A6513" w:rsidP="00CE54CD">
      <w:pPr>
        <w:pStyle w:val="Normaallaadveeb"/>
        <w:numPr>
          <w:ilvl w:val="0"/>
          <w:numId w:val="9"/>
        </w:numPr>
        <w:rPr>
          <w:rFonts w:ascii="Verdana" w:hAnsi="Verdana"/>
          <w:lang w:val="et-EE"/>
        </w:rPr>
      </w:pPr>
      <w:r>
        <w:rPr>
          <w:rFonts w:ascii="Verdana" w:hAnsi="Verdana"/>
          <w:lang w:val="et-EE"/>
        </w:rPr>
        <w:t>Otsene primaarenergia tarbimine</w:t>
      </w:r>
      <w:r w:rsidR="00DA2A4E">
        <w:rPr>
          <w:rFonts w:ascii="Verdana" w:hAnsi="Verdana"/>
          <w:lang w:val="et-EE"/>
        </w:rPr>
        <w:t xml:space="preserve"> selleks, et varustada ettevõtete vaheenergiaga nagu elekter, küte ja jahutus</w:t>
      </w:r>
      <w:r w:rsidR="00D71880" w:rsidRPr="00556AAF">
        <w:rPr>
          <w:rFonts w:ascii="Verdana" w:hAnsi="Verdana"/>
          <w:lang w:val="et-EE"/>
        </w:rPr>
        <w:t>.</w:t>
      </w:r>
    </w:p>
    <w:p w:rsidR="00D71880" w:rsidRPr="00556AAF" w:rsidRDefault="00DA2A4E" w:rsidP="00CE54CD">
      <w:pPr>
        <w:pStyle w:val="Normaallaadveeb"/>
        <w:numPr>
          <w:ilvl w:val="0"/>
          <w:numId w:val="9"/>
        </w:numPr>
        <w:rPr>
          <w:rFonts w:ascii="Verdana" w:hAnsi="Verdana"/>
          <w:lang w:val="et-EE"/>
        </w:rPr>
      </w:pPr>
      <w:r>
        <w:rPr>
          <w:rFonts w:ascii="Verdana" w:hAnsi="Verdana"/>
          <w:lang w:val="et-EE"/>
        </w:rPr>
        <w:t xml:space="preserve">Kaudne primaarenergia tarbimine – näitaja mõõdab energiahulka (primaarenergia ühikutes), </w:t>
      </w:r>
      <w:r w:rsidR="00563169">
        <w:rPr>
          <w:rFonts w:ascii="Verdana" w:hAnsi="Verdana"/>
          <w:lang w:val="et-EE"/>
        </w:rPr>
        <w:t>mis on kasutatud välistest allikatest (teised ettevõtted) ostetud elektri ja soojuse tootmiseks, võttes arvesse tootmise efektiivsust ja transpordikadusid</w:t>
      </w:r>
      <w:r w:rsidR="00D71880" w:rsidRPr="00556AAF">
        <w:rPr>
          <w:rFonts w:ascii="Verdana" w:hAnsi="Verdana"/>
          <w:lang w:val="et-EE"/>
        </w:rPr>
        <w:t>.</w:t>
      </w:r>
    </w:p>
    <w:p w:rsidR="00D71880" w:rsidRPr="00556AAF" w:rsidRDefault="00D71880">
      <w:pPr>
        <w:pStyle w:val="Normaallaadveeb"/>
        <w:rPr>
          <w:rFonts w:ascii="Verdana" w:hAnsi="Verdana"/>
          <w:lang w:val="et-EE"/>
        </w:rPr>
      </w:pPr>
      <w:r w:rsidRPr="00556AAF">
        <w:rPr>
          <w:rFonts w:ascii="Verdana" w:hAnsi="Verdana"/>
          <w:lang w:val="et-EE"/>
        </w:rPr>
        <w:t xml:space="preserve">Energia </w:t>
      </w:r>
      <w:r w:rsidR="00563169">
        <w:rPr>
          <w:rFonts w:ascii="Verdana" w:hAnsi="Verdana"/>
          <w:lang w:val="et-EE"/>
        </w:rPr>
        <w:t>tarbi</w:t>
      </w:r>
      <w:r w:rsidRPr="00556AAF">
        <w:rPr>
          <w:rFonts w:ascii="Verdana" w:hAnsi="Verdana"/>
          <w:lang w:val="et-EE"/>
        </w:rPr>
        <w:t>mine</w:t>
      </w:r>
      <w:r w:rsidR="00563169">
        <w:rPr>
          <w:rFonts w:ascii="Verdana" w:hAnsi="Verdana"/>
          <w:lang w:val="et-EE"/>
        </w:rPr>
        <w:t xml:space="preserve"> koosneb alljärgnevatest </w:t>
      </w:r>
      <w:r w:rsidRPr="00556AAF">
        <w:rPr>
          <w:rFonts w:ascii="Verdana" w:hAnsi="Verdana"/>
          <w:lang w:val="et-EE"/>
        </w:rPr>
        <w:t>osadest:</w:t>
      </w:r>
    </w:p>
    <w:p w:rsidR="00D71880" w:rsidRPr="00556AAF" w:rsidRDefault="00D71880">
      <w:pPr>
        <w:pStyle w:val="Normaallaadveeb"/>
        <w:jc w:val="center"/>
        <w:rPr>
          <w:rFonts w:ascii="Verdana" w:hAnsi="Verdana"/>
          <w:lang w:val="et-EE"/>
        </w:rPr>
      </w:pPr>
      <w:r w:rsidRPr="00556AAF">
        <w:rPr>
          <w:rFonts w:ascii="Verdana" w:hAnsi="Verdana"/>
          <w:lang w:val="et-EE"/>
        </w:rPr>
        <w:t>Energia = A + B + C</w:t>
      </w:r>
    </w:p>
    <w:p w:rsidR="00D71880" w:rsidRPr="00556AAF" w:rsidRDefault="00D71880">
      <w:pPr>
        <w:pStyle w:val="Normaallaadveeb"/>
        <w:rPr>
          <w:rFonts w:ascii="Verdana" w:hAnsi="Verdana"/>
          <w:lang w:val="et-EE"/>
        </w:rPr>
      </w:pPr>
      <w:r w:rsidRPr="00556AAF">
        <w:rPr>
          <w:rFonts w:ascii="Verdana" w:hAnsi="Verdana"/>
          <w:lang w:val="et-EE"/>
        </w:rPr>
        <w:t>kus:</w:t>
      </w:r>
    </w:p>
    <w:p w:rsidR="00D71880" w:rsidRPr="00556AAF" w:rsidRDefault="00D71880" w:rsidP="00525EC8">
      <w:pPr>
        <w:pStyle w:val="Normaallaadveeb"/>
        <w:numPr>
          <w:ilvl w:val="0"/>
          <w:numId w:val="8"/>
        </w:numPr>
        <w:jc w:val="both"/>
        <w:rPr>
          <w:rFonts w:ascii="Verdana" w:hAnsi="Verdana"/>
          <w:lang w:val="et-EE"/>
        </w:rPr>
      </w:pPr>
      <w:r w:rsidRPr="00556AAF">
        <w:rPr>
          <w:rFonts w:ascii="Verdana" w:hAnsi="Verdana"/>
          <w:lang w:val="et-EE"/>
        </w:rPr>
        <w:t>A on fossiilsete kütuste kasutamine</w:t>
      </w:r>
      <w:r>
        <w:rPr>
          <w:rFonts w:ascii="Verdana" w:hAnsi="Verdana"/>
          <w:lang w:val="et-EE"/>
        </w:rPr>
        <w:t xml:space="preserve">. Arvestada tuleb </w:t>
      </w:r>
      <w:r w:rsidR="006314FA">
        <w:rPr>
          <w:rFonts w:ascii="Verdana" w:hAnsi="Verdana"/>
          <w:lang w:val="et-EE"/>
        </w:rPr>
        <w:t xml:space="preserve">eraldi </w:t>
      </w:r>
      <w:r>
        <w:rPr>
          <w:rFonts w:ascii="Verdana" w:hAnsi="Verdana"/>
          <w:lang w:val="et-EE"/>
        </w:rPr>
        <w:t>kasutamist nii toormena kui energiana</w:t>
      </w:r>
      <w:r w:rsidRPr="00556AAF">
        <w:rPr>
          <w:rFonts w:ascii="Verdana" w:hAnsi="Verdana"/>
          <w:lang w:val="et-EE"/>
        </w:rPr>
        <w:t>.</w:t>
      </w:r>
      <w:r>
        <w:rPr>
          <w:rFonts w:ascii="Verdana" w:hAnsi="Verdana"/>
          <w:lang w:val="et-EE"/>
        </w:rPr>
        <w:t xml:space="preserve"> Lisaks tuleb võrku tagasi müüdud energia kogus A kogusummast maha lahutada. </w:t>
      </w:r>
    </w:p>
    <w:p w:rsidR="00D71880" w:rsidRPr="00556AAF" w:rsidRDefault="00D71880" w:rsidP="00525EC8">
      <w:pPr>
        <w:pStyle w:val="Normaallaadveeb"/>
        <w:numPr>
          <w:ilvl w:val="0"/>
          <w:numId w:val="8"/>
        </w:numPr>
        <w:jc w:val="both"/>
        <w:rPr>
          <w:rFonts w:ascii="Verdana" w:hAnsi="Verdana"/>
          <w:lang w:val="et-EE"/>
        </w:rPr>
      </w:pPr>
      <w:r w:rsidRPr="00556AAF">
        <w:rPr>
          <w:rFonts w:ascii="Verdana" w:hAnsi="Verdana"/>
          <w:lang w:val="et-EE"/>
        </w:rPr>
        <w:t>B on energia neto ost</w:t>
      </w:r>
      <w:r>
        <w:rPr>
          <w:rFonts w:ascii="Verdana" w:hAnsi="Verdana"/>
          <w:lang w:val="et-EE"/>
        </w:rPr>
        <w:t>, mis sisaldab energia ostmist auru (soojuse) ja elektrina</w:t>
      </w:r>
      <w:r w:rsidRPr="00556AAF">
        <w:rPr>
          <w:rFonts w:ascii="Verdana" w:hAnsi="Verdana"/>
          <w:lang w:val="et-EE"/>
        </w:rPr>
        <w:t>.</w:t>
      </w:r>
      <w:r>
        <w:rPr>
          <w:rFonts w:ascii="Verdana" w:hAnsi="Verdana"/>
          <w:lang w:val="et-EE"/>
        </w:rPr>
        <w:t xml:space="preserve"> Neto ostu saamiseks tuleb vastavalt vajadusele võrku tagasi müüdud elektri või</w:t>
      </w:r>
      <w:r w:rsidR="00563169">
        <w:rPr>
          <w:rFonts w:ascii="Verdana" w:hAnsi="Verdana"/>
          <w:lang w:val="et-EE"/>
        </w:rPr>
        <w:t xml:space="preserve"> soojuse kogused maha lahutada. Energia ostu väljendamiseks primaarenergia ühikutes tuleb kasutada sobivat konverteerimisfaktorit – alljärgnevalt täpsem selgitus.</w:t>
      </w:r>
    </w:p>
    <w:p w:rsidR="00D71880" w:rsidRPr="00556AAF" w:rsidRDefault="00D71880" w:rsidP="00525EC8">
      <w:pPr>
        <w:pStyle w:val="Normaallaadveeb"/>
        <w:numPr>
          <w:ilvl w:val="0"/>
          <w:numId w:val="8"/>
        </w:numPr>
        <w:jc w:val="both"/>
        <w:rPr>
          <w:i/>
          <w:u w:val="single"/>
          <w:lang w:val="et-EE"/>
        </w:rPr>
      </w:pPr>
      <w:r w:rsidRPr="00556AAF">
        <w:rPr>
          <w:rFonts w:ascii="Verdana" w:hAnsi="Verdana"/>
          <w:lang w:val="et-EE"/>
        </w:rPr>
        <w:t xml:space="preserve">C on taastuva energia omatoodang </w:t>
      </w:r>
      <w:r>
        <w:rPr>
          <w:rFonts w:ascii="Verdana" w:hAnsi="Verdana"/>
          <w:lang w:val="et-EE"/>
        </w:rPr>
        <w:t>s.t</w:t>
      </w:r>
      <w:r w:rsidRPr="00556AAF">
        <w:rPr>
          <w:rFonts w:ascii="Verdana" w:hAnsi="Verdana"/>
          <w:lang w:val="et-EE"/>
        </w:rPr>
        <w:t xml:space="preserve"> energia tootmine </w:t>
      </w:r>
      <w:r>
        <w:rPr>
          <w:rFonts w:ascii="Verdana" w:hAnsi="Verdana"/>
          <w:lang w:val="et-EE"/>
        </w:rPr>
        <w:t>mittefossiilsetest allikatest, sest teised omatoodangu liigid, soojus (elektri) energia tootmine fossiilsetest toormetest, on juba arvesse võetud A-s</w:t>
      </w:r>
      <w:r w:rsidRPr="00556AAF">
        <w:rPr>
          <w:rFonts w:ascii="Verdana" w:hAnsi="Verdana"/>
          <w:lang w:val="et-EE"/>
        </w:rPr>
        <w:t>.</w:t>
      </w:r>
    </w:p>
    <w:p w:rsidR="00D71880" w:rsidRPr="00556AAF" w:rsidRDefault="00D71880">
      <w:pPr>
        <w:pStyle w:val="Normaallaadveeb"/>
        <w:ind w:left="360"/>
        <w:rPr>
          <w:lang w:val="et-EE"/>
        </w:rPr>
      </w:pPr>
    </w:p>
    <w:p w:rsidR="00D71880" w:rsidRPr="00556AAF" w:rsidRDefault="00D71880">
      <w:pPr>
        <w:pStyle w:val="Normaallaadveeb"/>
        <w:rPr>
          <w:i/>
          <w:u w:val="single"/>
          <w:lang w:val="et-EE"/>
        </w:rPr>
      </w:pPr>
      <w:r w:rsidRPr="00612410">
        <w:rPr>
          <w:rStyle w:val="Rhutus"/>
          <w:rFonts w:ascii="Verdana" w:hAnsi="Verdana"/>
          <w:lang w:val="et-EE"/>
        </w:rPr>
        <w:t>Fossiil</w:t>
      </w:r>
      <w:r w:rsidR="00612410">
        <w:rPr>
          <w:rStyle w:val="Rhutus"/>
          <w:rFonts w:ascii="Verdana" w:hAnsi="Verdana"/>
          <w:lang w:val="et-EE"/>
        </w:rPr>
        <w:t>sete kütuste klassifitseerimine</w:t>
      </w:r>
      <w:r w:rsidRPr="00612410">
        <w:rPr>
          <w:rStyle w:val="Rhutus"/>
          <w:rFonts w:ascii="Verdana" w:hAnsi="Verdana"/>
          <w:lang w:val="et-EE"/>
        </w:rPr>
        <w:t xml:space="preserve"> </w:t>
      </w:r>
    </w:p>
    <w:p w:rsidR="00D71880" w:rsidRPr="00556AAF" w:rsidRDefault="00D71880">
      <w:pPr>
        <w:pStyle w:val="Normaallaadveeb"/>
        <w:rPr>
          <w:lang w:val="et-EE"/>
        </w:rPr>
      </w:pPr>
      <w:r w:rsidRPr="00556AAF">
        <w:rPr>
          <w:rFonts w:ascii="Verdana" w:hAnsi="Verdana"/>
          <w:lang w:val="et-EE"/>
        </w:rPr>
        <w:t>Fossiilsed kütused, määratletud ülaltoodud A, klassifitseeritakse alljärgnevalt:</w:t>
      </w:r>
    </w:p>
    <w:p w:rsidR="00D71880" w:rsidRPr="00556AAF" w:rsidRDefault="00D71880" w:rsidP="00525EC8">
      <w:pPr>
        <w:pStyle w:val="Normaallaadveeb"/>
        <w:numPr>
          <w:ilvl w:val="0"/>
          <w:numId w:val="7"/>
        </w:numPr>
        <w:jc w:val="both"/>
        <w:rPr>
          <w:lang w:val="et-EE"/>
        </w:rPr>
      </w:pPr>
      <w:r w:rsidRPr="00556AAF">
        <w:rPr>
          <w:rFonts w:ascii="Verdana" w:hAnsi="Verdana"/>
          <w:lang w:val="et-EE"/>
        </w:rPr>
        <w:t>Tahked kütused: koksisüsi, kivisüsi,</w:t>
      </w:r>
      <w:r w:rsidR="00525EC8">
        <w:rPr>
          <w:rFonts w:ascii="Verdana" w:hAnsi="Verdana"/>
          <w:lang w:val="et-EE"/>
        </w:rPr>
        <w:t xml:space="preserve"> põlevkivi,</w:t>
      </w:r>
      <w:r w:rsidRPr="00556AAF">
        <w:rPr>
          <w:rFonts w:ascii="Verdana" w:hAnsi="Verdana"/>
          <w:lang w:val="et-EE"/>
        </w:rPr>
        <w:t xml:space="preserve"> bituumensüsi, pruunsüsi, turvas, koks, ahjukoks ja gaasikoks, patentkütus ja pruunsöe/turbabrikett ja naftakoks.</w:t>
      </w:r>
    </w:p>
    <w:p w:rsidR="00D71880" w:rsidRPr="00556AAF" w:rsidRDefault="00D71880" w:rsidP="00CE54CD">
      <w:pPr>
        <w:pStyle w:val="Normaallaadveeb"/>
        <w:numPr>
          <w:ilvl w:val="0"/>
          <w:numId w:val="7"/>
        </w:numPr>
        <w:jc w:val="both"/>
        <w:rPr>
          <w:lang w:val="et-EE"/>
        </w:rPr>
      </w:pPr>
      <w:r w:rsidRPr="00556AAF">
        <w:rPr>
          <w:rFonts w:ascii="Verdana" w:hAnsi="Verdana"/>
          <w:lang w:val="et-EE"/>
        </w:rPr>
        <w:t>Vedelkütused: toorõli, looduslik vedelgaas, naftatöötlemistehase toorõli,</w:t>
      </w:r>
      <w:r w:rsidR="00525EC8">
        <w:rPr>
          <w:rFonts w:ascii="Verdana" w:hAnsi="Verdana"/>
          <w:lang w:val="et-EE"/>
        </w:rPr>
        <w:t xml:space="preserve"> </w:t>
      </w:r>
      <w:r w:rsidRPr="00556AAF">
        <w:rPr>
          <w:rFonts w:ascii="Verdana" w:hAnsi="Verdana"/>
          <w:lang w:val="et-EE"/>
        </w:rPr>
        <w:t>mootoribensiin, lennukibensiin, reaktiivkütus, petrooleum, gaas/diisliõli, raske kütteõli, nafta.</w:t>
      </w:r>
    </w:p>
    <w:p w:rsidR="00D71880" w:rsidRPr="00556AAF" w:rsidRDefault="00D71880" w:rsidP="00CE54CD">
      <w:pPr>
        <w:pStyle w:val="Normaallaadveeb"/>
        <w:numPr>
          <w:ilvl w:val="0"/>
          <w:numId w:val="7"/>
        </w:numPr>
        <w:jc w:val="both"/>
        <w:rPr>
          <w:lang w:val="et-EE"/>
        </w:rPr>
      </w:pPr>
      <w:r w:rsidRPr="00556AAF">
        <w:rPr>
          <w:rFonts w:ascii="Verdana" w:hAnsi="Verdana"/>
          <w:lang w:val="et-EE"/>
        </w:rPr>
        <w:t xml:space="preserve">Gaaskütused: looduslik gaas, etaan, veeldatud naftagaasid, butaan, propaan, koksiahjugaas, kõrgahjugaas, naftatöötlemistehase gaas, gaasitehaste gaas, linnagaas. Siia ei kuulu keemiatööstuste poolt kasutatavate mootorsõidukite tarbitud gaas. </w:t>
      </w:r>
    </w:p>
    <w:p w:rsidR="00D71880" w:rsidRPr="00556AAF" w:rsidRDefault="00D71880" w:rsidP="00CE54CD">
      <w:pPr>
        <w:pStyle w:val="Normaallaadveeb"/>
        <w:numPr>
          <w:ilvl w:val="0"/>
          <w:numId w:val="7"/>
        </w:numPr>
        <w:jc w:val="both"/>
        <w:rPr>
          <w:lang w:val="et-EE"/>
        </w:rPr>
      </w:pPr>
      <w:r w:rsidRPr="00556AAF">
        <w:rPr>
          <w:rFonts w:ascii="Verdana" w:hAnsi="Verdana"/>
          <w:lang w:val="et-EE"/>
        </w:rPr>
        <w:t xml:space="preserve">Fossiilsete kütuste hulki mõõdetakse õliekvivalendi tonnides (toe). </w:t>
      </w:r>
    </w:p>
    <w:p w:rsidR="00D71880" w:rsidRPr="00612410" w:rsidRDefault="00D71880">
      <w:pPr>
        <w:pStyle w:val="Normaallaadveeb"/>
        <w:rPr>
          <w:rStyle w:val="Rhutus"/>
          <w:rFonts w:ascii="Verdana" w:hAnsi="Verdana"/>
        </w:rPr>
      </w:pPr>
      <w:r w:rsidRPr="00612410">
        <w:rPr>
          <w:rStyle w:val="Rhutus"/>
          <w:rFonts w:ascii="Verdana" w:hAnsi="Verdana"/>
          <w:lang w:val="et-EE"/>
        </w:rPr>
        <w:lastRenderedPageBreak/>
        <w:t>Ene</w:t>
      </w:r>
      <w:r w:rsidR="00612410">
        <w:rPr>
          <w:rStyle w:val="Rhutus"/>
          <w:rFonts w:ascii="Verdana" w:hAnsi="Verdana"/>
          <w:lang w:val="et-EE"/>
        </w:rPr>
        <w:t>rgia neto-ostu klassifikatsioon</w:t>
      </w:r>
    </w:p>
    <w:p w:rsidR="00D71880" w:rsidRPr="00556AAF" w:rsidRDefault="00D71880" w:rsidP="00525EC8">
      <w:pPr>
        <w:pStyle w:val="Normaallaadveeb"/>
        <w:jc w:val="both"/>
        <w:rPr>
          <w:rFonts w:ascii="Verdana" w:hAnsi="Verdana"/>
          <w:lang w:val="et-EE"/>
        </w:rPr>
      </w:pPr>
      <w:r w:rsidRPr="00556AAF">
        <w:rPr>
          <w:rFonts w:ascii="Verdana" w:hAnsi="Verdana"/>
          <w:lang w:val="et-EE"/>
        </w:rPr>
        <w:t>Energia neto-ost, määratletud ülaltoodud B, on soojusenergia (B</w:t>
      </w:r>
      <w:r w:rsidRPr="00556AAF">
        <w:rPr>
          <w:rFonts w:ascii="Verdana" w:hAnsi="Verdana"/>
          <w:vertAlign w:val="subscript"/>
          <w:lang w:val="et-EE"/>
        </w:rPr>
        <w:t>t</w:t>
      </w:r>
      <w:r w:rsidRPr="00556AAF">
        <w:rPr>
          <w:rFonts w:ascii="Verdana" w:hAnsi="Verdana"/>
          <w:lang w:val="et-EE"/>
        </w:rPr>
        <w:t xml:space="preserve"> ) neto-ost  pluss elektrienergia neto-ost (B</w:t>
      </w:r>
      <w:r w:rsidRPr="00556AAF">
        <w:rPr>
          <w:rFonts w:ascii="Verdana" w:hAnsi="Verdana"/>
          <w:vertAlign w:val="subscript"/>
          <w:lang w:val="et-EE"/>
        </w:rPr>
        <w:t>e</w:t>
      </w:r>
      <w:r w:rsidRPr="00556AAF">
        <w:rPr>
          <w:rFonts w:ascii="Verdana" w:hAnsi="Verdana"/>
          <w:lang w:val="et-EE"/>
        </w:rPr>
        <w:t xml:space="preserve"> ):</w:t>
      </w:r>
    </w:p>
    <w:p w:rsidR="00D71880" w:rsidRPr="00556AAF" w:rsidRDefault="00D71880">
      <w:pPr>
        <w:pStyle w:val="Normaallaadveeb"/>
        <w:jc w:val="center"/>
        <w:rPr>
          <w:rFonts w:ascii="Verdana" w:hAnsi="Verdana"/>
          <w:lang w:val="et-EE"/>
        </w:rPr>
      </w:pPr>
      <w:r w:rsidRPr="00556AAF">
        <w:rPr>
          <w:rFonts w:ascii="Verdana" w:hAnsi="Verdana"/>
          <w:lang w:val="et-EE"/>
        </w:rPr>
        <w:t>B= B</w:t>
      </w:r>
      <w:r w:rsidRPr="00556AAF">
        <w:rPr>
          <w:rFonts w:ascii="Verdana" w:hAnsi="Verdana"/>
          <w:vertAlign w:val="subscript"/>
          <w:lang w:val="et-EE"/>
        </w:rPr>
        <w:t>t</w:t>
      </w:r>
      <w:r w:rsidRPr="00556AAF">
        <w:rPr>
          <w:rFonts w:ascii="Verdana" w:hAnsi="Verdana"/>
          <w:lang w:val="et-EE"/>
        </w:rPr>
        <w:t xml:space="preserve"> + B</w:t>
      </w:r>
      <w:r w:rsidRPr="00556AAF">
        <w:rPr>
          <w:rFonts w:ascii="Verdana" w:hAnsi="Verdana"/>
          <w:vertAlign w:val="subscript"/>
          <w:lang w:val="et-EE"/>
        </w:rPr>
        <w:t>e</w:t>
      </w:r>
    </w:p>
    <w:p w:rsidR="00D71880" w:rsidRPr="00556AAF" w:rsidRDefault="00D71880" w:rsidP="00525EC8">
      <w:pPr>
        <w:pStyle w:val="Normaallaadveeb"/>
        <w:numPr>
          <w:ilvl w:val="0"/>
          <w:numId w:val="7"/>
        </w:numPr>
        <w:jc w:val="both"/>
        <w:rPr>
          <w:lang w:val="et-EE"/>
        </w:rPr>
      </w:pPr>
      <w:r w:rsidRPr="00556AAF">
        <w:rPr>
          <w:rFonts w:ascii="Verdana" w:hAnsi="Verdana"/>
          <w:i/>
          <w:lang w:val="et-EE"/>
        </w:rPr>
        <w:t>Soojusenergia  (</w:t>
      </w:r>
      <w:r w:rsidRPr="00556AAF">
        <w:rPr>
          <w:rFonts w:ascii="Verdana" w:hAnsi="Verdana"/>
          <w:lang w:val="et-EE"/>
        </w:rPr>
        <w:t>B</w:t>
      </w:r>
      <w:r w:rsidRPr="00556AAF">
        <w:rPr>
          <w:rFonts w:ascii="Verdana" w:hAnsi="Verdana"/>
          <w:vertAlign w:val="subscript"/>
          <w:lang w:val="et-EE"/>
        </w:rPr>
        <w:t>t</w:t>
      </w:r>
      <w:r w:rsidRPr="00556AAF">
        <w:rPr>
          <w:rFonts w:ascii="Verdana" w:hAnsi="Verdana"/>
          <w:i/>
          <w:lang w:val="et-EE"/>
        </w:rPr>
        <w:t xml:space="preserve">) </w:t>
      </w:r>
      <w:r>
        <w:rPr>
          <w:rFonts w:ascii="Verdana" w:hAnsi="Verdana"/>
          <w:lang w:val="et-EE"/>
        </w:rPr>
        <w:t>ne</w:t>
      </w:r>
      <w:r w:rsidRPr="00556AAF">
        <w:rPr>
          <w:rFonts w:ascii="Verdana" w:hAnsi="Verdana"/>
          <w:lang w:val="et-EE"/>
        </w:rPr>
        <w:t xml:space="preserve">to-ost on ostetud soojusenergia hulk </w:t>
      </w:r>
      <w:r w:rsidRPr="00556AAF">
        <w:rPr>
          <w:rFonts w:ascii="Verdana" w:hAnsi="Verdana"/>
          <w:i/>
          <w:lang w:val="et-EE"/>
        </w:rPr>
        <w:t xml:space="preserve"> </w:t>
      </w:r>
      <w:r w:rsidRPr="00556AAF">
        <w:rPr>
          <w:rFonts w:ascii="Verdana" w:hAnsi="Verdana"/>
          <w:lang w:val="et-EE"/>
        </w:rPr>
        <w:t>(Btp) miinus müüdud soojusenergia (Bts) (Bt = Btp - Bts) ja mõõdetakse konverteerituna toe-sse;</w:t>
      </w:r>
    </w:p>
    <w:p w:rsidR="00D71880" w:rsidRPr="00556AAF" w:rsidRDefault="00D71880" w:rsidP="00525EC8">
      <w:pPr>
        <w:pStyle w:val="Normaallaadveeb"/>
        <w:numPr>
          <w:ilvl w:val="0"/>
          <w:numId w:val="7"/>
        </w:numPr>
        <w:jc w:val="both"/>
        <w:rPr>
          <w:lang w:val="et-EE"/>
        </w:rPr>
      </w:pPr>
      <w:r w:rsidRPr="00556AAF">
        <w:rPr>
          <w:rFonts w:ascii="Verdana" w:hAnsi="Verdana"/>
          <w:i/>
          <w:lang w:val="et-EE"/>
        </w:rPr>
        <w:t>Elektrienergia neto-ost  (</w:t>
      </w:r>
      <w:r w:rsidRPr="00556AAF">
        <w:rPr>
          <w:rFonts w:ascii="Verdana" w:hAnsi="Verdana"/>
          <w:b/>
          <w:i/>
          <w:lang w:val="et-EE"/>
        </w:rPr>
        <w:t>B</w:t>
      </w:r>
      <w:r w:rsidRPr="00556AAF">
        <w:rPr>
          <w:rFonts w:ascii="Verdana" w:hAnsi="Verdana"/>
          <w:b/>
          <w:i/>
          <w:vertAlign w:val="subscript"/>
          <w:lang w:val="et-EE"/>
        </w:rPr>
        <w:t>e</w:t>
      </w:r>
      <w:r w:rsidRPr="00556AAF">
        <w:rPr>
          <w:rFonts w:ascii="Verdana" w:hAnsi="Verdana"/>
          <w:i/>
          <w:lang w:val="et-EE"/>
        </w:rPr>
        <w:t xml:space="preserve">), näiteks elekter, on </w:t>
      </w:r>
      <w:r w:rsidRPr="00556AAF">
        <w:rPr>
          <w:rFonts w:ascii="Verdana" w:hAnsi="Verdana"/>
          <w:lang w:val="et-EE"/>
        </w:rPr>
        <w:t>ostetud elektrienergia hulk miinus müüdud elektrienergia;</w:t>
      </w:r>
      <w:r w:rsidRPr="00556AAF">
        <w:rPr>
          <w:lang w:val="et-EE"/>
        </w:rPr>
        <w:t xml:space="preserve"> </w:t>
      </w:r>
    </w:p>
    <w:p w:rsidR="00D71880" w:rsidRPr="00556AAF" w:rsidRDefault="00D71880" w:rsidP="00525EC8">
      <w:pPr>
        <w:pStyle w:val="Normaallaadveeb"/>
        <w:numPr>
          <w:ilvl w:val="0"/>
          <w:numId w:val="7"/>
        </w:numPr>
        <w:jc w:val="both"/>
        <w:rPr>
          <w:lang w:val="et-EE"/>
        </w:rPr>
      </w:pPr>
      <w:r w:rsidRPr="00556AAF">
        <w:rPr>
          <w:rFonts w:ascii="Verdana" w:hAnsi="Verdana"/>
          <w:lang w:val="et-EE"/>
        </w:rPr>
        <w:t>Elektrienergia ühikuks on GWh. Et neid oleks võimalik kokku liita, konverteeritakse elektrienergia hulgad toe-sse;</w:t>
      </w:r>
    </w:p>
    <w:p w:rsidR="00D71880" w:rsidRPr="00556AAF" w:rsidRDefault="00D71880" w:rsidP="00525EC8">
      <w:pPr>
        <w:pStyle w:val="Normaallaadveeb"/>
        <w:numPr>
          <w:ilvl w:val="0"/>
          <w:numId w:val="7"/>
        </w:numPr>
        <w:jc w:val="both"/>
        <w:rPr>
          <w:rFonts w:ascii="Verdana" w:hAnsi="Verdana"/>
          <w:u w:val="single"/>
          <w:lang w:val="et-EE"/>
        </w:rPr>
      </w:pPr>
      <w:r w:rsidRPr="00556AAF">
        <w:rPr>
          <w:rFonts w:ascii="Verdana" w:hAnsi="Verdana"/>
          <w:lang w:val="et-EE"/>
        </w:rPr>
        <w:t>Arvestades esmast energiat</w:t>
      </w:r>
      <w:r w:rsidR="006314FA">
        <w:rPr>
          <w:rFonts w:ascii="Verdana" w:hAnsi="Verdana"/>
          <w:lang w:val="et-EE"/>
        </w:rPr>
        <w:t xml:space="preserve"> (primaarenergiat)</w:t>
      </w:r>
      <w:r w:rsidRPr="00556AAF">
        <w:rPr>
          <w:rFonts w:ascii="Verdana" w:hAnsi="Verdana"/>
          <w:lang w:val="et-EE"/>
        </w:rPr>
        <w:t xml:space="preserve">, mis kulub ühe GWh tootmiseks, </w:t>
      </w:r>
      <w:r w:rsidRPr="00516C5D">
        <w:rPr>
          <w:rFonts w:ascii="Verdana" w:hAnsi="Verdana"/>
          <w:b/>
          <w:lang w:val="et-EE"/>
        </w:rPr>
        <w:t>soovitatakse konverteerimisfaktorit 9767 GJ ühe GWh kohta või 0,2332 ktoe-d ühe GWh kohta.</w:t>
      </w:r>
      <w:r w:rsidRPr="00556AAF">
        <w:rPr>
          <w:rFonts w:ascii="Verdana" w:hAnsi="Verdana"/>
          <w:lang w:val="et-EE"/>
        </w:rPr>
        <w:t xml:space="preserve"> </w:t>
      </w:r>
      <w:r w:rsidR="003853CF">
        <w:rPr>
          <w:rFonts w:ascii="Verdana" w:hAnsi="Verdana"/>
          <w:lang w:val="et-EE"/>
        </w:rPr>
        <w:t>(</w:t>
      </w:r>
      <w:r w:rsidR="009A6513">
        <w:rPr>
          <w:rFonts w:ascii="Verdana" w:hAnsi="Verdana"/>
          <w:lang w:val="et-EE"/>
        </w:rPr>
        <w:t>F</w:t>
      </w:r>
      <w:r w:rsidR="003853CF">
        <w:rPr>
          <w:rFonts w:ascii="Verdana" w:hAnsi="Verdana"/>
          <w:lang w:val="et-EE"/>
        </w:rPr>
        <w:t>aktor võtab arvesse keskmist elektritootmise efektiivsust Euroopa elektrijaamades, keskmist kütusesegu ja kadusid elektri ülekandevõrkudes</w:t>
      </w:r>
      <w:r w:rsidR="009A6513">
        <w:rPr>
          <w:rFonts w:ascii="Verdana" w:hAnsi="Verdana"/>
          <w:lang w:val="et-EE"/>
        </w:rPr>
        <w:t>.</w:t>
      </w:r>
      <w:r w:rsidR="003853CF">
        <w:rPr>
          <w:rFonts w:ascii="Verdana" w:hAnsi="Verdana"/>
          <w:lang w:val="et-EE"/>
        </w:rPr>
        <w:t xml:space="preserve">) </w:t>
      </w:r>
      <w:r w:rsidRPr="00556AAF">
        <w:rPr>
          <w:rFonts w:ascii="Verdana" w:hAnsi="Verdana"/>
          <w:lang w:val="et-EE"/>
        </w:rPr>
        <w:t xml:space="preserve">Soovituslik faktor puudutab neid riike, kes ei ole suutelised välja töötama oma riiklikku konverteerimisfaktorit. </w:t>
      </w:r>
    </w:p>
    <w:p w:rsidR="00D71880" w:rsidRPr="00612410" w:rsidRDefault="00D71880" w:rsidP="003D0C08">
      <w:pPr>
        <w:pStyle w:val="Normaallaadveeb"/>
        <w:rPr>
          <w:rStyle w:val="Rhutus"/>
        </w:rPr>
      </w:pPr>
      <w:r w:rsidRPr="00612410">
        <w:rPr>
          <w:rStyle w:val="Rhutus"/>
        </w:rPr>
        <w:t xml:space="preserve">Energia taastootmine mittefossiilsetest </w:t>
      </w:r>
      <w:r w:rsidR="00612410">
        <w:rPr>
          <w:rStyle w:val="Rhutus"/>
        </w:rPr>
        <w:t>allikatest</w:t>
      </w:r>
    </w:p>
    <w:p w:rsidR="00D71880" w:rsidRPr="00556AAF" w:rsidRDefault="00D71880" w:rsidP="0013347E">
      <w:pPr>
        <w:pStyle w:val="Normaallaadveeb"/>
        <w:jc w:val="both"/>
        <w:rPr>
          <w:rFonts w:ascii="Verdana" w:hAnsi="Verdana"/>
          <w:lang w:val="et-EE"/>
        </w:rPr>
      </w:pPr>
      <w:r w:rsidRPr="00556AAF">
        <w:rPr>
          <w:rFonts w:ascii="Verdana" w:hAnsi="Verdana"/>
          <w:lang w:val="et-EE"/>
        </w:rPr>
        <w:t>Energia omatoodangu definitsioon, määratletud ülaltoodud C, viitab energia omatoodangule mittefossiilsetest allikatest. Põhjuseks on see, et teised omatoodangu vormid nagu soojus- ja soojus(elektri)energia tootmine fossiilsetest kütustest on juba arvestatud ülaltoodud A sees.</w:t>
      </w:r>
    </w:p>
    <w:p w:rsidR="00563169" w:rsidRDefault="00563169" w:rsidP="00F63FD6">
      <w:pPr>
        <w:rPr>
          <w:rStyle w:val="Tugevrhutus"/>
        </w:rPr>
      </w:pPr>
    </w:p>
    <w:p w:rsidR="00D71880" w:rsidRPr="00563169" w:rsidRDefault="00563169" w:rsidP="002E62DB">
      <w:pPr>
        <w:jc w:val="both"/>
        <w:rPr>
          <w:rStyle w:val="Tugevrhutus"/>
          <w:color w:val="FF0000"/>
        </w:rPr>
      </w:pPr>
      <w:r>
        <w:rPr>
          <w:rStyle w:val="Tugevrhutus"/>
          <w:color w:val="FF0000"/>
        </w:rPr>
        <w:t>Energiatõhusus; Spetsiifilin</w:t>
      </w:r>
      <w:r w:rsidR="00612410" w:rsidRPr="00563169">
        <w:rPr>
          <w:rStyle w:val="Tugevrhutus"/>
          <w:color w:val="FF0000"/>
        </w:rPr>
        <w:t>e energia tarbimine</w:t>
      </w:r>
      <w:r w:rsidR="00D71880" w:rsidRPr="00563169">
        <w:rPr>
          <w:rStyle w:val="Tugevrhutus"/>
          <w:color w:val="FF0000"/>
        </w:rPr>
        <w:t xml:space="preserve"> </w:t>
      </w:r>
      <w:r w:rsidR="00534AFD">
        <w:rPr>
          <w:rStyle w:val="Tugevrhutus"/>
          <w:color w:val="FF0000"/>
        </w:rPr>
        <w:t>(energia erikulu)</w:t>
      </w:r>
    </w:p>
    <w:p w:rsidR="00AF09F1" w:rsidRPr="002E62DB" w:rsidRDefault="002E62DB" w:rsidP="002E62DB">
      <w:pPr>
        <w:jc w:val="both"/>
      </w:pPr>
      <w:r>
        <w:t>Antud põhinäitaja osas käesoleval hetkel</w:t>
      </w:r>
      <w:r w:rsidRPr="002E62DB">
        <w:t xml:space="preserve"> EKTLi tasandil </w:t>
      </w:r>
      <w:r>
        <w:t>andmete kogumist</w:t>
      </w:r>
      <w:r w:rsidRPr="002E62DB">
        <w:t xml:space="preserve"> ei toimu, kuivõrd puudub selge, üheselt mõistetav ja kõigile liikmes-et</w:t>
      </w:r>
      <w:r>
        <w:t>tevõtetele aktsepteeritav definitsioon</w:t>
      </w:r>
      <w:r w:rsidRPr="002E62DB">
        <w:t>. Kõnealuse mõiste sisustamine on problemaatiline, kuivõrd sisaldab ühe komponendina toodangu mahtu või toodangu</w:t>
      </w:r>
      <w:r>
        <w:t xml:space="preserve"> mahu</w:t>
      </w:r>
      <w:r w:rsidRPr="002E62DB">
        <w:t>indeksit, mis on aga olemuslikult äriliselt sensitiivne ja konfidentsiaalne teave.</w:t>
      </w:r>
    </w:p>
    <w:p w:rsidR="00D71880" w:rsidRPr="00612410" w:rsidRDefault="006314FA">
      <w:pPr>
        <w:pStyle w:val="Normaallaadveeb"/>
        <w:rPr>
          <w:rStyle w:val="Rhutus"/>
        </w:rPr>
      </w:pPr>
      <w:r>
        <w:rPr>
          <w:rStyle w:val="Rhutus"/>
        </w:rPr>
        <w:t>ARVUTA</w:t>
      </w:r>
      <w:r w:rsidR="00612410">
        <w:rPr>
          <w:rStyle w:val="Rhutus"/>
        </w:rPr>
        <w:t>mine</w:t>
      </w:r>
      <w:bookmarkStart w:id="61" w:name="_GoBack"/>
      <w:bookmarkEnd w:id="61"/>
    </w:p>
    <w:p w:rsidR="00D71880" w:rsidRPr="00556AAF" w:rsidRDefault="00D71880" w:rsidP="002E62DB">
      <w:pPr>
        <w:pStyle w:val="Normaallaadveeb"/>
        <w:jc w:val="both"/>
        <w:rPr>
          <w:lang w:val="et-EE"/>
        </w:rPr>
      </w:pPr>
      <w:r w:rsidRPr="00556AAF">
        <w:rPr>
          <w:rFonts w:ascii="Verdana" w:hAnsi="Verdana"/>
          <w:lang w:val="et-EE"/>
        </w:rPr>
        <w:t>Suhtarv, see tähendab kütuse ja energia tarbimise indeks jagatuna tootmisindeksiga, annab spetsiifilise energia tarbimise. Spetsiifilise energia tarbimise vähenemine tähendab energia efektiivsuse parenemist.</w:t>
      </w:r>
    </w:p>
    <w:p w:rsidR="00D71880" w:rsidRPr="00534AFD" w:rsidRDefault="00534AFD" w:rsidP="002E62DB">
      <w:pPr>
        <w:jc w:val="both"/>
        <w:rPr>
          <w:rFonts w:ascii="Verdana" w:hAnsi="Verdana"/>
        </w:rPr>
      </w:pPr>
      <w:r>
        <w:rPr>
          <w:rFonts w:ascii="Verdana" w:hAnsi="Verdana"/>
        </w:rPr>
        <w:t>Spetsiifilin</w:t>
      </w:r>
      <w:r w:rsidR="00D71880" w:rsidRPr="00556AAF">
        <w:rPr>
          <w:rFonts w:ascii="Verdana" w:hAnsi="Verdana"/>
        </w:rPr>
        <w:t xml:space="preserve">e energia tarbimine = </w:t>
      </w:r>
      <w:r>
        <w:rPr>
          <w:rFonts w:ascii="Verdana" w:hAnsi="Verdana"/>
        </w:rPr>
        <w:t xml:space="preserve">kütuse ja energia tarbimine / </w:t>
      </w:r>
      <w:r w:rsidR="00D71880" w:rsidRPr="00556AAF">
        <w:rPr>
          <w:rFonts w:ascii="Verdana" w:hAnsi="Verdana"/>
        </w:rPr>
        <w:t>kemikaalide tootmismaht</w:t>
      </w:r>
    </w:p>
    <w:p w:rsidR="00F63FD6" w:rsidRDefault="00F63FD6">
      <w:r>
        <w:br w:type="page"/>
      </w:r>
    </w:p>
    <w:p w:rsidR="00657AEF" w:rsidRDefault="00933E62" w:rsidP="00657AEF">
      <w:pPr>
        <w:pStyle w:val="Pealkiri2"/>
      </w:pPr>
      <w:bookmarkStart w:id="62" w:name="_Toc358822441"/>
      <w:r>
        <w:lastRenderedPageBreak/>
        <w:t>Lisa 6</w:t>
      </w:r>
      <w:r w:rsidR="00657AEF">
        <w:t>: Vee tarbimine</w:t>
      </w:r>
      <w:bookmarkEnd w:id="62"/>
    </w:p>
    <w:p w:rsidR="00657AEF" w:rsidRDefault="00657AEF" w:rsidP="00657AEF">
      <w:pPr>
        <w:jc w:val="both"/>
        <w:rPr>
          <w:rFonts w:ascii="Arial" w:hAnsi="Arial" w:cs="Arial"/>
          <w:sz w:val="22"/>
        </w:rPr>
      </w:pPr>
      <w:r>
        <w:rPr>
          <w:rFonts w:ascii="Arial" w:hAnsi="Arial" w:cs="Arial"/>
          <w:sz w:val="22"/>
        </w:rPr>
        <w:t>Vee tarbimise vooskeem:</w:t>
      </w:r>
    </w:p>
    <w:p w:rsidR="00657AEF" w:rsidRDefault="00657AEF" w:rsidP="00657AEF">
      <w:pPr>
        <w:jc w:val="both"/>
        <w:rPr>
          <w:rFonts w:ascii="Arial" w:hAnsi="Arial" w:cs="Arial"/>
          <w:sz w:val="22"/>
        </w:rPr>
      </w:pPr>
    </w:p>
    <w:p w:rsidR="00657AEF" w:rsidRDefault="00657AEF" w:rsidP="00657AEF">
      <w:pPr>
        <w:jc w:val="both"/>
        <w:rPr>
          <w:rFonts w:ascii="Arial" w:hAnsi="Arial" w:cs="Arial"/>
          <w:sz w:val="22"/>
        </w:rPr>
      </w:pPr>
      <w:r>
        <w:rPr>
          <w:noProof/>
        </w:rPr>
        <w:drawing>
          <wp:inline distT="0" distB="0" distL="0" distR="0" wp14:anchorId="68DB3CB9" wp14:editId="3DB580FE">
            <wp:extent cx="5486400" cy="6583680"/>
            <wp:effectExtent l="0" t="0" r="0" b="0"/>
            <wp:docPr id="8"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6583680"/>
                    </a:xfrm>
                    <a:prstGeom prst="rect">
                      <a:avLst/>
                    </a:prstGeom>
                    <a:noFill/>
                    <a:ln>
                      <a:noFill/>
                    </a:ln>
                  </pic:spPr>
                </pic:pic>
              </a:graphicData>
            </a:graphic>
          </wp:inline>
        </w:drawing>
      </w:r>
    </w:p>
    <w:p w:rsidR="00657AEF" w:rsidRPr="00504C85" w:rsidRDefault="00657AEF" w:rsidP="00657AEF">
      <w:pPr>
        <w:autoSpaceDE w:val="0"/>
        <w:autoSpaceDN w:val="0"/>
        <w:adjustRightInd w:val="0"/>
        <w:jc w:val="both"/>
        <w:rPr>
          <w:rFonts w:ascii="Arial" w:hAnsi="Arial" w:cs="Arial"/>
          <w:bCs/>
          <w:sz w:val="23"/>
          <w:szCs w:val="23"/>
        </w:rPr>
      </w:pPr>
      <w:r>
        <w:rPr>
          <w:rFonts w:ascii="Arial" w:hAnsi="Arial" w:cs="Arial"/>
          <w:color w:val="365F91"/>
          <w:sz w:val="26"/>
          <w:szCs w:val="26"/>
        </w:rPr>
        <w:t>Allikas: ICCA guidance for reporting performance (2012.a.)</w:t>
      </w:r>
    </w:p>
    <w:p w:rsidR="00EB2ABE" w:rsidRPr="00612410" w:rsidRDefault="00C12E6B" w:rsidP="00F63FD6">
      <w:pPr>
        <w:pStyle w:val="Pealkiri2"/>
        <w:rPr>
          <w:lang w:eastAsia="de-DE"/>
        </w:rPr>
      </w:pPr>
      <w:bookmarkStart w:id="63" w:name="_Toc358822442"/>
      <w:r w:rsidRPr="00556AAF">
        <w:lastRenderedPageBreak/>
        <w:t xml:space="preserve">Lisa </w:t>
      </w:r>
      <w:r w:rsidR="00933E62">
        <w:t>7</w:t>
      </w:r>
      <w:r w:rsidR="00F63FD6">
        <w:t xml:space="preserve">: </w:t>
      </w:r>
      <w:r w:rsidRPr="00556AAF">
        <w:t>Transpordi</w:t>
      </w:r>
      <w:r w:rsidR="00923897" w:rsidRPr="00556AAF">
        <w:t>juhtum</w:t>
      </w:r>
      <w:r w:rsidRPr="00556AAF">
        <w:t>id</w:t>
      </w:r>
      <w:bookmarkEnd w:id="63"/>
    </w:p>
    <w:p w:rsidR="00EB2ABE" w:rsidRPr="00612410" w:rsidRDefault="00EB2ABE" w:rsidP="00612410">
      <w:pPr>
        <w:pStyle w:val="Normaallaadveeb"/>
        <w:rPr>
          <w:caps/>
          <w:color w:val="505A19" w:themeColor="accent1" w:themeShade="7F"/>
          <w:spacing w:val="5"/>
        </w:rPr>
      </w:pPr>
      <w:r w:rsidRPr="00612410">
        <w:rPr>
          <w:rStyle w:val="Rhutus"/>
        </w:rPr>
        <w:t xml:space="preserve">1. </w:t>
      </w:r>
      <w:r w:rsidR="00C12E6B" w:rsidRPr="00612410">
        <w:rPr>
          <w:rStyle w:val="Rhutus"/>
        </w:rPr>
        <w:t>Taust</w:t>
      </w:r>
    </w:p>
    <w:p w:rsidR="00C12E6B" w:rsidRPr="00556AAF" w:rsidRDefault="00C12E6B">
      <w:pPr>
        <w:jc w:val="both"/>
        <w:rPr>
          <w:rFonts w:ascii="Verdana" w:hAnsi="Verdana" w:cs="Arial"/>
        </w:rPr>
      </w:pPr>
      <w:r w:rsidRPr="00556AAF">
        <w:rPr>
          <w:rFonts w:ascii="Verdana" w:hAnsi="Verdana" w:cs="Arial"/>
        </w:rPr>
        <w:t xml:space="preserve">Hoolime ja Vastutame initsiatiivi raames on keemiatööstus võtnud endale kohustuse </w:t>
      </w:r>
      <w:r w:rsidR="00FD1CC5" w:rsidRPr="00556AAF">
        <w:rPr>
          <w:rFonts w:ascii="Verdana" w:hAnsi="Verdana" w:cs="Arial"/>
        </w:rPr>
        <w:t>pidevalt parendada kemikaalide transpordi</w:t>
      </w:r>
      <w:r w:rsidRPr="00556AAF">
        <w:rPr>
          <w:rFonts w:ascii="Verdana" w:hAnsi="Verdana" w:cs="Arial"/>
        </w:rPr>
        <w:t xml:space="preserve"> </w:t>
      </w:r>
      <w:r w:rsidR="00FD1CC5" w:rsidRPr="00556AAF">
        <w:rPr>
          <w:rFonts w:ascii="Verdana" w:hAnsi="Verdana" w:cs="Arial"/>
        </w:rPr>
        <w:t>töö</w:t>
      </w:r>
      <w:r w:rsidRPr="00556AAF">
        <w:rPr>
          <w:rFonts w:ascii="Verdana" w:hAnsi="Verdana" w:cs="Arial"/>
        </w:rPr>
        <w:t>tervis</w:t>
      </w:r>
      <w:r w:rsidR="00FD1CC5" w:rsidRPr="00556AAF">
        <w:rPr>
          <w:rFonts w:ascii="Verdana" w:hAnsi="Verdana" w:cs="Arial"/>
        </w:rPr>
        <w:t>hoiu</w:t>
      </w:r>
      <w:r w:rsidRPr="00556AAF">
        <w:rPr>
          <w:rFonts w:ascii="Verdana" w:hAnsi="Verdana" w:cs="Arial"/>
        </w:rPr>
        <w:t xml:space="preserve">, </w:t>
      </w:r>
      <w:r w:rsidR="00FD1CC5" w:rsidRPr="00556AAF">
        <w:rPr>
          <w:rFonts w:ascii="Verdana" w:hAnsi="Verdana" w:cs="Arial"/>
        </w:rPr>
        <w:t>töö</w:t>
      </w:r>
      <w:r w:rsidRPr="00556AAF">
        <w:rPr>
          <w:rFonts w:ascii="Verdana" w:hAnsi="Verdana" w:cs="Arial"/>
        </w:rPr>
        <w:t>ohutuse ja keskkonna</w:t>
      </w:r>
      <w:r w:rsidR="00FD1CC5" w:rsidRPr="00556AAF">
        <w:rPr>
          <w:rFonts w:ascii="Verdana" w:hAnsi="Verdana" w:cs="Arial"/>
        </w:rPr>
        <w:t>kaitse alast sooritust.</w:t>
      </w:r>
      <w:r w:rsidRPr="00556AAF">
        <w:rPr>
          <w:rFonts w:ascii="Verdana" w:hAnsi="Verdana" w:cs="Arial"/>
        </w:rPr>
        <w:t xml:space="preserve"> </w:t>
      </w:r>
      <w:r w:rsidR="00165E0B" w:rsidRPr="00556AAF">
        <w:rPr>
          <w:rFonts w:ascii="Verdana" w:hAnsi="Verdana" w:cs="Arial"/>
        </w:rPr>
        <w:t>Se</w:t>
      </w:r>
      <w:r w:rsidR="00FD1CC5" w:rsidRPr="00556AAF">
        <w:rPr>
          <w:rFonts w:ascii="Verdana" w:hAnsi="Verdana" w:cs="Arial"/>
        </w:rPr>
        <w:t>aljuures</w:t>
      </w:r>
      <w:r w:rsidRPr="00556AAF">
        <w:rPr>
          <w:rFonts w:ascii="Verdana" w:hAnsi="Verdana" w:cs="Arial"/>
        </w:rPr>
        <w:t xml:space="preserve"> on </w:t>
      </w:r>
      <w:r w:rsidR="00FD1CC5" w:rsidRPr="00556AAF">
        <w:rPr>
          <w:rFonts w:ascii="Verdana" w:hAnsi="Verdana" w:cs="Arial"/>
        </w:rPr>
        <w:t xml:space="preserve">väga tähtis </w:t>
      </w:r>
      <w:r w:rsidRPr="00556AAF">
        <w:rPr>
          <w:rFonts w:ascii="Verdana" w:hAnsi="Verdana" w:cs="Arial"/>
        </w:rPr>
        <w:t xml:space="preserve">juhtumite </w:t>
      </w:r>
      <w:r w:rsidR="00FD1CC5" w:rsidRPr="00556AAF">
        <w:rPr>
          <w:rFonts w:ascii="Verdana" w:hAnsi="Verdana" w:cs="Arial"/>
        </w:rPr>
        <w:t>ennetamine</w:t>
      </w:r>
      <w:r w:rsidR="00EB2ABE" w:rsidRPr="00556AAF">
        <w:rPr>
          <w:rFonts w:ascii="Verdana" w:hAnsi="Verdana" w:cs="Arial"/>
        </w:rPr>
        <w:t>.</w:t>
      </w:r>
    </w:p>
    <w:p w:rsidR="00EB2ABE" w:rsidRPr="00556AAF" w:rsidRDefault="00C12E6B">
      <w:pPr>
        <w:jc w:val="both"/>
        <w:rPr>
          <w:rFonts w:ascii="Verdana" w:hAnsi="Verdana" w:cs="Arial"/>
        </w:rPr>
      </w:pPr>
      <w:r w:rsidRPr="00556AAF">
        <w:rPr>
          <w:rFonts w:ascii="Verdana" w:hAnsi="Verdana" w:cs="Arial"/>
        </w:rPr>
        <w:t>Enamik</w:t>
      </w:r>
      <w:r w:rsidR="00FD1CC5" w:rsidRPr="00556AAF">
        <w:rPr>
          <w:rFonts w:ascii="Verdana" w:hAnsi="Verdana" w:cs="Arial"/>
        </w:rPr>
        <w:t>u</w:t>
      </w:r>
      <w:r w:rsidRPr="00556AAF">
        <w:rPr>
          <w:rFonts w:ascii="Verdana" w:hAnsi="Verdana" w:cs="Arial"/>
        </w:rPr>
        <w:t xml:space="preserve">s keemiatööstusettevõtetes on </w:t>
      </w:r>
      <w:r w:rsidR="009C7F87" w:rsidRPr="00556AAF">
        <w:rPr>
          <w:rFonts w:ascii="Verdana" w:hAnsi="Verdana" w:cs="Arial"/>
        </w:rPr>
        <w:t>välja kujunenud</w:t>
      </w:r>
      <w:r w:rsidR="009127F0" w:rsidRPr="00556AAF">
        <w:rPr>
          <w:rFonts w:ascii="Verdana" w:hAnsi="Verdana" w:cs="Arial"/>
        </w:rPr>
        <w:t xml:space="preserve"> </w:t>
      </w:r>
      <w:r w:rsidR="009C7F87" w:rsidRPr="00556AAF">
        <w:rPr>
          <w:rFonts w:ascii="Verdana" w:hAnsi="Verdana" w:cs="Arial"/>
        </w:rPr>
        <w:t>t</w:t>
      </w:r>
      <w:r w:rsidRPr="00556AAF">
        <w:rPr>
          <w:rFonts w:ascii="Verdana" w:hAnsi="Verdana" w:cs="Arial"/>
        </w:rPr>
        <w:t>ranspordi</w:t>
      </w:r>
      <w:r w:rsidR="009C7F87" w:rsidRPr="00556AAF">
        <w:rPr>
          <w:rFonts w:ascii="Verdana" w:hAnsi="Verdana" w:cs="Arial"/>
        </w:rPr>
        <w:t>juhtumite sisemise juurdlemise ja analüüsi kord, mis</w:t>
      </w:r>
      <w:r w:rsidR="009127F0" w:rsidRPr="00556AAF">
        <w:rPr>
          <w:rFonts w:ascii="Verdana" w:hAnsi="Verdana" w:cs="Arial"/>
        </w:rPr>
        <w:t xml:space="preserve"> </w:t>
      </w:r>
      <w:r w:rsidR="009C5857" w:rsidRPr="00556AAF">
        <w:rPr>
          <w:rFonts w:ascii="Verdana" w:hAnsi="Verdana" w:cs="Arial"/>
        </w:rPr>
        <w:t xml:space="preserve">pakub </w:t>
      </w:r>
      <w:r w:rsidR="009C7F87" w:rsidRPr="00556AAF">
        <w:rPr>
          <w:rFonts w:ascii="Verdana" w:hAnsi="Verdana" w:cs="Arial"/>
        </w:rPr>
        <w:t>igal</w:t>
      </w:r>
      <w:r w:rsidR="009C5857" w:rsidRPr="00556AAF">
        <w:rPr>
          <w:rFonts w:ascii="Verdana" w:hAnsi="Verdana" w:cs="Arial"/>
        </w:rPr>
        <w:t>e</w:t>
      </w:r>
      <w:r w:rsidR="009C7F87" w:rsidRPr="00556AAF">
        <w:rPr>
          <w:rFonts w:ascii="Verdana" w:hAnsi="Verdana" w:cs="Arial"/>
        </w:rPr>
        <w:t xml:space="preserve"> ettevõttel</w:t>
      </w:r>
      <w:r w:rsidR="009C5857" w:rsidRPr="00556AAF">
        <w:rPr>
          <w:rFonts w:ascii="Verdana" w:hAnsi="Verdana" w:cs="Arial"/>
        </w:rPr>
        <w:t>e</w:t>
      </w:r>
      <w:r w:rsidR="009C7F87" w:rsidRPr="00556AAF">
        <w:rPr>
          <w:rFonts w:ascii="Verdana" w:hAnsi="Verdana" w:cs="Arial"/>
        </w:rPr>
        <w:t xml:space="preserve"> tugeva aluse riski hindamiseks ja koristust</w:t>
      </w:r>
      <w:r w:rsidR="009C5857" w:rsidRPr="00556AAF">
        <w:rPr>
          <w:rFonts w:ascii="Verdana" w:hAnsi="Verdana" w:cs="Arial"/>
        </w:rPr>
        <w:t xml:space="preserve">ööde läbiviimiseks. </w:t>
      </w:r>
      <w:r w:rsidR="00D430AE" w:rsidRPr="00556AAF">
        <w:rPr>
          <w:rFonts w:ascii="Verdana" w:hAnsi="Verdana" w:cs="Arial"/>
        </w:rPr>
        <w:t>Keemiatööstuse üldise aruandluse</w:t>
      </w:r>
      <w:r w:rsidR="009C5857" w:rsidRPr="00556AAF">
        <w:rPr>
          <w:rFonts w:ascii="Verdana" w:hAnsi="Verdana" w:cs="Arial"/>
        </w:rPr>
        <w:t xml:space="preserve"> </w:t>
      </w:r>
      <w:r w:rsidR="00D430AE" w:rsidRPr="00556AAF">
        <w:rPr>
          <w:rFonts w:ascii="Verdana" w:hAnsi="Verdana" w:cs="Arial"/>
        </w:rPr>
        <w:t>kriteeriumid on vajalikud saavutatud edusamm</w:t>
      </w:r>
      <w:r w:rsidR="00923897" w:rsidRPr="00556AAF">
        <w:rPr>
          <w:rFonts w:ascii="Verdana" w:hAnsi="Verdana" w:cs="Arial"/>
        </w:rPr>
        <w:t>ude näitamiseks üldsusele</w:t>
      </w:r>
      <w:r w:rsidR="00D430AE" w:rsidRPr="00556AAF">
        <w:rPr>
          <w:rFonts w:ascii="Verdana" w:hAnsi="Verdana" w:cs="Arial"/>
        </w:rPr>
        <w:t>.</w:t>
      </w:r>
    </w:p>
    <w:p w:rsidR="00D430AE" w:rsidRPr="00556AAF" w:rsidRDefault="00EB2ABE">
      <w:pPr>
        <w:jc w:val="both"/>
        <w:rPr>
          <w:rFonts w:ascii="Verdana" w:hAnsi="Verdana" w:cs="Arial"/>
          <w:b/>
          <w:u w:val="single"/>
        </w:rPr>
      </w:pPr>
      <w:r w:rsidRPr="00612410">
        <w:rPr>
          <w:rStyle w:val="Rhutus"/>
          <w:lang w:val="de-DE" w:eastAsia="de-DE"/>
        </w:rPr>
        <w:t xml:space="preserve">2. </w:t>
      </w:r>
      <w:r w:rsidR="00D430AE" w:rsidRPr="00612410">
        <w:rPr>
          <w:rStyle w:val="Rhutus"/>
          <w:lang w:val="de-DE" w:eastAsia="de-DE"/>
        </w:rPr>
        <w:t>Eesmärk</w:t>
      </w:r>
    </w:p>
    <w:p w:rsidR="00D430AE" w:rsidRPr="00556AAF" w:rsidRDefault="00D430AE">
      <w:pPr>
        <w:jc w:val="both"/>
        <w:rPr>
          <w:rFonts w:ascii="Verdana" w:hAnsi="Verdana" w:cs="Arial"/>
        </w:rPr>
      </w:pPr>
      <w:r w:rsidRPr="00556AAF">
        <w:rPr>
          <w:rFonts w:ascii="Verdana" w:hAnsi="Verdana" w:cs="Arial"/>
        </w:rPr>
        <w:t>Käesolevate juhtnö</w:t>
      </w:r>
      <w:r w:rsidR="00165E0B" w:rsidRPr="00556AAF">
        <w:rPr>
          <w:rFonts w:ascii="Verdana" w:hAnsi="Verdana" w:cs="Arial"/>
        </w:rPr>
        <w:t>ö</w:t>
      </w:r>
      <w:r w:rsidRPr="00556AAF">
        <w:rPr>
          <w:rFonts w:ascii="Verdana" w:hAnsi="Verdana" w:cs="Arial"/>
        </w:rPr>
        <w:t>ride eesmärgiks on edendada transpordijuhtumitest aruandluse süsteem</w:t>
      </w:r>
      <w:r w:rsidR="00D55ECA">
        <w:rPr>
          <w:rFonts w:ascii="Verdana" w:hAnsi="Verdana" w:cs="Arial"/>
        </w:rPr>
        <w:t>i vastavuses üldiste definitsioonide ja kriteeriumidega</w:t>
      </w:r>
      <w:r w:rsidRPr="00556AAF">
        <w:rPr>
          <w:rFonts w:ascii="Verdana" w:hAnsi="Verdana" w:cs="Arial"/>
        </w:rPr>
        <w:t xml:space="preserve">. See aitab kaasa </w:t>
      </w:r>
      <w:r w:rsidR="00923897" w:rsidRPr="00556AAF">
        <w:rPr>
          <w:rFonts w:ascii="Verdana" w:hAnsi="Verdana" w:cs="Arial"/>
        </w:rPr>
        <w:t>teabe</w:t>
      </w:r>
      <w:r w:rsidRPr="00556AAF">
        <w:rPr>
          <w:rFonts w:ascii="Verdana" w:hAnsi="Verdana" w:cs="Arial"/>
        </w:rPr>
        <w:t xml:space="preserve">vahetamise paranemisele ja stimuleerib transpordi käigus </w:t>
      </w:r>
      <w:r w:rsidR="00367E56" w:rsidRPr="00556AAF">
        <w:rPr>
          <w:rFonts w:ascii="Verdana" w:hAnsi="Verdana" w:cs="Arial"/>
        </w:rPr>
        <w:t>asetleidvate</w:t>
      </w:r>
      <w:r w:rsidRPr="00556AAF">
        <w:rPr>
          <w:rFonts w:ascii="Verdana" w:hAnsi="Verdana" w:cs="Arial"/>
        </w:rPr>
        <w:t xml:space="preserve"> juhtumite </w:t>
      </w:r>
      <w:r w:rsidR="003246DA" w:rsidRPr="00556AAF">
        <w:rPr>
          <w:rFonts w:ascii="Verdana" w:hAnsi="Verdana" w:cs="Arial"/>
        </w:rPr>
        <w:t xml:space="preserve">jätkuvat </w:t>
      </w:r>
      <w:r w:rsidRPr="00556AAF">
        <w:rPr>
          <w:rFonts w:ascii="Verdana" w:hAnsi="Verdana" w:cs="Arial"/>
        </w:rPr>
        <w:t>vähenemist.</w:t>
      </w:r>
    </w:p>
    <w:p w:rsidR="00EB2ABE" w:rsidRPr="00612410" w:rsidRDefault="00EB2ABE">
      <w:pPr>
        <w:jc w:val="both"/>
        <w:rPr>
          <w:caps/>
          <w:color w:val="505A19" w:themeColor="accent1" w:themeShade="7F"/>
          <w:spacing w:val="5"/>
          <w:lang w:val="de-DE" w:eastAsia="de-DE"/>
        </w:rPr>
      </w:pPr>
      <w:r w:rsidRPr="00612410">
        <w:rPr>
          <w:rStyle w:val="Rhutus"/>
          <w:lang w:val="de-DE" w:eastAsia="de-DE"/>
        </w:rPr>
        <w:t xml:space="preserve">3. </w:t>
      </w:r>
      <w:r w:rsidR="00D430AE" w:rsidRPr="00612410">
        <w:rPr>
          <w:rStyle w:val="Rhutus"/>
          <w:lang w:val="de-DE" w:eastAsia="de-DE"/>
        </w:rPr>
        <w:t>Definitsioonid ja kriteeriumid</w:t>
      </w:r>
    </w:p>
    <w:p w:rsidR="00EB2ABE" w:rsidRPr="00766711" w:rsidRDefault="00D430AE">
      <w:pPr>
        <w:jc w:val="both"/>
        <w:rPr>
          <w:rStyle w:val="Vaevumrgatavrhutus"/>
        </w:rPr>
      </w:pPr>
      <w:r w:rsidRPr="00766711">
        <w:rPr>
          <w:rStyle w:val="Vaevumrgatavrhutus"/>
          <w:lang w:val="de-DE" w:eastAsia="de-DE"/>
        </w:rPr>
        <w:t>3.1. Definitsioonid</w:t>
      </w:r>
    </w:p>
    <w:p w:rsidR="004F6947" w:rsidRPr="00556AAF" w:rsidRDefault="00EB2ABE" w:rsidP="004F6947">
      <w:pPr>
        <w:jc w:val="both"/>
        <w:rPr>
          <w:rFonts w:ascii="Verdana" w:hAnsi="Verdana" w:cs="Arial"/>
          <w:u w:val="single"/>
        </w:rPr>
      </w:pPr>
      <w:r w:rsidRPr="00556AAF">
        <w:rPr>
          <w:rFonts w:ascii="Verdana" w:hAnsi="Verdana" w:cs="Arial"/>
          <w:u w:val="single"/>
        </w:rPr>
        <w:t>Transport</w:t>
      </w:r>
    </w:p>
    <w:p w:rsidR="00C0685F" w:rsidRPr="00766711" w:rsidRDefault="00D430AE" w:rsidP="00766711">
      <w:pPr>
        <w:jc w:val="both"/>
        <w:rPr>
          <w:rFonts w:ascii="Verdana" w:hAnsi="Verdana" w:cs="Arial"/>
        </w:rPr>
      </w:pPr>
      <w:r w:rsidRPr="00556AAF">
        <w:rPr>
          <w:rFonts w:ascii="Verdana" w:hAnsi="Verdana" w:cs="Arial"/>
        </w:rPr>
        <w:t xml:space="preserve">„Sisetransport”, mis hõlmab kõiki </w:t>
      </w:r>
      <w:r w:rsidR="00C0685F" w:rsidRPr="00556AAF">
        <w:rPr>
          <w:rFonts w:ascii="Verdana" w:hAnsi="Verdana" w:cs="Arial"/>
        </w:rPr>
        <w:t xml:space="preserve">kemikaalide </w:t>
      </w:r>
      <w:r w:rsidRPr="00556AAF">
        <w:rPr>
          <w:rFonts w:ascii="Verdana" w:hAnsi="Verdana" w:cs="Arial"/>
        </w:rPr>
        <w:t>transpordiviise</w:t>
      </w:r>
      <w:r w:rsidR="00C0685F" w:rsidRPr="00556AAF">
        <w:rPr>
          <w:rFonts w:ascii="Verdana" w:hAnsi="Verdana" w:cs="Arial"/>
        </w:rPr>
        <w:t xml:space="preserve"> (õh</w:t>
      </w:r>
      <w:r w:rsidR="003246DA" w:rsidRPr="00556AAF">
        <w:rPr>
          <w:rFonts w:ascii="Verdana" w:hAnsi="Verdana" w:cs="Arial"/>
        </w:rPr>
        <w:t>uveod</w:t>
      </w:r>
      <w:r w:rsidR="00C0685F" w:rsidRPr="00556AAF">
        <w:rPr>
          <w:rFonts w:ascii="Verdana" w:hAnsi="Verdana" w:cs="Arial"/>
        </w:rPr>
        <w:t xml:space="preserve"> – raudtee</w:t>
      </w:r>
      <w:r w:rsidR="003246DA" w:rsidRPr="00556AAF">
        <w:rPr>
          <w:rFonts w:ascii="Verdana" w:hAnsi="Verdana" w:cs="Arial"/>
        </w:rPr>
        <w:t>veod</w:t>
      </w:r>
      <w:r w:rsidR="00C0685F" w:rsidRPr="00556AAF">
        <w:rPr>
          <w:rFonts w:ascii="Verdana" w:hAnsi="Verdana" w:cs="Arial"/>
        </w:rPr>
        <w:t xml:space="preserve"> – mer</w:t>
      </w:r>
      <w:r w:rsidR="003246DA" w:rsidRPr="00556AAF">
        <w:rPr>
          <w:rFonts w:ascii="Verdana" w:hAnsi="Verdana" w:cs="Arial"/>
        </w:rPr>
        <w:t>eveod</w:t>
      </w:r>
      <w:r w:rsidR="00C0685F" w:rsidRPr="00556AAF">
        <w:rPr>
          <w:rFonts w:ascii="Verdana" w:hAnsi="Verdana" w:cs="Arial"/>
        </w:rPr>
        <w:t xml:space="preserve"> – sisevee</w:t>
      </w:r>
      <w:r w:rsidR="003246DA" w:rsidRPr="00556AAF">
        <w:rPr>
          <w:rFonts w:ascii="Verdana" w:hAnsi="Verdana" w:cs="Arial"/>
        </w:rPr>
        <w:t>veo</w:t>
      </w:r>
      <w:r w:rsidR="00C0685F" w:rsidRPr="00556AAF">
        <w:rPr>
          <w:rFonts w:ascii="Verdana" w:hAnsi="Verdana" w:cs="Arial"/>
        </w:rPr>
        <w:t xml:space="preserve">d – torujuhtmed) </w:t>
      </w:r>
      <w:r w:rsidRPr="00556AAF">
        <w:rPr>
          <w:rFonts w:ascii="Verdana" w:hAnsi="Verdana" w:cs="Arial"/>
        </w:rPr>
        <w:t xml:space="preserve"> </w:t>
      </w:r>
      <w:r w:rsidR="00C0685F" w:rsidRPr="00556AAF">
        <w:rPr>
          <w:rFonts w:ascii="Verdana" w:hAnsi="Verdana" w:cs="Arial"/>
        </w:rPr>
        <w:t xml:space="preserve">tarniva keemiaettevõtte ja lõpp-punkti vahel, välja arvatud </w:t>
      </w:r>
      <w:r w:rsidR="00367E56" w:rsidRPr="00556AAF">
        <w:rPr>
          <w:rFonts w:ascii="Verdana" w:hAnsi="Verdana" w:cs="Arial"/>
        </w:rPr>
        <w:t>transpor</w:t>
      </w:r>
      <w:r w:rsidR="003246DA" w:rsidRPr="00556AAF">
        <w:rPr>
          <w:rFonts w:ascii="Verdana" w:hAnsi="Verdana" w:cs="Arial"/>
        </w:rPr>
        <w:t>t</w:t>
      </w:r>
      <w:r w:rsidR="00C0685F" w:rsidRPr="00556AAF">
        <w:rPr>
          <w:rFonts w:ascii="Verdana" w:hAnsi="Verdana" w:cs="Arial"/>
        </w:rPr>
        <w:t xml:space="preserve"> ja laadimine/mahalaadimine tarniva keemiaettevõtte ja lõpp-punkti territooriumil. </w:t>
      </w:r>
    </w:p>
    <w:p w:rsidR="00C0685F" w:rsidRPr="00556AAF" w:rsidRDefault="004F6947" w:rsidP="00C0685F">
      <w:pPr>
        <w:jc w:val="both"/>
        <w:rPr>
          <w:rFonts w:ascii="Verdana" w:hAnsi="Verdana" w:cs="Arial"/>
          <w:u w:val="single"/>
        </w:rPr>
      </w:pPr>
      <w:r w:rsidRPr="00556AAF">
        <w:rPr>
          <w:rFonts w:ascii="Verdana" w:hAnsi="Verdana" w:cs="Arial"/>
          <w:u w:val="single"/>
        </w:rPr>
        <w:t>Kemikaalid</w:t>
      </w:r>
    </w:p>
    <w:p w:rsidR="00EB2ABE" w:rsidRPr="00766711" w:rsidRDefault="004F6947" w:rsidP="00BE53E1">
      <w:pPr>
        <w:jc w:val="both"/>
        <w:rPr>
          <w:rFonts w:ascii="Verdana" w:hAnsi="Verdana" w:cs="Arial"/>
        </w:rPr>
      </w:pPr>
      <w:r w:rsidRPr="00556AAF">
        <w:rPr>
          <w:rFonts w:ascii="Verdana" w:hAnsi="Verdana" w:cs="Arial"/>
        </w:rPr>
        <w:t>Kõik keemiatooted, mitte ainult lõpp-produktid, vaid ka näidised, tooraine</w:t>
      </w:r>
      <w:r w:rsidR="003246DA" w:rsidRPr="00556AAF">
        <w:rPr>
          <w:rFonts w:ascii="Verdana" w:hAnsi="Verdana" w:cs="Arial"/>
        </w:rPr>
        <w:t>d</w:t>
      </w:r>
      <w:r w:rsidRPr="00556AAF">
        <w:rPr>
          <w:rFonts w:ascii="Verdana" w:hAnsi="Verdana" w:cs="Arial"/>
        </w:rPr>
        <w:t xml:space="preserve">, vaheproduktid, jäätmed jne, </w:t>
      </w:r>
      <w:r w:rsidR="00BE53E1" w:rsidRPr="00556AAF">
        <w:rPr>
          <w:rFonts w:ascii="Verdana" w:hAnsi="Verdana" w:cs="Arial"/>
        </w:rPr>
        <w:t xml:space="preserve">hoolimata sellest, </w:t>
      </w:r>
      <w:r w:rsidRPr="00556AAF">
        <w:rPr>
          <w:rFonts w:ascii="Verdana" w:hAnsi="Verdana" w:cs="Arial"/>
        </w:rPr>
        <w:t xml:space="preserve">kas nad on </w:t>
      </w:r>
      <w:r w:rsidR="00BE53E1" w:rsidRPr="00556AAF">
        <w:rPr>
          <w:rFonts w:ascii="Verdana" w:hAnsi="Verdana" w:cs="Arial"/>
        </w:rPr>
        <w:t xml:space="preserve">vastavalt </w:t>
      </w:r>
      <w:r w:rsidR="00923897" w:rsidRPr="00556AAF">
        <w:rPr>
          <w:rFonts w:ascii="Verdana" w:hAnsi="Verdana" w:cs="Arial"/>
        </w:rPr>
        <w:t>ÜRO Ohtlike ainete transportimise soovitustele</w:t>
      </w:r>
      <w:r w:rsidR="00BE53E1" w:rsidRPr="00556AAF">
        <w:rPr>
          <w:rFonts w:ascii="Verdana" w:hAnsi="Verdana" w:cs="Arial"/>
        </w:rPr>
        <w:t xml:space="preserve"> </w:t>
      </w:r>
      <w:r w:rsidR="00923897" w:rsidRPr="00556AAF">
        <w:rPr>
          <w:rFonts w:ascii="Verdana" w:hAnsi="Verdana" w:cs="Arial"/>
        </w:rPr>
        <w:t xml:space="preserve">klassifitseeritud </w:t>
      </w:r>
      <w:r w:rsidRPr="00556AAF">
        <w:rPr>
          <w:rFonts w:ascii="Verdana" w:hAnsi="Verdana" w:cs="Arial"/>
        </w:rPr>
        <w:t>ohtlikeks või mitte</w:t>
      </w:r>
      <w:r w:rsidR="00165E0B" w:rsidRPr="00556AAF">
        <w:rPr>
          <w:rFonts w:ascii="Verdana" w:hAnsi="Verdana" w:cs="Arial"/>
        </w:rPr>
        <w:t>.</w:t>
      </w:r>
    </w:p>
    <w:p w:rsidR="00EB2ABE" w:rsidRPr="00766711" w:rsidRDefault="00BE53E1">
      <w:pPr>
        <w:jc w:val="both"/>
        <w:rPr>
          <w:i/>
          <w:iCs/>
          <w:color w:val="505A19" w:themeColor="accent1" w:themeShade="7F"/>
        </w:rPr>
      </w:pPr>
      <w:r w:rsidRPr="00766711">
        <w:rPr>
          <w:rStyle w:val="Vaevumrgatavrhutus"/>
        </w:rPr>
        <w:t>3.2. Aruandluse kriteeriumid</w:t>
      </w:r>
    </w:p>
    <w:p w:rsidR="00BE53E1" w:rsidRPr="00556AAF" w:rsidRDefault="00BE53E1" w:rsidP="003246DA">
      <w:pPr>
        <w:jc w:val="both"/>
        <w:rPr>
          <w:rFonts w:ascii="Verdana" w:hAnsi="Verdana" w:cs="Arial"/>
        </w:rPr>
      </w:pPr>
      <w:r w:rsidRPr="00556AAF">
        <w:rPr>
          <w:rFonts w:ascii="Verdana" w:hAnsi="Verdana" w:cs="Arial"/>
        </w:rPr>
        <w:t>Kõikidest juhtumitest ke</w:t>
      </w:r>
      <w:r w:rsidR="003246DA" w:rsidRPr="00556AAF">
        <w:rPr>
          <w:rFonts w:ascii="Verdana" w:hAnsi="Verdana" w:cs="Arial"/>
        </w:rPr>
        <w:t xml:space="preserve">mikaalide </w:t>
      </w:r>
      <w:r w:rsidRPr="00556AAF">
        <w:rPr>
          <w:rFonts w:ascii="Verdana" w:hAnsi="Verdana" w:cs="Arial"/>
        </w:rPr>
        <w:t xml:space="preserve">transpordil, mis kuuluvad alljärgnevalt loetletud ühe või mitme kriteeriumi alla, tuleb </w:t>
      </w:r>
      <w:r w:rsidR="003246DA" w:rsidRPr="00556AAF">
        <w:rPr>
          <w:rFonts w:ascii="Verdana" w:hAnsi="Verdana" w:cs="Arial"/>
        </w:rPr>
        <w:t>aru anda</w:t>
      </w:r>
      <w:r w:rsidR="00EB2ABE" w:rsidRPr="00556AAF">
        <w:rPr>
          <w:rFonts w:ascii="Verdana" w:hAnsi="Verdana" w:cs="Arial"/>
        </w:rPr>
        <w:t>:</w:t>
      </w:r>
    </w:p>
    <w:p w:rsidR="003246DA" w:rsidRPr="00556AAF" w:rsidRDefault="003246DA" w:rsidP="003C1D8E">
      <w:pPr>
        <w:ind w:left="357"/>
        <w:jc w:val="both"/>
        <w:rPr>
          <w:rFonts w:ascii="Verdana" w:hAnsi="Verdana" w:cs="Arial"/>
        </w:rPr>
      </w:pPr>
      <w:r w:rsidRPr="00556AAF">
        <w:rPr>
          <w:rFonts w:ascii="Verdana" w:hAnsi="Verdana" w:cs="Arial"/>
        </w:rPr>
        <w:t>a</w:t>
      </w:r>
      <w:r w:rsidR="003C1D8E" w:rsidRPr="00556AAF">
        <w:rPr>
          <w:rFonts w:ascii="Verdana" w:hAnsi="Verdana" w:cs="Arial"/>
        </w:rPr>
        <w:t xml:space="preserve">. </w:t>
      </w:r>
      <w:r w:rsidR="003C1D8E" w:rsidRPr="00556AAF">
        <w:rPr>
          <w:rFonts w:ascii="Verdana" w:hAnsi="Verdana" w:cs="Arial"/>
          <w:u w:val="single"/>
        </w:rPr>
        <w:t>S</w:t>
      </w:r>
      <w:r w:rsidRPr="00556AAF">
        <w:rPr>
          <w:rFonts w:ascii="Verdana" w:hAnsi="Verdana" w:cs="Arial"/>
          <w:u w:val="single"/>
        </w:rPr>
        <w:t xml:space="preserve">urm </w:t>
      </w:r>
      <w:r w:rsidR="003C1D8E" w:rsidRPr="00556AAF">
        <w:rPr>
          <w:rFonts w:ascii="Verdana" w:hAnsi="Verdana" w:cs="Arial"/>
          <w:u w:val="single"/>
        </w:rPr>
        <w:t>–</w:t>
      </w:r>
      <w:r w:rsidRPr="00556AAF">
        <w:rPr>
          <w:rFonts w:ascii="Verdana" w:hAnsi="Verdana" w:cs="Arial"/>
          <w:u w:val="single"/>
        </w:rPr>
        <w:t xml:space="preserve"> </w:t>
      </w:r>
      <w:r w:rsidR="003C1D8E" w:rsidRPr="00556AAF">
        <w:rPr>
          <w:rFonts w:ascii="Verdana" w:hAnsi="Verdana" w:cs="Arial"/>
          <w:u w:val="single"/>
        </w:rPr>
        <w:t>V</w:t>
      </w:r>
      <w:r w:rsidRPr="00556AAF">
        <w:rPr>
          <w:rFonts w:ascii="Verdana" w:hAnsi="Verdana" w:cs="Arial"/>
          <w:u w:val="single"/>
        </w:rPr>
        <w:t>igastus</w:t>
      </w:r>
      <w:r w:rsidR="003C1D8E" w:rsidRPr="00556AAF">
        <w:rPr>
          <w:rFonts w:ascii="Verdana" w:hAnsi="Verdana" w:cs="Arial"/>
          <w:u w:val="single"/>
        </w:rPr>
        <w:t>:</w:t>
      </w:r>
    </w:p>
    <w:p w:rsidR="003246DA" w:rsidRPr="00556AAF" w:rsidRDefault="003246DA" w:rsidP="003C1D8E">
      <w:pPr>
        <w:pStyle w:val="Normaallaadveeb"/>
        <w:ind w:left="357"/>
        <w:rPr>
          <w:rFonts w:ascii="Verdana" w:hAnsi="Verdana"/>
          <w:lang w:val="et-EE"/>
        </w:rPr>
      </w:pPr>
      <w:r w:rsidRPr="00556AAF">
        <w:rPr>
          <w:rFonts w:ascii="Verdana" w:hAnsi="Verdana"/>
          <w:lang w:val="et-EE"/>
        </w:rPr>
        <w:t xml:space="preserve">- surm või vigastus, mis vajab intensiivravi, </w:t>
      </w:r>
    </w:p>
    <w:p w:rsidR="003246DA" w:rsidRPr="00556AAF" w:rsidRDefault="003246DA" w:rsidP="003246DA">
      <w:pPr>
        <w:pStyle w:val="Normaallaadveeb"/>
        <w:ind w:left="360"/>
        <w:rPr>
          <w:rFonts w:ascii="Verdana" w:hAnsi="Verdana"/>
          <w:lang w:val="et-EE"/>
        </w:rPr>
      </w:pPr>
      <w:r w:rsidRPr="00556AAF">
        <w:rPr>
          <w:rFonts w:ascii="Verdana" w:hAnsi="Verdana"/>
          <w:lang w:val="et-EE"/>
        </w:rPr>
        <w:t xml:space="preserve">- viibimine haiglas vähemalt ühe päeva või </w:t>
      </w:r>
    </w:p>
    <w:p w:rsidR="003C1D8E" w:rsidRPr="00556AAF" w:rsidRDefault="003246DA" w:rsidP="003C1D8E">
      <w:pPr>
        <w:pStyle w:val="Normaallaadveeb"/>
        <w:ind w:left="357"/>
        <w:rPr>
          <w:rFonts w:ascii="Verdana" w:hAnsi="Verdana"/>
          <w:lang w:val="et-EE"/>
        </w:rPr>
      </w:pPr>
      <w:r w:rsidRPr="00556AAF">
        <w:rPr>
          <w:rFonts w:ascii="Verdana" w:hAnsi="Verdana"/>
          <w:lang w:val="et-EE"/>
        </w:rPr>
        <w:lastRenderedPageBreak/>
        <w:t>- rohkem kui kolmepäevane puudumine töölt, hoolimata asjaolust, kas keemiline aine oli surma või/ja vigastuse põhjustajaks</w:t>
      </w:r>
      <w:r w:rsidR="002D6ACD" w:rsidRPr="00556AAF">
        <w:rPr>
          <w:rFonts w:ascii="Verdana" w:hAnsi="Verdana"/>
          <w:lang w:val="et-EE"/>
        </w:rPr>
        <w:t>.</w:t>
      </w:r>
      <w:r w:rsidRPr="00556AAF">
        <w:rPr>
          <w:rFonts w:ascii="Verdana" w:hAnsi="Verdana"/>
          <w:lang w:val="et-EE"/>
        </w:rPr>
        <w:t xml:space="preserve"> </w:t>
      </w:r>
      <w:r w:rsidRPr="00556AAF">
        <w:rPr>
          <w:rFonts w:ascii="Verdana" w:hAnsi="Verdana"/>
          <w:u w:val="single"/>
          <w:lang w:val="et-EE"/>
        </w:rPr>
        <w:br/>
      </w:r>
      <w:r w:rsidRPr="00556AAF">
        <w:rPr>
          <w:rFonts w:ascii="Verdana" w:hAnsi="Verdana"/>
          <w:u w:val="single"/>
          <w:lang w:val="et-EE"/>
        </w:rPr>
        <w:br/>
      </w:r>
      <w:r w:rsidR="003C1D8E" w:rsidRPr="00556AAF">
        <w:rPr>
          <w:rFonts w:ascii="Verdana" w:hAnsi="Verdana"/>
          <w:lang w:val="et-EE"/>
        </w:rPr>
        <w:t>b.</w:t>
      </w:r>
      <w:r w:rsidRPr="00556AAF">
        <w:rPr>
          <w:rFonts w:ascii="Verdana" w:hAnsi="Verdana"/>
          <w:lang w:val="et-EE"/>
        </w:rPr>
        <w:t xml:space="preserve"> </w:t>
      </w:r>
      <w:r w:rsidR="003C1D8E" w:rsidRPr="00556AAF">
        <w:rPr>
          <w:rFonts w:ascii="Verdana" w:hAnsi="Verdana"/>
          <w:u w:val="single"/>
          <w:lang w:val="et-EE"/>
        </w:rPr>
        <w:t>T</w:t>
      </w:r>
      <w:r w:rsidRPr="00556AAF">
        <w:rPr>
          <w:rFonts w:ascii="Verdana" w:hAnsi="Verdana"/>
          <w:u w:val="single"/>
          <w:lang w:val="et-EE"/>
        </w:rPr>
        <w:t>oote kadu:</w:t>
      </w:r>
      <w:r w:rsidRPr="00556AAF">
        <w:rPr>
          <w:rFonts w:ascii="Verdana" w:hAnsi="Verdana"/>
          <w:lang w:val="et-EE"/>
        </w:rPr>
        <w:t xml:space="preserve"> </w:t>
      </w:r>
    </w:p>
    <w:p w:rsidR="003C1D8E" w:rsidRPr="00556AAF" w:rsidRDefault="003C1D8E" w:rsidP="003C1D8E">
      <w:pPr>
        <w:pStyle w:val="Normaallaadveeb"/>
        <w:ind w:left="357"/>
        <w:rPr>
          <w:rFonts w:ascii="Verdana" w:hAnsi="Verdana"/>
          <w:lang w:val="et-EE"/>
        </w:rPr>
      </w:pPr>
      <w:r w:rsidRPr="00556AAF">
        <w:rPr>
          <w:rFonts w:ascii="Verdana" w:hAnsi="Verdana"/>
          <w:lang w:val="et-EE"/>
        </w:rPr>
        <w:t>Igasugune lahtipääsemine koormast</w:t>
      </w:r>
    </w:p>
    <w:p w:rsidR="003C1D8E" w:rsidRPr="00556AAF" w:rsidRDefault="003C1D8E" w:rsidP="003C1D8E">
      <w:pPr>
        <w:pStyle w:val="Normaallaadveeb"/>
        <w:ind w:left="357"/>
        <w:rPr>
          <w:rFonts w:ascii="Verdana" w:hAnsi="Verdana"/>
          <w:lang w:val="et-EE"/>
        </w:rPr>
      </w:pPr>
      <w:r w:rsidRPr="00556AAF">
        <w:rPr>
          <w:rFonts w:ascii="Verdana" w:hAnsi="Verdana"/>
          <w:lang w:val="et-EE"/>
        </w:rPr>
        <w:t xml:space="preserve">- </w:t>
      </w:r>
      <w:r w:rsidR="003246DA" w:rsidRPr="00556AAF">
        <w:rPr>
          <w:rFonts w:ascii="Verdana" w:hAnsi="Verdana"/>
          <w:lang w:val="et-EE"/>
        </w:rPr>
        <w:t xml:space="preserve">suurema koguse kui 50 kg/l ohtliku kauba kadu </w:t>
      </w:r>
      <w:r w:rsidRPr="00556AAF">
        <w:rPr>
          <w:rFonts w:ascii="Verdana" w:hAnsi="Verdana"/>
          <w:lang w:val="et-EE"/>
        </w:rPr>
        <w:t xml:space="preserve">(klassifitseeritud Ühinenud Rahvaste Organisatsiooni  (ÜRO) Ohtlike ainete transpordi soovituste kohaselt </w:t>
      </w:r>
      <w:r w:rsidR="003246DA" w:rsidRPr="00556AAF">
        <w:rPr>
          <w:rFonts w:ascii="Verdana" w:hAnsi="Verdana"/>
          <w:lang w:val="et-EE"/>
        </w:rPr>
        <w:t xml:space="preserve">või </w:t>
      </w:r>
    </w:p>
    <w:p w:rsidR="003246DA" w:rsidRPr="00556AAF" w:rsidRDefault="003C1D8E" w:rsidP="003C1D8E">
      <w:pPr>
        <w:pStyle w:val="Normaallaadveeb"/>
        <w:ind w:left="357"/>
        <w:rPr>
          <w:rFonts w:ascii="Verdana" w:hAnsi="Verdana"/>
          <w:u w:val="single"/>
          <w:lang w:val="et-EE"/>
        </w:rPr>
      </w:pPr>
      <w:r w:rsidRPr="00556AAF">
        <w:rPr>
          <w:rFonts w:ascii="Verdana" w:hAnsi="Verdana"/>
          <w:lang w:val="et-EE"/>
        </w:rPr>
        <w:t xml:space="preserve">- </w:t>
      </w:r>
      <w:r w:rsidR="003246DA" w:rsidRPr="00556AAF">
        <w:rPr>
          <w:rFonts w:ascii="Verdana" w:hAnsi="Verdana"/>
          <w:lang w:val="et-EE"/>
        </w:rPr>
        <w:t>suurema koguse kui 1000 kg/l mitteohtliku kauba kadu</w:t>
      </w:r>
      <w:r w:rsidR="002D6ACD" w:rsidRPr="00556AAF">
        <w:rPr>
          <w:rFonts w:ascii="Verdana" w:hAnsi="Verdana"/>
          <w:lang w:val="et-EE"/>
        </w:rPr>
        <w:t>.</w:t>
      </w:r>
    </w:p>
    <w:p w:rsidR="003C1D8E" w:rsidRPr="00556AAF" w:rsidRDefault="003C1D8E" w:rsidP="003C1D8E">
      <w:pPr>
        <w:ind w:left="357"/>
        <w:jc w:val="both"/>
        <w:rPr>
          <w:rFonts w:ascii="Verdana" w:hAnsi="Verdana"/>
        </w:rPr>
      </w:pPr>
      <w:r w:rsidRPr="00556AAF">
        <w:rPr>
          <w:rFonts w:ascii="Verdana" w:hAnsi="Verdana"/>
        </w:rPr>
        <w:t xml:space="preserve">c. </w:t>
      </w:r>
      <w:r w:rsidRPr="00556AAF">
        <w:rPr>
          <w:rFonts w:ascii="Verdana" w:hAnsi="Verdana"/>
          <w:u w:val="single"/>
        </w:rPr>
        <w:t>M</w:t>
      </w:r>
      <w:r w:rsidR="003246DA" w:rsidRPr="00556AAF">
        <w:rPr>
          <w:rFonts w:ascii="Verdana" w:hAnsi="Verdana"/>
          <w:u w:val="single"/>
        </w:rPr>
        <w:t>ateriaalne või keskkonnakahjustus:</w:t>
      </w:r>
      <w:r w:rsidR="003246DA" w:rsidRPr="00556AAF">
        <w:rPr>
          <w:rFonts w:ascii="Verdana" w:hAnsi="Verdana"/>
        </w:rPr>
        <w:t xml:space="preserve"> </w:t>
      </w:r>
    </w:p>
    <w:p w:rsidR="003246DA" w:rsidRPr="00556AAF" w:rsidRDefault="002D6ACD" w:rsidP="00766711">
      <w:pPr>
        <w:ind w:left="720"/>
        <w:jc w:val="both"/>
        <w:rPr>
          <w:rFonts w:ascii="Verdana" w:hAnsi="Verdana"/>
        </w:rPr>
      </w:pPr>
      <w:r w:rsidRPr="00556AAF">
        <w:rPr>
          <w:rFonts w:ascii="Verdana" w:hAnsi="Verdana"/>
        </w:rPr>
        <w:t>I</w:t>
      </w:r>
      <w:r w:rsidR="003246DA" w:rsidRPr="00556AAF">
        <w:rPr>
          <w:rFonts w:ascii="Verdana" w:hAnsi="Verdana"/>
        </w:rPr>
        <w:t>gasugune kahju üle 50000 euro (kaasa arvatud keskkonna puhastamine), mis on transpordijuhtumi tagajärg, sõltumata sellest, kas õnnetuses oli oma osa ka keemiatootel või mitte</w:t>
      </w:r>
      <w:r w:rsidRPr="00556AAF">
        <w:rPr>
          <w:rFonts w:ascii="Verdana" w:hAnsi="Verdana"/>
        </w:rPr>
        <w:t>.</w:t>
      </w:r>
    </w:p>
    <w:p w:rsidR="002D6ACD" w:rsidRPr="00556AAF" w:rsidRDefault="002D6ACD" w:rsidP="002D6ACD">
      <w:pPr>
        <w:ind w:left="357"/>
        <w:jc w:val="both"/>
        <w:rPr>
          <w:rFonts w:ascii="Verdana" w:hAnsi="Verdana"/>
        </w:rPr>
      </w:pPr>
      <w:r w:rsidRPr="00556AAF">
        <w:rPr>
          <w:rFonts w:ascii="Verdana" w:hAnsi="Verdana"/>
        </w:rPr>
        <w:t>d.</w:t>
      </w:r>
      <w:r w:rsidR="003246DA" w:rsidRPr="00556AAF">
        <w:rPr>
          <w:rFonts w:ascii="Verdana" w:hAnsi="Verdana"/>
        </w:rPr>
        <w:t xml:space="preserve"> </w:t>
      </w:r>
      <w:r w:rsidRPr="00556AAF">
        <w:rPr>
          <w:rFonts w:ascii="Verdana" w:hAnsi="Verdana"/>
          <w:u w:val="single"/>
        </w:rPr>
        <w:t>R</w:t>
      </w:r>
      <w:r w:rsidR="003246DA" w:rsidRPr="00556AAF">
        <w:rPr>
          <w:rFonts w:ascii="Verdana" w:hAnsi="Verdana"/>
          <w:u w:val="single"/>
        </w:rPr>
        <w:t>iigiasutu</w:t>
      </w:r>
      <w:r w:rsidRPr="00556AAF">
        <w:rPr>
          <w:rFonts w:ascii="Verdana" w:hAnsi="Verdana"/>
          <w:u w:val="single"/>
        </w:rPr>
        <w:t>s</w:t>
      </w:r>
      <w:r w:rsidR="003246DA" w:rsidRPr="00556AAF">
        <w:rPr>
          <w:rFonts w:ascii="Verdana" w:hAnsi="Verdana"/>
          <w:u w:val="single"/>
        </w:rPr>
        <w:t>te sekkumine:</w:t>
      </w:r>
      <w:r w:rsidR="003246DA" w:rsidRPr="00556AAF">
        <w:rPr>
          <w:rFonts w:ascii="Verdana" w:hAnsi="Verdana"/>
        </w:rPr>
        <w:t xml:space="preserve"> </w:t>
      </w:r>
    </w:p>
    <w:p w:rsidR="003246DA" w:rsidRPr="00556AAF" w:rsidRDefault="002D6ACD" w:rsidP="002D6ACD">
      <w:pPr>
        <w:ind w:left="720"/>
        <w:jc w:val="both"/>
        <w:rPr>
          <w:rFonts w:ascii="Verdana" w:hAnsi="Verdana"/>
          <w:u w:val="single"/>
        </w:rPr>
      </w:pPr>
      <w:r w:rsidRPr="00556AAF">
        <w:rPr>
          <w:rFonts w:ascii="Verdana" w:hAnsi="Verdana"/>
        </w:rPr>
        <w:t>R</w:t>
      </w:r>
      <w:r w:rsidR="003246DA" w:rsidRPr="00556AAF">
        <w:rPr>
          <w:rFonts w:ascii="Verdana" w:hAnsi="Verdana"/>
        </w:rPr>
        <w:t>iigiasutu</w:t>
      </w:r>
      <w:r w:rsidRPr="00556AAF">
        <w:rPr>
          <w:rFonts w:ascii="Verdana" w:hAnsi="Verdana"/>
        </w:rPr>
        <w:t>s</w:t>
      </w:r>
      <w:r w:rsidR="003246DA" w:rsidRPr="00556AAF">
        <w:rPr>
          <w:rFonts w:ascii="Verdana" w:hAnsi="Verdana"/>
        </w:rPr>
        <w:t xml:space="preserve">te ja/või päästeteenistuste vahetu sekkumine juhtumisse, inimeste evakueerimine, juhtumist tingitud ühendusteede sulgemine </w:t>
      </w:r>
      <w:r w:rsidRPr="00556AAF">
        <w:rPr>
          <w:rFonts w:ascii="Verdana" w:hAnsi="Verdana"/>
        </w:rPr>
        <w:t>vähemalt</w:t>
      </w:r>
      <w:r w:rsidR="003246DA" w:rsidRPr="00556AAF">
        <w:rPr>
          <w:rFonts w:ascii="Verdana" w:hAnsi="Verdana"/>
        </w:rPr>
        <w:t xml:space="preserve"> kui kolmeks tunniks. </w:t>
      </w:r>
    </w:p>
    <w:p w:rsidR="00EB2ABE" w:rsidRPr="00556AAF" w:rsidRDefault="00EB2ABE" w:rsidP="00766711">
      <w:pPr>
        <w:jc w:val="both"/>
        <w:rPr>
          <w:rFonts w:ascii="Verdana" w:hAnsi="Verdana" w:cs="Arial"/>
          <w:b/>
        </w:rPr>
      </w:pPr>
    </w:p>
    <w:p w:rsidR="00EB2ABE" w:rsidRPr="00766711" w:rsidRDefault="00EB2ABE">
      <w:pPr>
        <w:jc w:val="both"/>
        <w:rPr>
          <w:caps/>
          <w:color w:val="505A19" w:themeColor="accent1" w:themeShade="7F"/>
          <w:spacing w:val="5"/>
          <w:lang w:val="de-DE" w:eastAsia="de-DE"/>
        </w:rPr>
      </w:pPr>
      <w:r w:rsidRPr="00766711">
        <w:rPr>
          <w:rStyle w:val="Rhutus"/>
          <w:lang w:val="de-DE" w:eastAsia="de-DE"/>
        </w:rPr>
        <w:t xml:space="preserve">4. </w:t>
      </w:r>
      <w:r w:rsidR="00514880" w:rsidRPr="00766711">
        <w:rPr>
          <w:rStyle w:val="Rhutus"/>
          <w:lang w:val="de-DE" w:eastAsia="de-DE"/>
        </w:rPr>
        <w:t>Andmete kogumine ja aruandlusprotsess</w:t>
      </w:r>
    </w:p>
    <w:p w:rsidR="00EB2ABE" w:rsidRPr="00766711" w:rsidRDefault="00514880" w:rsidP="00766711">
      <w:pPr>
        <w:numPr>
          <w:ilvl w:val="1"/>
          <w:numId w:val="10"/>
        </w:numPr>
        <w:tabs>
          <w:tab w:val="clear" w:pos="360"/>
        </w:tabs>
        <w:jc w:val="both"/>
        <w:rPr>
          <w:i/>
          <w:iCs/>
          <w:color w:val="505A19" w:themeColor="accent1" w:themeShade="7F"/>
        </w:rPr>
      </w:pPr>
      <w:r w:rsidRPr="00766711">
        <w:rPr>
          <w:rStyle w:val="Vaevumrgatavrhutus"/>
        </w:rPr>
        <w:t xml:space="preserve">Andmed, mida peab koguma </w:t>
      </w:r>
    </w:p>
    <w:p w:rsidR="00EB2ABE" w:rsidRPr="00556AAF" w:rsidRDefault="00514880" w:rsidP="00766711">
      <w:pPr>
        <w:ind w:left="720"/>
        <w:jc w:val="both"/>
        <w:rPr>
          <w:rFonts w:ascii="Verdana" w:hAnsi="Verdana" w:cs="Arial"/>
        </w:rPr>
      </w:pPr>
      <w:r w:rsidRPr="00556AAF">
        <w:rPr>
          <w:rFonts w:ascii="Verdana" w:hAnsi="Verdana" w:cs="Arial"/>
        </w:rPr>
        <w:t>Aruandluse peab esitama alljärgnevate andmete kohta</w:t>
      </w:r>
      <w:r w:rsidR="00EB2ABE" w:rsidRPr="00556AAF">
        <w:rPr>
          <w:rFonts w:ascii="Verdana" w:hAnsi="Verdana" w:cs="Arial"/>
        </w:rPr>
        <w:t>:</w:t>
      </w:r>
    </w:p>
    <w:p w:rsidR="00D55ECA" w:rsidRPr="002821D5" w:rsidRDefault="00514880" w:rsidP="002821D5">
      <w:pPr>
        <w:pStyle w:val="Loendilik"/>
        <w:numPr>
          <w:ilvl w:val="0"/>
          <w:numId w:val="40"/>
        </w:numPr>
        <w:jc w:val="both"/>
        <w:rPr>
          <w:rFonts w:ascii="Verdana" w:hAnsi="Verdana" w:cs="Arial"/>
        </w:rPr>
      </w:pPr>
      <w:r w:rsidRPr="002821D5">
        <w:rPr>
          <w:rFonts w:ascii="Verdana" w:hAnsi="Verdana" w:cs="Arial"/>
        </w:rPr>
        <w:t>Transpordijuhtumite koguarv transpordi</w:t>
      </w:r>
      <w:r w:rsidR="002D6ACD" w:rsidRPr="002821D5">
        <w:rPr>
          <w:rFonts w:ascii="Verdana" w:hAnsi="Verdana" w:cs="Arial"/>
        </w:rPr>
        <w:t>liikide järgi</w:t>
      </w:r>
      <w:r w:rsidR="00D55ECA" w:rsidRPr="002821D5">
        <w:rPr>
          <w:rFonts w:ascii="Verdana" w:hAnsi="Verdana" w:cs="Arial"/>
        </w:rPr>
        <w:t xml:space="preserve"> </w:t>
      </w:r>
    </w:p>
    <w:p w:rsidR="00D55ECA" w:rsidRDefault="00D55ECA" w:rsidP="00D55ECA">
      <w:pPr>
        <w:numPr>
          <w:ilvl w:val="1"/>
          <w:numId w:val="11"/>
        </w:numPr>
        <w:jc w:val="both"/>
        <w:rPr>
          <w:rFonts w:ascii="Verdana" w:hAnsi="Verdana" w:cs="Arial"/>
        </w:rPr>
      </w:pPr>
      <w:r>
        <w:rPr>
          <w:rFonts w:ascii="Verdana" w:hAnsi="Verdana" w:cs="Arial"/>
        </w:rPr>
        <w:t xml:space="preserve">A) transpordijuhtumid maanteel; </w:t>
      </w:r>
    </w:p>
    <w:p w:rsidR="00D55ECA" w:rsidRDefault="00D55ECA" w:rsidP="00D55ECA">
      <w:pPr>
        <w:numPr>
          <w:ilvl w:val="1"/>
          <w:numId w:val="11"/>
        </w:numPr>
        <w:jc w:val="both"/>
        <w:rPr>
          <w:rFonts w:ascii="Verdana" w:hAnsi="Verdana" w:cs="Arial"/>
        </w:rPr>
      </w:pPr>
      <w:r>
        <w:rPr>
          <w:rFonts w:ascii="Verdana" w:hAnsi="Verdana" w:cs="Arial"/>
        </w:rPr>
        <w:t xml:space="preserve">B) transpordijuhtumid raudteel ja </w:t>
      </w:r>
    </w:p>
    <w:p w:rsidR="00EB2ABE" w:rsidRPr="00556AAF" w:rsidRDefault="00D55ECA" w:rsidP="00D55ECA">
      <w:pPr>
        <w:numPr>
          <w:ilvl w:val="1"/>
          <w:numId w:val="11"/>
        </w:numPr>
        <w:jc w:val="both"/>
        <w:rPr>
          <w:rFonts w:ascii="Verdana" w:hAnsi="Verdana" w:cs="Arial"/>
        </w:rPr>
      </w:pPr>
      <w:r>
        <w:rPr>
          <w:rFonts w:ascii="Verdana" w:hAnsi="Verdana" w:cs="Arial"/>
        </w:rPr>
        <w:t>C) transpordijuhtumid kokku (A+B+muud transpordiliigid)</w:t>
      </w:r>
    </w:p>
    <w:p w:rsidR="00EB2ABE" w:rsidRPr="00766711" w:rsidRDefault="00514880" w:rsidP="00766711">
      <w:pPr>
        <w:ind w:left="720"/>
        <w:jc w:val="both"/>
        <w:rPr>
          <w:rFonts w:ascii="Verdana" w:hAnsi="Verdana" w:cs="Arial"/>
        </w:rPr>
      </w:pPr>
      <w:r w:rsidRPr="00556AAF">
        <w:rPr>
          <w:rFonts w:ascii="Verdana" w:hAnsi="Verdana" w:cs="Arial"/>
        </w:rPr>
        <w:t xml:space="preserve">Vaata </w:t>
      </w:r>
      <w:r w:rsidR="00EB2ABE" w:rsidRPr="00556AAF">
        <w:rPr>
          <w:rFonts w:ascii="Verdana" w:hAnsi="Verdana" w:cs="Arial"/>
        </w:rPr>
        <w:t>4.4</w:t>
      </w:r>
      <w:r w:rsidR="0085444B" w:rsidRPr="00556AAF">
        <w:rPr>
          <w:rFonts w:ascii="Verdana" w:hAnsi="Verdana" w:cs="Arial"/>
        </w:rPr>
        <w:t xml:space="preserve"> pakutud andmete kogumise formaati</w:t>
      </w:r>
      <w:r w:rsidR="00EB2ABE" w:rsidRPr="00556AAF">
        <w:rPr>
          <w:rFonts w:ascii="Verdana" w:hAnsi="Verdana" w:cs="Arial"/>
        </w:rPr>
        <w:t>.</w:t>
      </w:r>
    </w:p>
    <w:p w:rsidR="00EB2ABE" w:rsidRPr="00B025C6" w:rsidRDefault="00EB2ABE">
      <w:pPr>
        <w:jc w:val="both"/>
        <w:rPr>
          <w:i/>
          <w:iCs/>
          <w:color w:val="505A19" w:themeColor="accent1" w:themeShade="7F"/>
        </w:rPr>
      </w:pPr>
      <w:r w:rsidRPr="00766711">
        <w:rPr>
          <w:rStyle w:val="Vaevumrgatavrhutus"/>
        </w:rPr>
        <w:t>4.2.</w:t>
      </w:r>
      <w:r w:rsidRPr="00766711">
        <w:rPr>
          <w:rStyle w:val="Vaevumrgatavrhutus"/>
        </w:rPr>
        <w:tab/>
      </w:r>
      <w:r w:rsidR="00ED1608" w:rsidRPr="00766711">
        <w:rPr>
          <w:rStyle w:val="Vaevumrgatavrhutus"/>
        </w:rPr>
        <w:t>Aruandlus</w:t>
      </w:r>
    </w:p>
    <w:p w:rsidR="00EB2ABE" w:rsidRPr="00556AAF" w:rsidRDefault="00EB2ABE">
      <w:pPr>
        <w:jc w:val="both"/>
        <w:rPr>
          <w:rFonts w:ascii="Verdana" w:hAnsi="Verdana" w:cs="Arial"/>
        </w:rPr>
      </w:pPr>
      <w:r w:rsidRPr="00556AAF">
        <w:rPr>
          <w:rFonts w:ascii="Verdana" w:hAnsi="Verdana" w:cs="Arial"/>
        </w:rPr>
        <w:tab/>
      </w:r>
      <w:r w:rsidR="00ED1608" w:rsidRPr="00556AAF">
        <w:rPr>
          <w:rFonts w:ascii="Verdana" w:hAnsi="Verdana" w:cs="Arial"/>
        </w:rPr>
        <w:t>Aruandluse protsess peab koosnema alljärgnevatest etappidest</w:t>
      </w:r>
      <w:r w:rsidRPr="00556AAF">
        <w:rPr>
          <w:rFonts w:ascii="Verdana" w:hAnsi="Verdana" w:cs="Arial"/>
        </w:rPr>
        <w:t>:</w:t>
      </w:r>
    </w:p>
    <w:p w:rsidR="00ED1608" w:rsidRPr="00556AAF" w:rsidRDefault="00ED1608" w:rsidP="00766711">
      <w:pPr>
        <w:ind w:left="1440" w:hanging="720"/>
        <w:jc w:val="both"/>
        <w:rPr>
          <w:rFonts w:ascii="Verdana" w:hAnsi="Verdana" w:cs="Arial"/>
        </w:rPr>
      </w:pPr>
      <w:r w:rsidRPr="00556AAF">
        <w:rPr>
          <w:rFonts w:ascii="Verdana" w:hAnsi="Verdana" w:cs="Arial"/>
        </w:rPr>
        <w:t xml:space="preserve">Etapp </w:t>
      </w:r>
      <w:r w:rsidR="00EB2ABE" w:rsidRPr="00556AAF">
        <w:rPr>
          <w:rFonts w:ascii="Verdana" w:hAnsi="Verdana" w:cs="Arial"/>
        </w:rPr>
        <w:t xml:space="preserve">1: </w:t>
      </w:r>
      <w:r w:rsidRPr="00556AAF">
        <w:rPr>
          <w:rFonts w:ascii="Verdana" w:hAnsi="Verdana" w:cs="Arial"/>
        </w:rPr>
        <w:t>Kõik saadetiste väljastajad koguvad kokku andme</w:t>
      </w:r>
      <w:r w:rsidR="00165E0B" w:rsidRPr="00556AAF">
        <w:rPr>
          <w:rFonts w:ascii="Verdana" w:hAnsi="Verdana" w:cs="Arial"/>
        </w:rPr>
        <w:t>d</w:t>
      </w:r>
      <w:r w:rsidRPr="00556AAF">
        <w:rPr>
          <w:rFonts w:ascii="Verdana" w:hAnsi="Verdana" w:cs="Arial"/>
        </w:rPr>
        <w:t xml:space="preserve"> enda poolt väljastatud kaubaga toimunud juhtumite kohta.</w:t>
      </w:r>
    </w:p>
    <w:p w:rsidR="00EB2ABE" w:rsidRPr="00556AAF" w:rsidRDefault="00ED1608" w:rsidP="00766711">
      <w:pPr>
        <w:ind w:left="1440" w:hanging="720"/>
        <w:jc w:val="both"/>
        <w:rPr>
          <w:rFonts w:ascii="Verdana" w:hAnsi="Verdana" w:cs="Arial"/>
        </w:rPr>
      </w:pPr>
      <w:r w:rsidRPr="00556AAF">
        <w:rPr>
          <w:rFonts w:ascii="Verdana" w:hAnsi="Verdana" w:cs="Arial"/>
        </w:rPr>
        <w:t xml:space="preserve">Etapp </w:t>
      </w:r>
      <w:r w:rsidR="00EB2ABE" w:rsidRPr="00556AAF">
        <w:rPr>
          <w:rFonts w:ascii="Verdana" w:hAnsi="Verdana" w:cs="Arial"/>
        </w:rPr>
        <w:t>2:</w:t>
      </w:r>
      <w:r w:rsidRPr="00556AAF">
        <w:rPr>
          <w:rFonts w:ascii="Verdana" w:hAnsi="Verdana" w:cs="Arial"/>
        </w:rPr>
        <w:t xml:space="preserve"> Iga keemiaettevõte korjab kokku andmed kõikidelt oma kauba tarnijatelt</w:t>
      </w:r>
      <w:r w:rsidR="00933E62">
        <w:rPr>
          <w:rFonts w:ascii="Verdana" w:hAnsi="Verdana" w:cs="Arial"/>
        </w:rPr>
        <w:t xml:space="preserve"> (sõltuvalt ettevõtte profiilist võib </w:t>
      </w:r>
      <w:r w:rsidR="00C5725C">
        <w:rPr>
          <w:rFonts w:ascii="Verdana" w:hAnsi="Verdana" w:cs="Arial"/>
        </w:rPr>
        <w:t xml:space="preserve">„kõikidelt tarnijatelt“ osutuda praktikas </w:t>
      </w:r>
      <w:r w:rsidR="00C5725C">
        <w:rPr>
          <w:rFonts w:ascii="Verdana" w:hAnsi="Verdana" w:cs="Arial"/>
        </w:rPr>
        <w:lastRenderedPageBreak/>
        <w:t>teostamatuks, seega on aktsepteeritav, et ettevõtted hõlmavad aruandlusega võimalikult laia, kuid samal ajal praktikas hallatava tarnijate ringi)</w:t>
      </w:r>
      <w:r w:rsidRPr="00556AAF">
        <w:rPr>
          <w:rFonts w:ascii="Verdana" w:hAnsi="Verdana" w:cs="Arial"/>
        </w:rPr>
        <w:t xml:space="preserve"> ja esitab </w:t>
      </w:r>
      <w:r w:rsidR="002D6ACD" w:rsidRPr="00556AAF">
        <w:rPr>
          <w:rFonts w:ascii="Verdana" w:hAnsi="Verdana" w:cs="Arial"/>
        </w:rPr>
        <w:t>koond</w:t>
      </w:r>
      <w:r w:rsidR="00933E62">
        <w:rPr>
          <w:rFonts w:ascii="Verdana" w:hAnsi="Verdana" w:cs="Arial"/>
        </w:rPr>
        <w:t xml:space="preserve">andmed </w:t>
      </w:r>
      <w:r w:rsidRPr="00556AAF">
        <w:rPr>
          <w:rFonts w:ascii="Verdana" w:hAnsi="Verdana" w:cs="Arial"/>
        </w:rPr>
        <w:t xml:space="preserve">keemiatööstuse </w:t>
      </w:r>
      <w:r w:rsidR="00923897" w:rsidRPr="00556AAF">
        <w:rPr>
          <w:rFonts w:ascii="Verdana" w:hAnsi="Verdana" w:cs="Arial"/>
        </w:rPr>
        <w:t>liidule</w:t>
      </w:r>
      <w:r w:rsidRPr="00556AAF">
        <w:rPr>
          <w:rFonts w:ascii="Verdana" w:hAnsi="Verdana" w:cs="Arial"/>
        </w:rPr>
        <w:t>.</w:t>
      </w:r>
      <w:r w:rsidR="00EB2ABE" w:rsidRPr="00556AAF">
        <w:rPr>
          <w:rFonts w:ascii="Verdana" w:hAnsi="Verdana" w:cs="Arial"/>
        </w:rPr>
        <w:t xml:space="preserve"> </w:t>
      </w:r>
    </w:p>
    <w:p w:rsidR="00ED1608" w:rsidRPr="00556AAF" w:rsidRDefault="00ED1608" w:rsidP="00766711">
      <w:pPr>
        <w:ind w:left="1440" w:hanging="720"/>
        <w:jc w:val="both"/>
        <w:rPr>
          <w:rFonts w:ascii="Verdana" w:hAnsi="Verdana" w:cs="Arial"/>
        </w:rPr>
      </w:pPr>
      <w:r w:rsidRPr="00556AAF">
        <w:rPr>
          <w:rFonts w:ascii="Verdana" w:hAnsi="Verdana" w:cs="Arial"/>
        </w:rPr>
        <w:t xml:space="preserve">Etapp </w:t>
      </w:r>
      <w:r w:rsidR="00EB2ABE" w:rsidRPr="00556AAF">
        <w:rPr>
          <w:rFonts w:ascii="Verdana" w:hAnsi="Verdana" w:cs="Arial"/>
        </w:rPr>
        <w:t xml:space="preserve">3: </w:t>
      </w:r>
      <w:r w:rsidRPr="00556AAF">
        <w:rPr>
          <w:rFonts w:ascii="Verdana" w:hAnsi="Verdana" w:cs="Arial"/>
        </w:rPr>
        <w:t>R</w:t>
      </w:r>
      <w:r w:rsidR="002D6ACD" w:rsidRPr="00556AAF">
        <w:rPr>
          <w:rFonts w:ascii="Verdana" w:hAnsi="Verdana" w:cs="Arial"/>
        </w:rPr>
        <w:t>iikide</w:t>
      </w:r>
      <w:r w:rsidRPr="00556AAF">
        <w:rPr>
          <w:rFonts w:ascii="Verdana" w:hAnsi="Verdana" w:cs="Arial"/>
        </w:rPr>
        <w:t xml:space="preserve"> keemiatööstuse </w:t>
      </w:r>
      <w:r w:rsidR="00923897" w:rsidRPr="00556AAF">
        <w:rPr>
          <w:rFonts w:ascii="Verdana" w:hAnsi="Verdana" w:cs="Arial"/>
        </w:rPr>
        <w:t>liidud</w:t>
      </w:r>
      <w:r w:rsidRPr="00556AAF">
        <w:rPr>
          <w:rFonts w:ascii="Verdana" w:hAnsi="Verdana" w:cs="Arial"/>
        </w:rPr>
        <w:t xml:space="preserve"> esitavad </w:t>
      </w:r>
      <w:r w:rsidR="002D6ACD" w:rsidRPr="00556AAF">
        <w:rPr>
          <w:rFonts w:ascii="Verdana" w:hAnsi="Verdana" w:cs="Arial"/>
        </w:rPr>
        <w:t xml:space="preserve">kogutud </w:t>
      </w:r>
      <w:r w:rsidRPr="00556AAF">
        <w:rPr>
          <w:rFonts w:ascii="Verdana" w:hAnsi="Verdana" w:cs="Arial"/>
        </w:rPr>
        <w:t xml:space="preserve">andmed </w:t>
      </w:r>
      <w:r w:rsidR="00933E62">
        <w:rPr>
          <w:rFonts w:ascii="Verdana" w:hAnsi="Verdana" w:cs="Arial"/>
        </w:rPr>
        <w:t>oma</w:t>
      </w:r>
      <w:r w:rsidRPr="00556AAF">
        <w:rPr>
          <w:rFonts w:ascii="Verdana" w:hAnsi="Verdana" w:cs="Arial"/>
        </w:rPr>
        <w:t xml:space="preserve"> riigis asetleidnud juhtumite kohta CEFIC-</w:t>
      </w:r>
      <w:r w:rsidR="002D6ACD" w:rsidRPr="00556AAF">
        <w:rPr>
          <w:rFonts w:ascii="Verdana" w:hAnsi="Verdana" w:cs="Arial"/>
        </w:rPr>
        <w:t>u</w:t>
      </w:r>
      <w:r w:rsidRPr="00556AAF">
        <w:rPr>
          <w:rFonts w:ascii="Verdana" w:hAnsi="Verdana" w:cs="Arial"/>
        </w:rPr>
        <w:t>le</w:t>
      </w:r>
      <w:r w:rsidR="00165E0B" w:rsidRPr="00556AAF">
        <w:rPr>
          <w:rFonts w:ascii="Verdana" w:hAnsi="Verdana" w:cs="Arial"/>
        </w:rPr>
        <w:t>.</w:t>
      </w:r>
    </w:p>
    <w:p w:rsidR="00EB2ABE" w:rsidRPr="00766711" w:rsidRDefault="00EB2ABE">
      <w:pPr>
        <w:jc w:val="both"/>
        <w:rPr>
          <w:i/>
          <w:iCs/>
          <w:color w:val="505A19" w:themeColor="accent1" w:themeShade="7F"/>
        </w:rPr>
      </w:pPr>
      <w:r w:rsidRPr="00766711">
        <w:rPr>
          <w:rStyle w:val="Vaevumrgatavrhutus"/>
        </w:rPr>
        <w:t>4.3.</w:t>
      </w:r>
      <w:r w:rsidRPr="00766711">
        <w:rPr>
          <w:rStyle w:val="Vaevumrgatavrhutus"/>
        </w:rPr>
        <w:tab/>
      </w:r>
      <w:r w:rsidR="002D6ACD" w:rsidRPr="00766711">
        <w:rPr>
          <w:rStyle w:val="Vaevumrgatavrhutus"/>
        </w:rPr>
        <w:t>Näitajad</w:t>
      </w:r>
    </w:p>
    <w:p w:rsidR="00EB2ABE" w:rsidRPr="00556AAF" w:rsidRDefault="00EB2ABE">
      <w:pPr>
        <w:jc w:val="both"/>
        <w:rPr>
          <w:rFonts w:ascii="Verdana" w:hAnsi="Verdana" w:cs="Arial"/>
        </w:rPr>
      </w:pPr>
      <w:r w:rsidRPr="00556AAF">
        <w:rPr>
          <w:rFonts w:ascii="Verdana" w:hAnsi="Verdana" w:cs="Arial"/>
        </w:rPr>
        <w:tab/>
      </w:r>
      <w:r w:rsidR="00965CB9" w:rsidRPr="00556AAF">
        <w:rPr>
          <w:rFonts w:ascii="Verdana" w:hAnsi="Verdana" w:cs="Arial"/>
        </w:rPr>
        <w:t xml:space="preserve">Soovitav on </w:t>
      </w:r>
      <w:r w:rsidR="00710558" w:rsidRPr="00556AAF">
        <w:rPr>
          <w:rFonts w:ascii="Verdana" w:hAnsi="Verdana" w:cs="Arial"/>
        </w:rPr>
        <w:t>kasuta</w:t>
      </w:r>
      <w:r w:rsidR="00965CB9" w:rsidRPr="00556AAF">
        <w:rPr>
          <w:rFonts w:ascii="Verdana" w:hAnsi="Verdana" w:cs="Arial"/>
        </w:rPr>
        <w:t>da</w:t>
      </w:r>
      <w:r w:rsidR="00710558" w:rsidRPr="00556AAF">
        <w:rPr>
          <w:rFonts w:ascii="Verdana" w:hAnsi="Verdana" w:cs="Arial"/>
        </w:rPr>
        <w:t xml:space="preserve"> alljärgnevaid </w:t>
      </w:r>
      <w:r w:rsidR="002D6ACD" w:rsidRPr="00556AAF">
        <w:rPr>
          <w:rFonts w:ascii="Verdana" w:hAnsi="Verdana" w:cs="Arial"/>
        </w:rPr>
        <w:t>näitaja</w:t>
      </w:r>
      <w:r w:rsidR="00710558" w:rsidRPr="00556AAF">
        <w:rPr>
          <w:rFonts w:ascii="Verdana" w:hAnsi="Verdana" w:cs="Arial"/>
        </w:rPr>
        <w:t>id</w:t>
      </w:r>
      <w:r w:rsidR="00165E0B" w:rsidRPr="00556AAF">
        <w:rPr>
          <w:rFonts w:ascii="Verdana" w:hAnsi="Verdana" w:cs="Arial"/>
        </w:rPr>
        <w:t>:</w:t>
      </w:r>
    </w:p>
    <w:p w:rsidR="00965CB9" w:rsidRPr="00556AAF" w:rsidRDefault="00965CB9">
      <w:pPr>
        <w:jc w:val="both"/>
        <w:rPr>
          <w:rFonts w:ascii="Verdana" w:hAnsi="Verdana" w:cs="Arial"/>
        </w:rPr>
      </w:pPr>
      <w:r w:rsidRPr="00556AAF">
        <w:rPr>
          <w:rFonts w:ascii="Verdana" w:hAnsi="Verdana" w:cs="Arial"/>
        </w:rPr>
        <w:tab/>
        <w:t>-</w:t>
      </w:r>
      <w:r w:rsidRPr="00556AAF">
        <w:rPr>
          <w:rFonts w:ascii="Verdana" w:hAnsi="Verdana" w:cs="Arial"/>
        </w:rPr>
        <w:tab/>
        <w:t>juhtumite arv transpordi</w:t>
      </w:r>
      <w:r w:rsidR="002162CF" w:rsidRPr="00556AAF">
        <w:rPr>
          <w:rFonts w:ascii="Verdana" w:hAnsi="Verdana" w:cs="Arial"/>
        </w:rPr>
        <w:t>liigi</w:t>
      </w:r>
      <w:r w:rsidRPr="00556AAF">
        <w:rPr>
          <w:rFonts w:ascii="Verdana" w:hAnsi="Verdana" w:cs="Arial"/>
        </w:rPr>
        <w:t xml:space="preserve"> kohta</w:t>
      </w:r>
      <w:r w:rsidR="00165E0B" w:rsidRPr="00556AAF">
        <w:rPr>
          <w:rFonts w:ascii="Verdana" w:hAnsi="Verdana" w:cs="Arial"/>
        </w:rPr>
        <w:t>;</w:t>
      </w:r>
    </w:p>
    <w:p w:rsidR="00A3769A" w:rsidRPr="00556AAF" w:rsidRDefault="00965CB9">
      <w:pPr>
        <w:jc w:val="both"/>
        <w:rPr>
          <w:rFonts w:ascii="Verdana" w:hAnsi="Verdana" w:cs="Arial"/>
        </w:rPr>
      </w:pPr>
      <w:r w:rsidRPr="00556AAF">
        <w:rPr>
          <w:rFonts w:ascii="Verdana" w:hAnsi="Verdana" w:cs="Arial"/>
        </w:rPr>
        <w:tab/>
        <w:t>-</w:t>
      </w:r>
      <w:r w:rsidRPr="00556AAF">
        <w:rPr>
          <w:rFonts w:ascii="Verdana" w:hAnsi="Verdana" w:cs="Arial"/>
        </w:rPr>
        <w:tab/>
        <w:t xml:space="preserve">juhtumite arv 1 miljoni tonni </w:t>
      </w:r>
      <w:r w:rsidR="00D6269D" w:rsidRPr="00556AAF">
        <w:rPr>
          <w:rFonts w:ascii="Verdana" w:hAnsi="Verdana" w:cs="Arial"/>
        </w:rPr>
        <w:t xml:space="preserve">kohta </w:t>
      </w:r>
      <w:r w:rsidR="00A3769A" w:rsidRPr="00556AAF">
        <w:rPr>
          <w:rFonts w:ascii="Verdana" w:hAnsi="Verdana" w:cs="Arial"/>
        </w:rPr>
        <w:t>kõikide transpordi</w:t>
      </w:r>
      <w:r w:rsidR="002162CF" w:rsidRPr="00556AAF">
        <w:rPr>
          <w:rFonts w:ascii="Verdana" w:hAnsi="Verdana" w:cs="Arial"/>
        </w:rPr>
        <w:t>liiki</w:t>
      </w:r>
      <w:r w:rsidR="00A3769A" w:rsidRPr="00556AAF">
        <w:rPr>
          <w:rFonts w:ascii="Verdana" w:hAnsi="Verdana" w:cs="Arial"/>
        </w:rPr>
        <w:t xml:space="preserve">de </w:t>
      </w:r>
      <w:r w:rsidR="00D6269D" w:rsidRPr="00556AAF">
        <w:rPr>
          <w:rFonts w:ascii="Verdana" w:hAnsi="Verdana" w:cs="Arial"/>
        </w:rPr>
        <w:t>lõikes</w:t>
      </w:r>
      <w:r w:rsidR="00165E0B" w:rsidRPr="00556AAF">
        <w:rPr>
          <w:rFonts w:ascii="Verdana" w:hAnsi="Verdana" w:cs="Arial"/>
        </w:rPr>
        <w:t>.</w:t>
      </w:r>
    </w:p>
    <w:p w:rsidR="00A3769A" w:rsidRPr="00556AAF" w:rsidRDefault="00A3769A">
      <w:pPr>
        <w:jc w:val="both"/>
        <w:rPr>
          <w:rFonts w:ascii="Verdana" w:hAnsi="Verdana" w:cs="Arial"/>
        </w:rPr>
      </w:pPr>
    </w:p>
    <w:p w:rsidR="00EB2ABE" w:rsidRPr="00766711" w:rsidRDefault="00EB2ABE">
      <w:pPr>
        <w:jc w:val="both"/>
        <w:rPr>
          <w:i/>
          <w:iCs/>
          <w:color w:val="505A19" w:themeColor="accent1" w:themeShade="7F"/>
        </w:rPr>
      </w:pPr>
      <w:r w:rsidRPr="00766711">
        <w:rPr>
          <w:rStyle w:val="Vaevumrgatavrhutus"/>
        </w:rPr>
        <w:t>4.4.</w:t>
      </w:r>
      <w:r w:rsidRPr="00766711">
        <w:rPr>
          <w:rStyle w:val="Vaevumrgatavrhutus"/>
        </w:rPr>
        <w:tab/>
      </w:r>
      <w:r w:rsidR="004A7893" w:rsidRPr="00766711">
        <w:rPr>
          <w:rStyle w:val="Vaevumrgatavrhutus"/>
        </w:rPr>
        <w:t>Andmete kogumise soovituslik tabel</w:t>
      </w:r>
    </w:p>
    <w:p w:rsidR="00EB2ABE" w:rsidRPr="00556AAF" w:rsidRDefault="00EB2ABE">
      <w:pPr>
        <w:jc w:val="both"/>
        <w:rPr>
          <w:rFonts w:ascii="Arial" w:hAnsi="Arial" w:cs="Arial"/>
        </w:rPr>
      </w:pPr>
      <w:r w:rsidRPr="00556AAF">
        <w:rPr>
          <w:rFonts w:ascii="Arial" w:hAnsi="Arial" w:cs="Arial"/>
        </w:rPr>
        <w:t xml:space="preserve">  </w:t>
      </w:r>
      <w:r w:rsidRPr="00556AAF">
        <w:rPr>
          <w:rFonts w:ascii="Arial" w:hAnsi="Arial" w:cs="Arial"/>
        </w:rPr>
        <w:tab/>
      </w:r>
    </w:p>
    <w:tbl>
      <w:tblPr>
        <w:tblStyle w:val="Keskminekoordinaatvrk1rhk1"/>
        <w:tblW w:w="4928" w:type="dxa"/>
        <w:tblLayout w:type="fixed"/>
        <w:tblLook w:val="01E0" w:firstRow="1" w:lastRow="1" w:firstColumn="1" w:lastColumn="1" w:noHBand="0" w:noVBand="0"/>
      </w:tblPr>
      <w:tblGrid>
        <w:gridCol w:w="2033"/>
        <w:gridCol w:w="1133"/>
        <w:gridCol w:w="1762"/>
      </w:tblGrid>
      <w:tr w:rsidR="00C5725C" w:rsidRPr="00556AAF" w:rsidTr="00C5725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33" w:type="dxa"/>
            <w:vMerge w:val="restart"/>
          </w:tcPr>
          <w:p w:rsidR="00C5725C" w:rsidRPr="00556AAF" w:rsidRDefault="00C5725C">
            <w:pPr>
              <w:jc w:val="center"/>
              <w:rPr>
                <w:rFonts w:ascii="Arial" w:hAnsi="Arial" w:cs="Arial"/>
                <w:b w:val="0"/>
                <w:sz w:val="22"/>
                <w:szCs w:val="22"/>
              </w:rPr>
            </w:pPr>
            <w:r w:rsidRPr="00556AAF">
              <w:rPr>
                <w:rFonts w:ascii="Arial" w:hAnsi="Arial" w:cs="Arial"/>
                <w:b w:val="0"/>
                <w:sz w:val="22"/>
                <w:szCs w:val="22"/>
              </w:rPr>
              <w:t>Transpordiliik</w:t>
            </w:r>
          </w:p>
        </w:tc>
        <w:tc>
          <w:tcPr>
            <w:cnfStyle w:val="000100000000" w:firstRow="0" w:lastRow="0" w:firstColumn="0" w:lastColumn="1" w:oddVBand="0" w:evenVBand="0" w:oddHBand="0" w:evenHBand="0" w:firstRowFirstColumn="0" w:firstRowLastColumn="0" w:lastRowFirstColumn="0" w:lastRowLastColumn="0"/>
            <w:tcW w:w="2895" w:type="dxa"/>
            <w:gridSpan w:val="2"/>
          </w:tcPr>
          <w:p w:rsidR="00C5725C" w:rsidRPr="00556AAF" w:rsidRDefault="00C5725C">
            <w:pPr>
              <w:jc w:val="center"/>
              <w:rPr>
                <w:rFonts w:ascii="Arial" w:hAnsi="Arial" w:cs="Arial"/>
                <w:b w:val="0"/>
                <w:sz w:val="22"/>
                <w:szCs w:val="22"/>
              </w:rPr>
            </w:pPr>
            <w:r w:rsidRPr="00556AAF">
              <w:rPr>
                <w:rFonts w:ascii="Arial" w:hAnsi="Arial" w:cs="Arial"/>
                <w:b w:val="0"/>
                <w:sz w:val="22"/>
                <w:szCs w:val="22"/>
              </w:rPr>
              <w:t>Juhtumite arv</w:t>
            </w:r>
          </w:p>
        </w:tc>
      </w:tr>
      <w:tr w:rsidR="00C5725C" w:rsidRPr="00556AAF" w:rsidTr="00C5725C">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033" w:type="dxa"/>
            <w:vMerge/>
          </w:tcPr>
          <w:p w:rsidR="00C5725C" w:rsidRPr="00556AAF" w:rsidRDefault="00C5725C">
            <w:pPr>
              <w:jc w:val="both"/>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center"/>
              <w:rPr>
                <w:rFonts w:ascii="Arial" w:hAnsi="Arial" w:cs="Arial"/>
                <w:b/>
                <w:sz w:val="22"/>
                <w:szCs w:val="22"/>
              </w:rPr>
            </w:pPr>
            <w:r w:rsidRPr="00556AAF">
              <w:rPr>
                <w:rFonts w:ascii="Arial" w:hAnsi="Arial" w:cs="Arial"/>
                <w:b/>
                <w:sz w:val="22"/>
                <w:szCs w:val="22"/>
              </w:rPr>
              <w:t>Kokku</w:t>
            </w: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rPr>
                <w:rFonts w:ascii="Arial" w:hAnsi="Arial" w:cs="Arial"/>
                <w:b w:val="0"/>
                <w:sz w:val="22"/>
                <w:szCs w:val="22"/>
              </w:rPr>
            </w:pPr>
            <w:r w:rsidRPr="00556AAF">
              <w:rPr>
                <w:rFonts w:ascii="Arial" w:hAnsi="Arial" w:cs="Arial"/>
                <w:b w:val="0"/>
                <w:sz w:val="22"/>
                <w:szCs w:val="22"/>
              </w:rPr>
              <w:t>Kaotatud kaubad (vaata 3.2.b)</w:t>
            </w:r>
          </w:p>
        </w:tc>
      </w:tr>
      <w:tr w:rsidR="00C5725C" w:rsidRPr="00556AAF" w:rsidTr="00C5725C">
        <w:tc>
          <w:tcPr>
            <w:cnfStyle w:val="001000000000" w:firstRow="0" w:lastRow="0" w:firstColumn="1" w:lastColumn="0" w:oddVBand="0" w:evenVBand="0" w:oddHBand="0" w:evenHBand="0" w:firstRowFirstColumn="0" w:firstRowLastColumn="0" w:lastRowFirstColumn="0" w:lastRowLastColumn="0"/>
            <w:tcW w:w="2033" w:type="dxa"/>
          </w:tcPr>
          <w:p w:rsidR="00C5725C" w:rsidRPr="00556AAF" w:rsidRDefault="00C5725C">
            <w:pPr>
              <w:jc w:val="both"/>
              <w:rPr>
                <w:rFonts w:ascii="Arial" w:hAnsi="Arial" w:cs="Arial"/>
                <w:b w:val="0"/>
                <w:sz w:val="22"/>
                <w:szCs w:val="22"/>
              </w:rPr>
            </w:pPr>
            <w:r w:rsidRPr="00556AAF">
              <w:rPr>
                <w:rFonts w:ascii="Arial" w:hAnsi="Arial" w:cs="Arial"/>
                <w:b w:val="0"/>
                <w:sz w:val="22"/>
                <w:szCs w:val="22"/>
              </w:rPr>
              <w:t>Õhuveod</w:t>
            </w: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jc w:val="both"/>
              <w:rPr>
                <w:rFonts w:ascii="Arial" w:hAnsi="Arial" w:cs="Arial"/>
                <w:sz w:val="22"/>
                <w:szCs w:val="22"/>
              </w:rPr>
            </w:pPr>
          </w:p>
        </w:tc>
      </w:tr>
      <w:tr w:rsidR="00C5725C" w:rsidRPr="00556AAF" w:rsidTr="00C57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C5725C" w:rsidRPr="00556AAF" w:rsidRDefault="00C5725C">
            <w:pPr>
              <w:jc w:val="both"/>
              <w:rPr>
                <w:rFonts w:ascii="Arial" w:hAnsi="Arial" w:cs="Arial"/>
                <w:b w:val="0"/>
                <w:sz w:val="22"/>
                <w:szCs w:val="22"/>
              </w:rPr>
            </w:pPr>
            <w:r w:rsidRPr="00556AAF">
              <w:rPr>
                <w:rFonts w:ascii="Arial" w:hAnsi="Arial" w:cs="Arial"/>
                <w:b w:val="0"/>
                <w:sz w:val="22"/>
                <w:szCs w:val="22"/>
              </w:rPr>
              <w:t>Raudteeveod</w:t>
            </w: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jc w:val="both"/>
              <w:rPr>
                <w:rFonts w:ascii="Arial" w:hAnsi="Arial" w:cs="Arial"/>
                <w:sz w:val="22"/>
                <w:szCs w:val="22"/>
              </w:rPr>
            </w:pPr>
          </w:p>
        </w:tc>
      </w:tr>
      <w:tr w:rsidR="00C5725C" w:rsidRPr="00556AAF" w:rsidTr="00C5725C">
        <w:tc>
          <w:tcPr>
            <w:cnfStyle w:val="001000000000" w:firstRow="0" w:lastRow="0" w:firstColumn="1" w:lastColumn="0" w:oddVBand="0" w:evenVBand="0" w:oddHBand="0" w:evenHBand="0" w:firstRowFirstColumn="0" w:firstRowLastColumn="0" w:lastRowFirstColumn="0" w:lastRowLastColumn="0"/>
            <w:tcW w:w="2033" w:type="dxa"/>
          </w:tcPr>
          <w:p w:rsidR="00C5725C" w:rsidRPr="00556AAF" w:rsidRDefault="00C5725C">
            <w:pPr>
              <w:jc w:val="both"/>
              <w:rPr>
                <w:rFonts w:ascii="Arial" w:hAnsi="Arial" w:cs="Arial"/>
                <w:b w:val="0"/>
                <w:sz w:val="22"/>
                <w:szCs w:val="22"/>
              </w:rPr>
            </w:pPr>
            <w:r w:rsidRPr="00556AAF">
              <w:rPr>
                <w:rFonts w:ascii="Arial" w:hAnsi="Arial" w:cs="Arial"/>
                <w:b w:val="0"/>
                <w:sz w:val="22"/>
                <w:szCs w:val="22"/>
              </w:rPr>
              <w:t>Maanteeveod</w:t>
            </w: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jc w:val="both"/>
              <w:rPr>
                <w:rFonts w:ascii="Arial" w:hAnsi="Arial" w:cs="Arial"/>
                <w:sz w:val="22"/>
                <w:szCs w:val="22"/>
              </w:rPr>
            </w:pPr>
          </w:p>
        </w:tc>
      </w:tr>
      <w:tr w:rsidR="00C5725C" w:rsidRPr="00556AAF" w:rsidTr="00C57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C5725C" w:rsidRPr="00556AAF" w:rsidRDefault="00C5725C">
            <w:pPr>
              <w:jc w:val="both"/>
              <w:rPr>
                <w:rFonts w:ascii="Arial" w:hAnsi="Arial" w:cs="Arial"/>
                <w:b w:val="0"/>
                <w:sz w:val="22"/>
                <w:szCs w:val="22"/>
              </w:rPr>
            </w:pPr>
            <w:r w:rsidRPr="00556AAF">
              <w:rPr>
                <w:rFonts w:ascii="Arial" w:hAnsi="Arial" w:cs="Arial"/>
                <w:b w:val="0"/>
                <w:sz w:val="22"/>
                <w:szCs w:val="22"/>
              </w:rPr>
              <w:t>Mereveod</w:t>
            </w: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jc w:val="both"/>
              <w:rPr>
                <w:rFonts w:ascii="Arial" w:hAnsi="Arial" w:cs="Arial"/>
                <w:sz w:val="22"/>
                <w:szCs w:val="22"/>
              </w:rPr>
            </w:pPr>
          </w:p>
        </w:tc>
      </w:tr>
      <w:tr w:rsidR="00C5725C" w:rsidRPr="00556AAF" w:rsidTr="00C5725C">
        <w:tc>
          <w:tcPr>
            <w:cnfStyle w:val="001000000000" w:firstRow="0" w:lastRow="0" w:firstColumn="1" w:lastColumn="0" w:oddVBand="0" w:evenVBand="0" w:oddHBand="0" w:evenHBand="0" w:firstRowFirstColumn="0" w:firstRowLastColumn="0" w:lastRowFirstColumn="0" w:lastRowLastColumn="0"/>
            <w:tcW w:w="2033" w:type="dxa"/>
          </w:tcPr>
          <w:p w:rsidR="00C5725C" w:rsidRPr="00556AAF" w:rsidRDefault="00C5725C">
            <w:pPr>
              <w:jc w:val="both"/>
              <w:rPr>
                <w:rFonts w:ascii="Arial" w:hAnsi="Arial" w:cs="Arial"/>
                <w:b w:val="0"/>
                <w:sz w:val="22"/>
                <w:szCs w:val="22"/>
              </w:rPr>
            </w:pPr>
            <w:r w:rsidRPr="00556AAF">
              <w:rPr>
                <w:rFonts w:ascii="Arial" w:hAnsi="Arial" w:cs="Arial"/>
                <w:b w:val="0"/>
                <w:sz w:val="22"/>
                <w:szCs w:val="22"/>
              </w:rPr>
              <w:t>Siseveeveod</w:t>
            </w: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jc w:val="both"/>
              <w:rPr>
                <w:rFonts w:ascii="Arial" w:hAnsi="Arial" w:cs="Arial"/>
                <w:sz w:val="22"/>
                <w:szCs w:val="22"/>
              </w:rPr>
            </w:pPr>
          </w:p>
        </w:tc>
      </w:tr>
      <w:tr w:rsidR="00C5725C" w:rsidRPr="00556AAF" w:rsidTr="00C57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C5725C" w:rsidRPr="00556AAF" w:rsidRDefault="00C5725C">
            <w:pPr>
              <w:jc w:val="both"/>
              <w:rPr>
                <w:rFonts w:ascii="Arial" w:hAnsi="Arial" w:cs="Arial"/>
                <w:b w:val="0"/>
                <w:sz w:val="22"/>
                <w:szCs w:val="22"/>
              </w:rPr>
            </w:pPr>
            <w:r w:rsidRPr="00556AAF">
              <w:rPr>
                <w:rFonts w:ascii="Arial" w:hAnsi="Arial" w:cs="Arial"/>
                <w:b w:val="0"/>
                <w:sz w:val="22"/>
                <w:szCs w:val="22"/>
              </w:rPr>
              <w:t>Torujuhtmed</w:t>
            </w: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jc w:val="both"/>
              <w:rPr>
                <w:rFonts w:ascii="Arial" w:hAnsi="Arial" w:cs="Arial"/>
                <w:sz w:val="22"/>
                <w:szCs w:val="22"/>
              </w:rPr>
            </w:pPr>
          </w:p>
        </w:tc>
      </w:tr>
      <w:tr w:rsidR="00C5725C" w:rsidRPr="00556AAF" w:rsidTr="00C5725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rsidR="00C5725C" w:rsidRPr="00556AAF" w:rsidRDefault="00C5725C">
            <w:pPr>
              <w:rPr>
                <w:rFonts w:ascii="Arial" w:hAnsi="Arial" w:cs="Arial"/>
                <w:b w:val="0"/>
                <w:sz w:val="22"/>
                <w:szCs w:val="22"/>
              </w:rPr>
            </w:pPr>
            <w:r w:rsidRPr="00556AAF">
              <w:rPr>
                <w:rFonts w:ascii="Arial" w:hAnsi="Arial" w:cs="Arial"/>
                <w:b w:val="0"/>
                <w:sz w:val="22"/>
                <w:szCs w:val="22"/>
              </w:rPr>
              <w:t>Kokku</w:t>
            </w:r>
          </w:p>
        </w:tc>
        <w:tc>
          <w:tcPr>
            <w:cnfStyle w:val="000010000000" w:firstRow="0" w:lastRow="0" w:firstColumn="0" w:lastColumn="0" w:oddVBand="1" w:evenVBand="0" w:oddHBand="0" w:evenHBand="0" w:firstRowFirstColumn="0" w:firstRowLastColumn="0" w:lastRowFirstColumn="0" w:lastRowLastColumn="0"/>
            <w:tcW w:w="1133" w:type="dxa"/>
          </w:tcPr>
          <w:p w:rsidR="00C5725C" w:rsidRPr="00556AAF" w:rsidRDefault="00C5725C">
            <w:pPr>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762" w:type="dxa"/>
          </w:tcPr>
          <w:p w:rsidR="00C5725C" w:rsidRPr="00556AAF" w:rsidRDefault="00C5725C">
            <w:pPr>
              <w:jc w:val="both"/>
              <w:rPr>
                <w:rFonts w:ascii="Arial" w:hAnsi="Arial" w:cs="Arial"/>
                <w:sz w:val="22"/>
                <w:szCs w:val="22"/>
              </w:rPr>
            </w:pPr>
          </w:p>
        </w:tc>
      </w:tr>
    </w:tbl>
    <w:p w:rsidR="00EB2ABE" w:rsidRPr="00556AAF" w:rsidRDefault="00EB2ABE">
      <w:pPr>
        <w:jc w:val="both"/>
        <w:rPr>
          <w:rFonts w:ascii="Arial" w:hAnsi="Arial" w:cs="Arial"/>
        </w:rPr>
      </w:pPr>
    </w:p>
    <w:p w:rsidR="00EB2ABE" w:rsidRPr="009A2C39" w:rsidRDefault="00EB2ABE" w:rsidP="009A2C39">
      <w:pPr>
        <w:jc w:val="both"/>
      </w:pPr>
      <w:r w:rsidRPr="00556AAF">
        <w:rPr>
          <w:rFonts w:ascii="Arial" w:hAnsi="Arial" w:cs="Arial"/>
          <w:sz w:val="22"/>
        </w:rPr>
        <w:tab/>
        <w:t xml:space="preserve">   </w:t>
      </w:r>
    </w:p>
    <w:p w:rsidR="00EB2ABE" w:rsidRPr="00556AAF" w:rsidRDefault="00EB2ABE">
      <w:pPr>
        <w:autoSpaceDE w:val="0"/>
        <w:autoSpaceDN w:val="0"/>
        <w:adjustRightInd w:val="0"/>
        <w:jc w:val="both"/>
        <w:rPr>
          <w:rFonts w:ascii="Arial" w:hAnsi="Arial" w:cs="Arial"/>
          <w:sz w:val="22"/>
        </w:rPr>
      </w:pPr>
      <w:r w:rsidRPr="00556AAF">
        <w:rPr>
          <w:rFonts w:ascii="Arial" w:hAnsi="Arial" w:cs="Arial"/>
          <w:sz w:val="22"/>
        </w:rPr>
        <w:t xml:space="preserve"> </w:t>
      </w:r>
    </w:p>
    <w:p w:rsidR="00972068" w:rsidRDefault="00972068">
      <w:pPr>
        <w:rPr>
          <w:rFonts w:ascii="Arial" w:hAnsi="Arial" w:cs="Arial"/>
          <w:sz w:val="22"/>
        </w:rPr>
      </w:pPr>
    </w:p>
    <w:sectPr w:rsidR="00972068" w:rsidSect="00606C0D">
      <w:type w:val="continuous"/>
      <w:pgSz w:w="12240" w:h="15840"/>
      <w:pgMar w:top="1418" w:right="1418" w:bottom="1418" w:left="1418"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99" w:rsidRDefault="005D2E99">
      <w:r>
        <w:separator/>
      </w:r>
    </w:p>
  </w:endnote>
  <w:endnote w:type="continuationSeparator" w:id="0">
    <w:p w:rsidR="005D2E99" w:rsidRDefault="005D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FA" w:rsidRDefault="006314FA" w:rsidP="00BA792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6314FA" w:rsidRDefault="006314FA">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FA" w:rsidRDefault="006314FA" w:rsidP="00BA792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B32FD">
      <w:rPr>
        <w:rStyle w:val="Lehekljenumber"/>
        <w:noProof/>
      </w:rPr>
      <w:t>28</w:t>
    </w:r>
    <w:r>
      <w:rPr>
        <w:rStyle w:val="Lehekljenumber"/>
      </w:rPr>
      <w:fldChar w:fldCharType="end"/>
    </w:r>
  </w:p>
  <w:p w:rsidR="006314FA" w:rsidRDefault="006314FA">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99" w:rsidRDefault="005D2E99">
      <w:r>
        <w:separator/>
      </w:r>
    </w:p>
  </w:footnote>
  <w:footnote w:type="continuationSeparator" w:id="0">
    <w:p w:rsidR="005D2E99" w:rsidRDefault="005D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D93"/>
    <w:multiLevelType w:val="multilevel"/>
    <w:tmpl w:val="CCF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45AEA"/>
    <w:multiLevelType w:val="hybridMultilevel"/>
    <w:tmpl w:val="FF7A8F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56C2D99"/>
    <w:multiLevelType w:val="multilevel"/>
    <w:tmpl w:val="0858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775C"/>
    <w:multiLevelType w:val="multilevel"/>
    <w:tmpl w:val="870E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334BA"/>
    <w:multiLevelType w:val="multilevel"/>
    <w:tmpl w:val="FB7C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522A0"/>
    <w:multiLevelType w:val="multilevel"/>
    <w:tmpl w:val="2B6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A3A02"/>
    <w:multiLevelType w:val="multilevel"/>
    <w:tmpl w:val="2D30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80558"/>
    <w:multiLevelType w:val="hybridMultilevel"/>
    <w:tmpl w:val="A4028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2F90A2D"/>
    <w:multiLevelType w:val="hybridMultilevel"/>
    <w:tmpl w:val="892011B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nsid w:val="13071C4F"/>
    <w:multiLevelType w:val="multilevel"/>
    <w:tmpl w:val="563CC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77CDE"/>
    <w:multiLevelType w:val="multilevel"/>
    <w:tmpl w:val="2B0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F5AB4"/>
    <w:multiLevelType w:val="hybridMultilevel"/>
    <w:tmpl w:val="7570BA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8CA3B75"/>
    <w:multiLevelType w:val="multilevel"/>
    <w:tmpl w:val="5546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B576FD"/>
    <w:multiLevelType w:val="multilevel"/>
    <w:tmpl w:val="299E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BA3597"/>
    <w:multiLevelType w:val="multilevel"/>
    <w:tmpl w:val="44865F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A7832C5"/>
    <w:multiLevelType w:val="hybridMultilevel"/>
    <w:tmpl w:val="2FA089B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212F34BB"/>
    <w:multiLevelType w:val="hybridMultilevel"/>
    <w:tmpl w:val="92868C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1DA67C9"/>
    <w:multiLevelType w:val="hybridMultilevel"/>
    <w:tmpl w:val="121656AE"/>
    <w:lvl w:ilvl="0" w:tplc="04070001">
      <w:start w:val="1"/>
      <w:numFmt w:val="bullet"/>
      <w:lvlText w:val=""/>
      <w:lvlJc w:val="left"/>
      <w:pPr>
        <w:tabs>
          <w:tab w:val="num" w:pos="1080"/>
        </w:tabs>
        <w:ind w:left="1080" w:hanging="360"/>
      </w:pPr>
      <w:rPr>
        <w:rFonts w:ascii="Symbol" w:hAnsi="Symbol" w:hint="default"/>
      </w:rPr>
    </w:lvl>
    <w:lvl w:ilvl="1" w:tplc="B266786A">
      <w:numFmt w:val="bullet"/>
      <w:lvlText w:val="-"/>
      <w:lvlJc w:val="left"/>
      <w:pPr>
        <w:tabs>
          <w:tab w:val="num" w:pos="1800"/>
        </w:tabs>
        <w:ind w:left="1800" w:hanging="360"/>
      </w:pPr>
      <w:rPr>
        <w:rFonts w:ascii="Times New Roman" w:eastAsia="Times New Roman" w:hAnsi="Times New Roman" w:cs="Times New Roman"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nsid w:val="2C685EBB"/>
    <w:multiLevelType w:val="hybridMultilevel"/>
    <w:tmpl w:val="EF3432F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nsid w:val="3965076D"/>
    <w:multiLevelType w:val="multilevel"/>
    <w:tmpl w:val="FC1C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9B284C"/>
    <w:multiLevelType w:val="hybridMultilevel"/>
    <w:tmpl w:val="53C65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D07703B"/>
    <w:multiLevelType w:val="hybridMultilevel"/>
    <w:tmpl w:val="97681D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E6B497C"/>
    <w:multiLevelType w:val="hybridMultilevel"/>
    <w:tmpl w:val="4DF4E2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455751C9"/>
    <w:multiLevelType w:val="multilevel"/>
    <w:tmpl w:val="BFB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5A43F3"/>
    <w:multiLevelType w:val="multilevel"/>
    <w:tmpl w:val="E78C9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097555"/>
    <w:multiLevelType w:val="hybridMultilevel"/>
    <w:tmpl w:val="04E8B4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51B43035"/>
    <w:multiLevelType w:val="hybridMultilevel"/>
    <w:tmpl w:val="115682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3E52CC8"/>
    <w:multiLevelType w:val="multilevel"/>
    <w:tmpl w:val="6178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88583F"/>
    <w:multiLevelType w:val="hybridMultilevel"/>
    <w:tmpl w:val="827E9802"/>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9">
    <w:nsid w:val="5DF123DC"/>
    <w:multiLevelType w:val="hybridMultilevel"/>
    <w:tmpl w:val="D96246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EF81B4D"/>
    <w:multiLevelType w:val="hybridMultilevel"/>
    <w:tmpl w:val="EE249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167D33"/>
    <w:multiLevelType w:val="multilevel"/>
    <w:tmpl w:val="9F54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5E2DA1"/>
    <w:multiLevelType w:val="multilevel"/>
    <w:tmpl w:val="84F2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DE3D6E"/>
    <w:multiLevelType w:val="multilevel"/>
    <w:tmpl w:val="D6E2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014F9C"/>
    <w:multiLevelType w:val="hybridMultilevel"/>
    <w:tmpl w:val="683AEAD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5">
    <w:nsid w:val="654E3CBF"/>
    <w:multiLevelType w:val="hybridMultilevel"/>
    <w:tmpl w:val="A95A6C3E"/>
    <w:lvl w:ilvl="0" w:tplc="61CE9F3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1E405FF"/>
    <w:multiLevelType w:val="hybridMultilevel"/>
    <w:tmpl w:val="6852A41E"/>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37">
    <w:nsid w:val="77FC470A"/>
    <w:multiLevelType w:val="hybridMultilevel"/>
    <w:tmpl w:val="F7FABC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E5426AD"/>
    <w:multiLevelType w:val="multilevel"/>
    <w:tmpl w:val="0A6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967B29"/>
    <w:multiLevelType w:val="multilevel"/>
    <w:tmpl w:val="73F8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4"/>
  </w:num>
  <w:num w:numId="3">
    <w:abstractNumId w:val="15"/>
  </w:num>
  <w:num w:numId="4">
    <w:abstractNumId w:val="39"/>
  </w:num>
  <w:num w:numId="5">
    <w:abstractNumId w:val="12"/>
  </w:num>
  <w:num w:numId="6">
    <w:abstractNumId w:val="9"/>
  </w:num>
  <w:num w:numId="7">
    <w:abstractNumId w:val="23"/>
  </w:num>
  <w:num w:numId="8">
    <w:abstractNumId w:val="29"/>
  </w:num>
  <w:num w:numId="9">
    <w:abstractNumId w:val="1"/>
  </w:num>
  <w:num w:numId="10">
    <w:abstractNumId w:val="14"/>
  </w:num>
  <w:num w:numId="11">
    <w:abstractNumId w:val="35"/>
  </w:num>
  <w:num w:numId="12">
    <w:abstractNumId w:val="5"/>
  </w:num>
  <w:num w:numId="13">
    <w:abstractNumId w:val="7"/>
  </w:num>
  <w:num w:numId="14">
    <w:abstractNumId w:val="16"/>
  </w:num>
  <w:num w:numId="15">
    <w:abstractNumId w:val="11"/>
  </w:num>
  <w:num w:numId="16">
    <w:abstractNumId w:val="26"/>
  </w:num>
  <w:num w:numId="17">
    <w:abstractNumId w:val="3"/>
  </w:num>
  <w:num w:numId="18">
    <w:abstractNumId w:val="0"/>
  </w:num>
  <w:num w:numId="19">
    <w:abstractNumId w:val="19"/>
  </w:num>
  <w:num w:numId="20">
    <w:abstractNumId w:val="38"/>
  </w:num>
  <w:num w:numId="21">
    <w:abstractNumId w:val="4"/>
  </w:num>
  <w:num w:numId="22">
    <w:abstractNumId w:val="24"/>
  </w:num>
  <w:num w:numId="23">
    <w:abstractNumId w:val="13"/>
  </w:num>
  <w:num w:numId="24">
    <w:abstractNumId w:val="2"/>
  </w:num>
  <w:num w:numId="25">
    <w:abstractNumId w:val="10"/>
  </w:num>
  <w:num w:numId="26">
    <w:abstractNumId w:val="31"/>
  </w:num>
  <w:num w:numId="27">
    <w:abstractNumId w:val="27"/>
  </w:num>
  <w:num w:numId="28">
    <w:abstractNumId w:val="6"/>
  </w:num>
  <w:num w:numId="29">
    <w:abstractNumId w:val="33"/>
  </w:num>
  <w:num w:numId="30">
    <w:abstractNumId w:val="32"/>
  </w:num>
  <w:num w:numId="31">
    <w:abstractNumId w:val="37"/>
  </w:num>
  <w:num w:numId="32">
    <w:abstractNumId w:val="17"/>
  </w:num>
  <w:num w:numId="33">
    <w:abstractNumId w:val="30"/>
  </w:num>
  <w:num w:numId="34">
    <w:abstractNumId w:val="36"/>
  </w:num>
  <w:num w:numId="35">
    <w:abstractNumId w:val="18"/>
  </w:num>
  <w:num w:numId="36">
    <w:abstractNumId w:val="28"/>
  </w:num>
  <w:num w:numId="37">
    <w:abstractNumId w:val="21"/>
  </w:num>
  <w:num w:numId="38">
    <w:abstractNumId w:val="25"/>
  </w:num>
  <w:num w:numId="39">
    <w:abstractNumId w:val="22"/>
  </w:num>
  <w:num w:numId="4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6F"/>
    <w:rsid w:val="0000422E"/>
    <w:rsid w:val="00012F3C"/>
    <w:rsid w:val="00016B93"/>
    <w:rsid w:val="00042182"/>
    <w:rsid w:val="000633A0"/>
    <w:rsid w:val="00070A9D"/>
    <w:rsid w:val="000939B6"/>
    <w:rsid w:val="00094189"/>
    <w:rsid w:val="000977F9"/>
    <w:rsid w:val="000B5B86"/>
    <w:rsid w:val="000C58F4"/>
    <w:rsid w:val="000F1E41"/>
    <w:rsid w:val="000F7B85"/>
    <w:rsid w:val="001167CA"/>
    <w:rsid w:val="00127CF0"/>
    <w:rsid w:val="0013347E"/>
    <w:rsid w:val="0013499F"/>
    <w:rsid w:val="00142674"/>
    <w:rsid w:val="00143055"/>
    <w:rsid w:val="00145E92"/>
    <w:rsid w:val="0015058C"/>
    <w:rsid w:val="00160A42"/>
    <w:rsid w:val="00165E0B"/>
    <w:rsid w:val="00167672"/>
    <w:rsid w:val="001736CB"/>
    <w:rsid w:val="001A5674"/>
    <w:rsid w:val="001A69F5"/>
    <w:rsid w:val="001B2029"/>
    <w:rsid w:val="001B2EDD"/>
    <w:rsid w:val="001B32FD"/>
    <w:rsid w:val="001B4152"/>
    <w:rsid w:val="001B78DA"/>
    <w:rsid w:val="002050FB"/>
    <w:rsid w:val="002072B7"/>
    <w:rsid w:val="002122E8"/>
    <w:rsid w:val="002162CF"/>
    <w:rsid w:val="002207AE"/>
    <w:rsid w:val="00220CC6"/>
    <w:rsid w:val="0022160A"/>
    <w:rsid w:val="002342EC"/>
    <w:rsid w:val="00251705"/>
    <w:rsid w:val="0025436E"/>
    <w:rsid w:val="00260C0D"/>
    <w:rsid w:val="002821D5"/>
    <w:rsid w:val="00290055"/>
    <w:rsid w:val="002B1B50"/>
    <w:rsid w:val="002D1FA1"/>
    <w:rsid w:val="002D230D"/>
    <w:rsid w:val="002D4C3E"/>
    <w:rsid w:val="002D6ACD"/>
    <w:rsid w:val="002D7B9E"/>
    <w:rsid w:val="002E62DB"/>
    <w:rsid w:val="002F23CF"/>
    <w:rsid w:val="0030492D"/>
    <w:rsid w:val="00306DCB"/>
    <w:rsid w:val="00311972"/>
    <w:rsid w:val="003166B8"/>
    <w:rsid w:val="003174D4"/>
    <w:rsid w:val="003246DA"/>
    <w:rsid w:val="00325BC9"/>
    <w:rsid w:val="00340E8B"/>
    <w:rsid w:val="00356164"/>
    <w:rsid w:val="00367E56"/>
    <w:rsid w:val="00373B32"/>
    <w:rsid w:val="003745CD"/>
    <w:rsid w:val="003830EA"/>
    <w:rsid w:val="003853CF"/>
    <w:rsid w:val="0039600B"/>
    <w:rsid w:val="003A68CF"/>
    <w:rsid w:val="003A7C5C"/>
    <w:rsid w:val="003B6CE8"/>
    <w:rsid w:val="003C1D8E"/>
    <w:rsid w:val="003C410A"/>
    <w:rsid w:val="003D0C08"/>
    <w:rsid w:val="003E19F7"/>
    <w:rsid w:val="003E2D22"/>
    <w:rsid w:val="003E59C5"/>
    <w:rsid w:val="003E6C0D"/>
    <w:rsid w:val="00414217"/>
    <w:rsid w:val="00415133"/>
    <w:rsid w:val="00415657"/>
    <w:rsid w:val="00417228"/>
    <w:rsid w:val="004215DE"/>
    <w:rsid w:val="00424C94"/>
    <w:rsid w:val="00427B36"/>
    <w:rsid w:val="00432721"/>
    <w:rsid w:val="00443FBB"/>
    <w:rsid w:val="00450986"/>
    <w:rsid w:val="00453AD7"/>
    <w:rsid w:val="00454E5E"/>
    <w:rsid w:val="00465C61"/>
    <w:rsid w:val="004714AB"/>
    <w:rsid w:val="00476DD3"/>
    <w:rsid w:val="0049527E"/>
    <w:rsid w:val="004A7893"/>
    <w:rsid w:val="004B7F39"/>
    <w:rsid w:val="004C04D0"/>
    <w:rsid w:val="004C49CC"/>
    <w:rsid w:val="004C6D2A"/>
    <w:rsid w:val="004E4049"/>
    <w:rsid w:val="004E591D"/>
    <w:rsid w:val="004E62DC"/>
    <w:rsid w:val="004E6B63"/>
    <w:rsid w:val="004F0616"/>
    <w:rsid w:val="004F6947"/>
    <w:rsid w:val="004F74C2"/>
    <w:rsid w:val="00500821"/>
    <w:rsid w:val="0050254A"/>
    <w:rsid w:val="00504C85"/>
    <w:rsid w:val="00514880"/>
    <w:rsid w:val="00516C5D"/>
    <w:rsid w:val="00521A80"/>
    <w:rsid w:val="00525EC8"/>
    <w:rsid w:val="00534AFD"/>
    <w:rsid w:val="00536C56"/>
    <w:rsid w:val="00542600"/>
    <w:rsid w:val="00553F07"/>
    <w:rsid w:val="00556AAF"/>
    <w:rsid w:val="005627EA"/>
    <w:rsid w:val="00563169"/>
    <w:rsid w:val="00570B74"/>
    <w:rsid w:val="005849CC"/>
    <w:rsid w:val="005A751E"/>
    <w:rsid w:val="005B02D1"/>
    <w:rsid w:val="005B23E3"/>
    <w:rsid w:val="005C2660"/>
    <w:rsid w:val="005D13F7"/>
    <w:rsid w:val="005D1E42"/>
    <w:rsid w:val="005D2E99"/>
    <w:rsid w:val="005E771A"/>
    <w:rsid w:val="005F3253"/>
    <w:rsid w:val="00606C0D"/>
    <w:rsid w:val="0061221B"/>
    <w:rsid w:val="00612410"/>
    <w:rsid w:val="00614EAA"/>
    <w:rsid w:val="006158C3"/>
    <w:rsid w:val="006303A0"/>
    <w:rsid w:val="006314FA"/>
    <w:rsid w:val="00651328"/>
    <w:rsid w:val="0065395C"/>
    <w:rsid w:val="00657AEF"/>
    <w:rsid w:val="00676669"/>
    <w:rsid w:val="00677A84"/>
    <w:rsid w:val="00690FBB"/>
    <w:rsid w:val="00691590"/>
    <w:rsid w:val="006A5187"/>
    <w:rsid w:val="006A66B4"/>
    <w:rsid w:val="006B09FB"/>
    <w:rsid w:val="006B2F68"/>
    <w:rsid w:val="006B500D"/>
    <w:rsid w:val="006C376F"/>
    <w:rsid w:val="006D79D5"/>
    <w:rsid w:val="006E7A1A"/>
    <w:rsid w:val="006E7A5D"/>
    <w:rsid w:val="006F3AC7"/>
    <w:rsid w:val="007044E0"/>
    <w:rsid w:val="00710558"/>
    <w:rsid w:val="0071244A"/>
    <w:rsid w:val="00713F9F"/>
    <w:rsid w:val="007158A2"/>
    <w:rsid w:val="007243D3"/>
    <w:rsid w:val="00735AC6"/>
    <w:rsid w:val="00751FDA"/>
    <w:rsid w:val="00752023"/>
    <w:rsid w:val="00754E26"/>
    <w:rsid w:val="007579C5"/>
    <w:rsid w:val="00760C6F"/>
    <w:rsid w:val="0076307A"/>
    <w:rsid w:val="00764DD7"/>
    <w:rsid w:val="00765105"/>
    <w:rsid w:val="00766711"/>
    <w:rsid w:val="00795B25"/>
    <w:rsid w:val="007A17BF"/>
    <w:rsid w:val="007A5E98"/>
    <w:rsid w:val="007A6C6D"/>
    <w:rsid w:val="007B1494"/>
    <w:rsid w:val="007C7E8E"/>
    <w:rsid w:val="007D1F3D"/>
    <w:rsid w:val="007D2DAD"/>
    <w:rsid w:val="007D402B"/>
    <w:rsid w:val="007E5BB4"/>
    <w:rsid w:val="007F0AE4"/>
    <w:rsid w:val="007F19D8"/>
    <w:rsid w:val="007F2EA5"/>
    <w:rsid w:val="007F3B51"/>
    <w:rsid w:val="007F50E8"/>
    <w:rsid w:val="00811E4E"/>
    <w:rsid w:val="0082007A"/>
    <w:rsid w:val="0082065F"/>
    <w:rsid w:val="00844D39"/>
    <w:rsid w:val="00844F45"/>
    <w:rsid w:val="0084527D"/>
    <w:rsid w:val="008532D4"/>
    <w:rsid w:val="0085444B"/>
    <w:rsid w:val="00871DE4"/>
    <w:rsid w:val="00876FB4"/>
    <w:rsid w:val="00882FE7"/>
    <w:rsid w:val="00887E3F"/>
    <w:rsid w:val="008A6E42"/>
    <w:rsid w:val="008C3965"/>
    <w:rsid w:val="008D1402"/>
    <w:rsid w:val="008D606B"/>
    <w:rsid w:val="00900256"/>
    <w:rsid w:val="009034F9"/>
    <w:rsid w:val="00904FDB"/>
    <w:rsid w:val="009127F0"/>
    <w:rsid w:val="00913643"/>
    <w:rsid w:val="00914855"/>
    <w:rsid w:val="00922EDB"/>
    <w:rsid w:val="00923897"/>
    <w:rsid w:val="00924793"/>
    <w:rsid w:val="00931DBC"/>
    <w:rsid w:val="00933E62"/>
    <w:rsid w:val="0094017D"/>
    <w:rsid w:val="00942588"/>
    <w:rsid w:val="009506E1"/>
    <w:rsid w:val="00954209"/>
    <w:rsid w:val="009566FC"/>
    <w:rsid w:val="00963A99"/>
    <w:rsid w:val="00965CB9"/>
    <w:rsid w:val="00972068"/>
    <w:rsid w:val="009722EB"/>
    <w:rsid w:val="00977229"/>
    <w:rsid w:val="00990C87"/>
    <w:rsid w:val="009911CC"/>
    <w:rsid w:val="009A2C39"/>
    <w:rsid w:val="009A6513"/>
    <w:rsid w:val="009C5857"/>
    <w:rsid w:val="009C653E"/>
    <w:rsid w:val="009C73ED"/>
    <w:rsid w:val="009C7F87"/>
    <w:rsid w:val="009E575C"/>
    <w:rsid w:val="009F01B4"/>
    <w:rsid w:val="00A03D31"/>
    <w:rsid w:val="00A05DF5"/>
    <w:rsid w:val="00A12E76"/>
    <w:rsid w:val="00A2766E"/>
    <w:rsid w:val="00A3769A"/>
    <w:rsid w:val="00A44145"/>
    <w:rsid w:val="00A46868"/>
    <w:rsid w:val="00A54252"/>
    <w:rsid w:val="00A90BDD"/>
    <w:rsid w:val="00A926B1"/>
    <w:rsid w:val="00A94A4D"/>
    <w:rsid w:val="00AA4343"/>
    <w:rsid w:val="00AA4592"/>
    <w:rsid w:val="00AA55F5"/>
    <w:rsid w:val="00AB1EED"/>
    <w:rsid w:val="00AB230D"/>
    <w:rsid w:val="00AB5751"/>
    <w:rsid w:val="00AC3D74"/>
    <w:rsid w:val="00AC73F5"/>
    <w:rsid w:val="00AD1542"/>
    <w:rsid w:val="00AE1C99"/>
    <w:rsid w:val="00AE6B03"/>
    <w:rsid w:val="00AF09F1"/>
    <w:rsid w:val="00AF15E1"/>
    <w:rsid w:val="00AF23E6"/>
    <w:rsid w:val="00AF3E4D"/>
    <w:rsid w:val="00B025C6"/>
    <w:rsid w:val="00B062D9"/>
    <w:rsid w:val="00B06B7A"/>
    <w:rsid w:val="00B31019"/>
    <w:rsid w:val="00B36A0B"/>
    <w:rsid w:val="00B46C91"/>
    <w:rsid w:val="00B55483"/>
    <w:rsid w:val="00B559DE"/>
    <w:rsid w:val="00B62173"/>
    <w:rsid w:val="00B656F8"/>
    <w:rsid w:val="00B67380"/>
    <w:rsid w:val="00B7701B"/>
    <w:rsid w:val="00B87663"/>
    <w:rsid w:val="00B94926"/>
    <w:rsid w:val="00BA5FD4"/>
    <w:rsid w:val="00BA73FF"/>
    <w:rsid w:val="00BA792E"/>
    <w:rsid w:val="00BA7B5C"/>
    <w:rsid w:val="00BB473D"/>
    <w:rsid w:val="00BC69B6"/>
    <w:rsid w:val="00BD0777"/>
    <w:rsid w:val="00BD78E3"/>
    <w:rsid w:val="00BE53E1"/>
    <w:rsid w:val="00BF05B0"/>
    <w:rsid w:val="00C0259B"/>
    <w:rsid w:val="00C0685F"/>
    <w:rsid w:val="00C12BCB"/>
    <w:rsid w:val="00C12E6B"/>
    <w:rsid w:val="00C20AF9"/>
    <w:rsid w:val="00C22F25"/>
    <w:rsid w:val="00C33FA1"/>
    <w:rsid w:val="00C5725C"/>
    <w:rsid w:val="00C61F7A"/>
    <w:rsid w:val="00C748E8"/>
    <w:rsid w:val="00C77818"/>
    <w:rsid w:val="00C80452"/>
    <w:rsid w:val="00C859FE"/>
    <w:rsid w:val="00C9076A"/>
    <w:rsid w:val="00C91354"/>
    <w:rsid w:val="00C91366"/>
    <w:rsid w:val="00CA7383"/>
    <w:rsid w:val="00CA76D0"/>
    <w:rsid w:val="00CE203C"/>
    <w:rsid w:val="00CE547D"/>
    <w:rsid w:val="00CE54CD"/>
    <w:rsid w:val="00CF1F69"/>
    <w:rsid w:val="00CF46B2"/>
    <w:rsid w:val="00D07F52"/>
    <w:rsid w:val="00D13871"/>
    <w:rsid w:val="00D13A5E"/>
    <w:rsid w:val="00D27A41"/>
    <w:rsid w:val="00D3425E"/>
    <w:rsid w:val="00D430AE"/>
    <w:rsid w:val="00D5431B"/>
    <w:rsid w:val="00D55ECA"/>
    <w:rsid w:val="00D6024D"/>
    <w:rsid w:val="00D6269D"/>
    <w:rsid w:val="00D6416A"/>
    <w:rsid w:val="00D71880"/>
    <w:rsid w:val="00D71AF5"/>
    <w:rsid w:val="00D748AE"/>
    <w:rsid w:val="00D76073"/>
    <w:rsid w:val="00D91DEA"/>
    <w:rsid w:val="00DA2A4E"/>
    <w:rsid w:val="00DA69EB"/>
    <w:rsid w:val="00DA6C0F"/>
    <w:rsid w:val="00DB3636"/>
    <w:rsid w:val="00DE35A7"/>
    <w:rsid w:val="00E113BF"/>
    <w:rsid w:val="00E126C3"/>
    <w:rsid w:val="00E148D4"/>
    <w:rsid w:val="00E2507B"/>
    <w:rsid w:val="00E25BF1"/>
    <w:rsid w:val="00E356FC"/>
    <w:rsid w:val="00E407F2"/>
    <w:rsid w:val="00E46993"/>
    <w:rsid w:val="00E47FAC"/>
    <w:rsid w:val="00E52D15"/>
    <w:rsid w:val="00E60BC7"/>
    <w:rsid w:val="00E6128E"/>
    <w:rsid w:val="00E708AC"/>
    <w:rsid w:val="00E773EA"/>
    <w:rsid w:val="00E77FD9"/>
    <w:rsid w:val="00E91D2A"/>
    <w:rsid w:val="00EA2C17"/>
    <w:rsid w:val="00EA71E6"/>
    <w:rsid w:val="00EA72F4"/>
    <w:rsid w:val="00EB288F"/>
    <w:rsid w:val="00EB2ABE"/>
    <w:rsid w:val="00EB47A7"/>
    <w:rsid w:val="00EC380D"/>
    <w:rsid w:val="00ED1608"/>
    <w:rsid w:val="00ED7CC8"/>
    <w:rsid w:val="00EE0A73"/>
    <w:rsid w:val="00EE59CF"/>
    <w:rsid w:val="00EF3DDC"/>
    <w:rsid w:val="00F02620"/>
    <w:rsid w:val="00F20E68"/>
    <w:rsid w:val="00F26E2A"/>
    <w:rsid w:val="00F30235"/>
    <w:rsid w:val="00F43573"/>
    <w:rsid w:val="00F45A8B"/>
    <w:rsid w:val="00F6210E"/>
    <w:rsid w:val="00F63FD6"/>
    <w:rsid w:val="00F66B15"/>
    <w:rsid w:val="00F73054"/>
    <w:rsid w:val="00F744F2"/>
    <w:rsid w:val="00F8363A"/>
    <w:rsid w:val="00F87D59"/>
    <w:rsid w:val="00F928EA"/>
    <w:rsid w:val="00FA15CB"/>
    <w:rsid w:val="00FA29EA"/>
    <w:rsid w:val="00FA2A55"/>
    <w:rsid w:val="00FB401F"/>
    <w:rsid w:val="00FC53B0"/>
    <w:rsid w:val="00FD0C0A"/>
    <w:rsid w:val="00FD1CC5"/>
    <w:rsid w:val="00FD309B"/>
    <w:rsid w:val="00FE393C"/>
    <w:rsid w:val="00FE3999"/>
    <w:rsid w:val="00FE43BE"/>
    <w:rsid w:val="00FE67D1"/>
    <w:rsid w:val="00FF4F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034F9"/>
    <w:rPr>
      <w:sz w:val="20"/>
      <w:szCs w:val="20"/>
    </w:rPr>
  </w:style>
  <w:style w:type="paragraph" w:styleId="Pealkiri1">
    <w:name w:val="heading 1"/>
    <w:basedOn w:val="Normaallaad"/>
    <w:next w:val="Normaallaad"/>
    <w:link w:val="Pealkiri1Mrk"/>
    <w:uiPriority w:val="9"/>
    <w:qFormat/>
    <w:rsid w:val="00990C87"/>
    <w:pPr>
      <w:pBdr>
        <w:top w:val="single" w:sz="24" w:space="0" w:color="A1B633" w:themeColor="accent1"/>
        <w:left w:val="single" w:sz="24" w:space="0" w:color="A1B633" w:themeColor="accent1"/>
        <w:bottom w:val="single" w:sz="24" w:space="0" w:color="A1B633" w:themeColor="accent1"/>
        <w:right w:val="single" w:sz="24" w:space="0" w:color="A1B633" w:themeColor="accent1"/>
      </w:pBdr>
      <w:shd w:val="clear" w:color="auto" w:fill="A1B633" w:themeFill="accent1"/>
      <w:spacing w:after="0"/>
      <w:outlineLvl w:val="0"/>
    </w:pPr>
    <w:rPr>
      <w:b/>
      <w:bCs/>
      <w:caps/>
      <w:color w:val="FFFFFF" w:themeColor="background1"/>
      <w:spacing w:val="15"/>
      <w:sz w:val="22"/>
      <w:szCs w:val="22"/>
    </w:rPr>
  </w:style>
  <w:style w:type="paragraph" w:styleId="Pealkiri2">
    <w:name w:val="heading 2"/>
    <w:basedOn w:val="Normaallaad"/>
    <w:next w:val="Normaallaad"/>
    <w:link w:val="Pealkiri2Mrk"/>
    <w:uiPriority w:val="9"/>
    <w:unhideWhenUsed/>
    <w:qFormat/>
    <w:rsid w:val="00690FBB"/>
    <w:pPr>
      <w:pBdr>
        <w:top w:val="single" w:sz="24" w:space="0" w:color="EDF2D3" w:themeColor="accent1" w:themeTint="33"/>
        <w:left w:val="single" w:sz="24" w:space="0" w:color="EDF2D3" w:themeColor="accent1" w:themeTint="33"/>
        <w:bottom w:val="single" w:sz="24" w:space="0" w:color="EDF2D3" w:themeColor="accent1" w:themeTint="33"/>
        <w:right w:val="single" w:sz="24" w:space="0" w:color="EDF2D3" w:themeColor="accent1" w:themeTint="33"/>
      </w:pBdr>
      <w:shd w:val="clear" w:color="auto" w:fill="EDF2D3" w:themeFill="accent1" w:themeFillTint="33"/>
      <w:spacing w:after="0"/>
      <w:outlineLvl w:val="1"/>
    </w:pPr>
    <w:rPr>
      <w:caps/>
      <w:spacing w:val="15"/>
      <w:sz w:val="22"/>
      <w:szCs w:val="22"/>
    </w:rPr>
  </w:style>
  <w:style w:type="paragraph" w:styleId="Pealkiri3">
    <w:name w:val="heading 3"/>
    <w:basedOn w:val="Normaallaad"/>
    <w:next w:val="Normaallaad"/>
    <w:link w:val="Pealkiri3Mrk"/>
    <w:uiPriority w:val="9"/>
    <w:unhideWhenUsed/>
    <w:qFormat/>
    <w:rsid w:val="00990C87"/>
    <w:pPr>
      <w:pBdr>
        <w:top w:val="single" w:sz="6" w:space="2" w:color="A1B633" w:themeColor="accent1"/>
        <w:left w:val="single" w:sz="6" w:space="2" w:color="A1B633" w:themeColor="accent1"/>
      </w:pBdr>
      <w:spacing w:before="300" w:after="0"/>
      <w:outlineLvl w:val="2"/>
    </w:pPr>
    <w:rPr>
      <w:caps/>
      <w:color w:val="505A19" w:themeColor="accent1" w:themeShade="7F"/>
      <w:spacing w:val="15"/>
      <w:sz w:val="22"/>
      <w:szCs w:val="22"/>
    </w:rPr>
  </w:style>
  <w:style w:type="paragraph" w:styleId="Pealkiri4">
    <w:name w:val="heading 4"/>
    <w:basedOn w:val="Normaallaad"/>
    <w:next w:val="Normaallaad"/>
    <w:link w:val="Pealkiri4Mrk"/>
    <w:uiPriority w:val="9"/>
    <w:unhideWhenUsed/>
    <w:qFormat/>
    <w:rsid w:val="00990C87"/>
    <w:pPr>
      <w:pBdr>
        <w:top w:val="dotted" w:sz="6" w:space="2" w:color="A1B633" w:themeColor="accent1"/>
        <w:left w:val="dotted" w:sz="6" w:space="2" w:color="A1B633" w:themeColor="accent1"/>
      </w:pBdr>
      <w:spacing w:before="300" w:after="0"/>
      <w:outlineLvl w:val="3"/>
    </w:pPr>
    <w:rPr>
      <w:caps/>
      <w:color w:val="788826" w:themeColor="accent1" w:themeShade="BF"/>
      <w:spacing w:val="10"/>
      <w:sz w:val="22"/>
      <w:szCs w:val="22"/>
    </w:rPr>
  </w:style>
  <w:style w:type="paragraph" w:styleId="Pealkiri5">
    <w:name w:val="heading 5"/>
    <w:basedOn w:val="Normaallaad"/>
    <w:next w:val="Normaallaad"/>
    <w:link w:val="Pealkiri5Mrk"/>
    <w:uiPriority w:val="9"/>
    <w:unhideWhenUsed/>
    <w:qFormat/>
    <w:rsid w:val="00990C87"/>
    <w:pPr>
      <w:pBdr>
        <w:bottom w:val="single" w:sz="6" w:space="1" w:color="A1B633" w:themeColor="accent1"/>
      </w:pBdr>
      <w:spacing w:before="300" w:after="0"/>
      <w:outlineLvl w:val="4"/>
    </w:pPr>
    <w:rPr>
      <w:caps/>
      <w:color w:val="788826" w:themeColor="accent1" w:themeShade="BF"/>
      <w:spacing w:val="10"/>
      <w:sz w:val="22"/>
      <w:szCs w:val="22"/>
    </w:rPr>
  </w:style>
  <w:style w:type="paragraph" w:styleId="Pealkiri6">
    <w:name w:val="heading 6"/>
    <w:basedOn w:val="Normaallaad"/>
    <w:next w:val="Normaallaad"/>
    <w:link w:val="Pealkiri6Mrk"/>
    <w:uiPriority w:val="9"/>
    <w:unhideWhenUsed/>
    <w:qFormat/>
    <w:rsid w:val="00990C87"/>
    <w:pPr>
      <w:pBdr>
        <w:bottom w:val="dotted" w:sz="6" w:space="1" w:color="A1B633" w:themeColor="accent1"/>
      </w:pBdr>
      <w:spacing w:before="300" w:after="0"/>
      <w:outlineLvl w:val="5"/>
    </w:pPr>
    <w:rPr>
      <w:caps/>
      <w:color w:val="788826" w:themeColor="accent1" w:themeShade="BF"/>
      <w:spacing w:val="10"/>
      <w:sz w:val="22"/>
      <w:szCs w:val="22"/>
    </w:rPr>
  </w:style>
  <w:style w:type="paragraph" w:styleId="Pealkiri7">
    <w:name w:val="heading 7"/>
    <w:basedOn w:val="Normaallaad"/>
    <w:next w:val="Normaallaad"/>
    <w:link w:val="Pealkiri7Mrk"/>
    <w:uiPriority w:val="9"/>
    <w:unhideWhenUsed/>
    <w:qFormat/>
    <w:rsid w:val="00990C87"/>
    <w:pPr>
      <w:spacing w:before="300" w:after="0"/>
      <w:outlineLvl w:val="6"/>
    </w:pPr>
    <w:rPr>
      <w:caps/>
      <w:color w:val="788826" w:themeColor="accent1" w:themeShade="BF"/>
      <w:spacing w:val="10"/>
      <w:sz w:val="22"/>
      <w:szCs w:val="22"/>
    </w:rPr>
  </w:style>
  <w:style w:type="paragraph" w:styleId="Pealkiri8">
    <w:name w:val="heading 8"/>
    <w:basedOn w:val="Normaallaad"/>
    <w:next w:val="Normaallaad"/>
    <w:link w:val="Pealkiri8Mrk"/>
    <w:uiPriority w:val="9"/>
    <w:unhideWhenUsed/>
    <w:qFormat/>
    <w:rsid w:val="00990C87"/>
    <w:pPr>
      <w:spacing w:before="300" w:after="0"/>
      <w:outlineLvl w:val="7"/>
    </w:pPr>
    <w:rPr>
      <w:caps/>
      <w:spacing w:val="10"/>
      <w:sz w:val="18"/>
      <w:szCs w:val="18"/>
    </w:rPr>
  </w:style>
  <w:style w:type="paragraph" w:styleId="Pealkiri9">
    <w:name w:val="heading 9"/>
    <w:basedOn w:val="Normaallaad"/>
    <w:next w:val="Normaallaad"/>
    <w:link w:val="Pealkiri9Mrk"/>
    <w:uiPriority w:val="9"/>
    <w:semiHidden/>
    <w:unhideWhenUsed/>
    <w:qFormat/>
    <w:rsid w:val="00990C87"/>
    <w:pPr>
      <w:spacing w:before="300" w:after="0"/>
      <w:outlineLvl w:val="8"/>
    </w:pPr>
    <w:rPr>
      <w:i/>
      <w:caps/>
      <w:spacing w:val="10"/>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Pr>
      <w:rFonts w:ascii="Tahoma" w:hAnsi="Tahoma" w:cs="Tahoma"/>
      <w:sz w:val="16"/>
      <w:szCs w:val="16"/>
    </w:rPr>
  </w:style>
  <w:style w:type="paragraph" w:styleId="Normaallaadveeb">
    <w:name w:val="Normal (Web)"/>
    <w:basedOn w:val="Normaallaad"/>
    <w:pPr>
      <w:spacing w:before="100" w:beforeAutospacing="1" w:after="100" w:afterAutospacing="1"/>
    </w:pPr>
    <w:rPr>
      <w:lang w:val="de-DE" w:eastAsia="de-DE"/>
    </w:rPr>
  </w:style>
  <w:style w:type="character" w:styleId="Tugev">
    <w:name w:val="Strong"/>
    <w:uiPriority w:val="22"/>
    <w:qFormat/>
    <w:rsid w:val="00990C87"/>
    <w:rPr>
      <w:b/>
      <w:bCs/>
    </w:rPr>
  </w:style>
  <w:style w:type="paragraph" w:styleId="HTML-aadress">
    <w:name w:val="HTML Address"/>
    <w:basedOn w:val="Normaallaad"/>
    <w:rPr>
      <w:i/>
      <w:iCs/>
    </w:rPr>
  </w:style>
  <w:style w:type="character" w:styleId="Rhutus">
    <w:name w:val="Emphasis"/>
    <w:uiPriority w:val="20"/>
    <w:qFormat/>
    <w:rsid w:val="00990C87"/>
    <w:rPr>
      <w:caps/>
      <w:color w:val="505A19" w:themeColor="accent1" w:themeShade="7F"/>
      <w:spacing w:val="5"/>
    </w:rPr>
  </w:style>
  <w:style w:type="paragraph" w:styleId="Jalus">
    <w:name w:val="footer"/>
    <w:basedOn w:val="Normaallaad"/>
    <w:rsid w:val="00FA29EA"/>
    <w:pPr>
      <w:tabs>
        <w:tab w:val="center" w:pos="4536"/>
        <w:tab w:val="right" w:pos="9072"/>
      </w:tabs>
    </w:pPr>
  </w:style>
  <w:style w:type="character" w:styleId="Hperlink">
    <w:name w:val="Hyperlink"/>
    <w:uiPriority w:val="99"/>
    <w:rPr>
      <w:color w:val="0000FF"/>
      <w:u w:val="single"/>
    </w:rPr>
  </w:style>
  <w:style w:type="character" w:styleId="Kommentaariviide">
    <w:name w:val="annotation reference"/>
    <w:semiHidden/>
    <w:rPr>
      <w:sz w:val="16"/>
      <w:szCs w:val="16"/>
    </w:rPr>
  </w:style>
  <w:style w:type="character" w:styleId="Lehekljenumber">
    <w:name w:val="page number"/>
    <w:basedOn w:val="Liguvaikefont"/>
    <w:rsid w:val="00FA29EA"/>
  </w:style>
  <w:style w:type="character" w:customStyle="1" w:styleId="apple-converted-space">
    <w:name w:val="apple-converted-space"/>
    <w:basedOn w:val="Liguvaikefont"/>
    <w:rsid w:val="005F3253"/>
  </w:style>
  <w:style w:type="character" w:customStyle="1" w:styleId="mm">
    <w:name w:val="mm"/>
    <w:basedOn w:val="Liguvaikefont"/>
    <w:rsid w:val="005F3253"/>
  </w:style>
  <w:style w:type="paragraph" w:customStyle="1" w:styleId="vv">
    <w:name w:val="vv"/>
    <w:basedOn w:val="Normaallaad"/>
    <w:rsid w:val="00AF23E6"/>
    <w:pPr>
      <w:spacing w:before="100" w:beforeAutospacing="1" w:after="100" w:afterAutospacing="1"/>
    </w:pPr>
    <w:rPr>
      <w:rFonts w:eastAsia="SimSun"/>
      <w:lang w:eastAsia="zh-CN"/>
    </w:rPr>
  </w:style>
  <w:style w:type="table" w:styleId="Kontuurtabel">
    <w:name w:val="Table Grid"/>
    <w:basedOn w:val="Normaaltabel"/>
    <w:rsid w:val="00EC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uiPriority w:val="99"/>
    <w:semiHidden/>
    <w:rsid w:val="00BA5FD4"/>
    <w:rPr>
      <w:color w:val="808080"/>
    </w:rPr>
  </w:style>
  <w:style w:type="paragraph" w:styleId="Loendilik">
    <w:name w:val="List Paragraph"/>
    <w:basedOn w:val="Normaallaad"/>
    <w:uiPriority w:val="34"/>
    <w:qFormat/>
    <w:rsid w:val="00990C87"/>
    <w:pPr>
      <w:ind w:left="720"/>
      <w:contextualSpacing/>
    </w:pPr>
  </w:style>
  <w:style w:type="paragraph" w:styleId="Pealdis">
    <w:name w:val="caption"/>
    <w:basedOn w:val="Normaallaad"/>
    <w:next w:val="Normaallaad"/>
    <w:uiPriority w:val="35"/>
    <w:unhideWhenUsed/>
    <w:qFormat/>
    <w:rsid w:val="00990C87"/>
    <w:rPr>
      <w:b/>
      <w:bCs/>
      <w:color w:val="788826" w:themeColor="accent1" w:themeShade="BF"/>
      <w:sz w:val="16"/>
      <w:szCs w:val="16"/>
    </w:rPr>
  </w:style>
  <w:style w:type="paragraph" w:styleId="Vahedeta">
    <w:name w:val="No Spacing"/>
    <w:basedOn w:val="Normaallaad"/>
    <w:link w:val="VahedetaMrk"/>
    <w:uiPriority w:val="1"/>
    <w:qFormat/>
    <w:rsid w:val="00990C87"/>
    <w:pPr>
      <w:spacing w:before="0" w:after="0" w:line="240" w:lineRule="auto"/>
    </w:pPr>
  </w:style>
  <w:style w:type="character" w:customStyle="1" w:styleId="VahedetaMrk">
    <w:name w:val="Vahedeta Märk"/>
    <w:basedOn w:val="Liguvaikefont"/>
    <w:link w:val="Vahedeta"/>
    <w:uiPriority w:val="1"/>
    <w:rsid w:val="00990C87"/>
    <w:rPr>
      <w:sz w:val="20"/>
      <w:szCs w:val="20"/>
    </w:rPr>
  </w:style>
  <w:style w:type="paragraph" w:customStyle="1" w:styleId="Style1">
    <w:name w:val="Style1"/>
    <w:basedOn w:val="Pealkiri1"/>
    <w:next w:val="Normaallaad"/>
    <w:qFormat/>
    <w:rsid w:val="006B500D"/>
    <w:pPr>
      <w:framePr w:wrap="around" w:vAnchor="text" w:hAnchor="text" w:y="1"/>
      <w:shd w:val="clear" w:color="auto" w:fill="F68412"/>
      <w:ind w:right="3686"/>
    </w:pPr>
    <w:rPr>
      <w:rFonts w:ascii="Times New Roman" w:hAnsi="Times New Roman"/>
      <w:b w:val="0"/>
      <w:color w:val="17365D"/>
      <w:sz w:val="32"/>
    </w:rPr>
  </w:style>
  <w:style w:type="character" w:customStyle="1" w:styleId="Pealkiri1Mrk">
    <w:name w:val="Pealkiri 1 Märk"/>
    <w:basedOn w:val="Liguvaikefont"/>
    <w:link w:val="Pealkiri1"/>
    <w:uiPriority w:val="9"/>
    <w:rsid w:val="00990C87"/>
    <w:rPr>
      <w:b/>
      <w:bCs/>
      <w:caps/>
      <w:color w:val="FFFFFF" w:themeColor="background1"/>
      <w:spacing w:val="15"/>
      <w:shd w:val="clear" w:color="auto" w:fill="A1B633" w:themeFill="accent1"/>
    </w:rPr>
  </w:style>
  <w:style w:type="character" w:customStyle="1" w:styleId="Pealkiri2Mrk">
    <w:name w:val="Pealkiri 2 Märk"/>
    <w:basedOn w:val="Liguvaikefont"/>
    <w:link w:val="Pealkiri2"/>
    <w:uiPriority w:val="9"/>
    <w:rsid w:val="00690FBB"/>
    <w:rPr>
      <w:caps/>
      <w:spacing w:val="15"/>
      <w:shd w:val="clear" w:color="auto" w:fill="EDF2D3" w:themeFill="accent1" w:themeFillTint="33"/>
    </w:rPr>
  </w:style>
  <w:style w:type="character" w:customStyle="1" w:styleId="Pealkiri3Mrk">
    <w:name w:val="Pealkiri 3 Märk"/>
    <w:basedOn w:val="Liguvaikefont"/>
    <w:link w:val="Pealkiri3"/>
    <w:uiPriority w:val="9"/>
    <w:rsid w:val="00990C87"/>
    <w:rPr>
      <w:caps/>
      <w:color w:val="505A19" w:themeColor="accent1" w:themeShade="7F"/>
      <w:spacing w:val="15"/>
    </w:rPr>
  </w:style>
  <w:style w:type="character" w:customStyle="1" w:styleId="Pealkiri4Mrk">
    <w:name w:val="Pealkiri 4 Märk"/>
    <w:basedOn w:val="Liguvaikefont"/>
    <w:link w:val="Pealkiri4"/>
    <w:uiPriority w:val="9"/>
    <w:rsid w:val="00990C87"/>
    <w:rPr>
      <w:caps/>
      <w:color w:val="788826" w:themeColor="accent1" w:themeShade="BF"/>
      <w:spacing w:val="10"/>
    </w:rPr>
  </w:style>
  <w:style w:type="character" w:customStyle="1" w:styleId="Pealkiri5Mrk">
    <w:name w:val="Pealkiri 5 Märk"/>
    <w:basedOn w:val="Liguvaikefont"/>
    <w:link w:val="Pealkiri5"/>
    <w:uiPriority w:val="9"/>
    <w:rsid w:val="00990C87"/>
    <w:rPr>
      <w:caps/>
      <w:color w:val="788826" w:themeColor="accent1" w:themeShade="BF"/>
      <w:spacing w:val="10"/>
    </w:rPr>
  </w:style>
  <w:style w:type="character" w:customStyle="1" w:styleId="Pealkiri6Mrk">
    <w:name w:val="Pealkiri 6 Märk"/>
    <w:basedOn w:val="Liguvaikefont"/>
    <w:link w:val="Pealkiri6"/>
    <w:uiPriority w:val="9"/>
    <w:rsid w:val="00990C87"/>
    <w:rPr>
      <w:caps/>
      <w:color w:val="788826" w:themeColor="accent1" w:themeShade="BF"/>
      <w:spacing w:val="10"/>
    </w:rPr>
  </w:style>
  <w:style w:type="character" w:customStyle="1" w:styleId="Pealkiri7Mrk">
    <w:name w:val="Pealkiri 7 Märk"/>
    <w:basedOn w:val="Liguvaikefont"/>
    <w:link w:val="Pealkiri7"/>
    <w:uiPriority w:val="9"/>
    <w:rsid w:val="00990C87"/>
    <w:rPr>
      <w:caps/>
      <w:color w:val="788826" w:themeColor="accent1" w:themeShade="BF"/>
      <w:spacing w:val="10"/>
    </w:rPr>
  </w:style>
  <w:style w:type="character" w:customStyle="1" w:styleId="Pealkiri8Mrk">
    <w:name w:val="Pealkiri 8 Märk"/>
    <w:basedOn w:val="Liguvaikefont"/>
    <w:link w:val="Pealkiri8"/>
    <w:uiPriority w:val="9"/>
    <w:rsid w:val="00990C87"/>
    <w:rPr>
      <w:caps/>
      <w:spacing w:val="10"/>
      <w:sz w:val="18"/>
      <w:szCs w:val="18"/>
    </w:rPr>
  </w:style>
  <w:style w:type="character" w:customStyle="1" w:styleId="Pealkiri9Mrk">
    <w:name w:val="Pealkiri 9 Märk"/>
    <w:basedOn w:val="Liguvaikefont"/>
    <w:link w:val="Pealkiri9"/>
    <w:uiPriority w:val="9"/>
    <w:semiHidden/>
    <w:rsid w:val="00990C87"/>
    <w:rPr>
      <w:i/>
      <w:caps/>
      <w:spacing w:val="10"/>
      <w:sz w:val="18"/>
      <w:szCs w:val="18"/>
    </w:rPr>
  </w:style>
  <w:style w:type="paragraph" w:styleId="Tiitel">
    <w:name w:val="Title"/>
    <w:basedOn w:val="Normaallaad"/>
    <w:next w:val="Normaallaad"/>
    <w:link w:val="TiitelMrk"/>
    <w:uiPriority w:val="10"/>
    <w:qFormat/>
    <w:rsid w:val="00990C87"/>
    <w:pPr>
      <w:spacing w:before="720"/>
    </w:pPr>
    <w:rPr>
      <w:caps/>
      <w:color w:val="A1B633" w:themeColor="accent1"/>
      <w:spacing w:val="10"/>
      <w:kern w:val="28"/>
      <w:sz w:val="52"/>
      <w:szCs w:val="52"/>
    </w:rPr>
  </w:style>
  <w:style w:type="character" w:customStyle="1" w:styleId="TiitelMrk">
    <w:name w:val="Tiitel Märk"/>
    <w:basedOn w:val="Liguvaikefont"/>
    <w:link w:val="Tiitel"/>
    <w:uiPriority w:val="10"/>
    <w:rsid w:val="00990C87"/>
    <w:rPr>
      <w:caps/>
      <w:color w:val="A1B633" w:themeColor="accent1"/>
      <w:spacing w:val="10"/>
      <w:kern w:val="28"/>
      <w:sz w:val="52"/>
      <w:szCs w:val="52"/>
    </w:rPr>
  </w:style>
  <w:style w:type="paragraph" w:styleId="Alapealkiri">
    <w:name w:val="Subtitle"/>
    <w:basedOn w:val="Normaallaad"/>
    <w:next w:val="Normaallaad"/>
    <w:link w:val="AlapealkiriMrk"/>
    <w:uiPriority w:val="11"/>
    <w:qFormat/>
    <w:rsid w:val="00990C87"/>
    <w:pPr>
      <w:spacing w:after="1000" w:line="240" w:lineRule="auto"/>
    </w:pPr>
    <w:rPr>
      <w:caps/>
      <w:color w:val="595959" w:themeColor="text1" w:themeTint="A6"/>
      <w:spacing w:val="10"/>
      <w:sz w:val="24"/>
      <w:szCs w:val="24"/>
    </w:rPr>
  </w:style>
  <w:style w:type="character" w:customStyle="1" w:styleId="AlapealkiriMrk">
    <w:name w:val="Alapealkiri Märk"/>
    <w:basedOn w:val="Liguvaikefont"/>
    <w:link w:val="Alapealkiri"/>
    <w:uiPriority w:val="11"/>
    <w:rsid w:val="00990C87"/>
    <w:rPr>
      <w:caps/>
      <w:color w:val="595959" w:themeColor="text1" w:themeTint="A6"/>
      <w:spacing w:val="10"/>
      <w:sz w:val="24"/>
      <w:szCs w:val="24"/>
    </w:rPr>
  </w:style>
  <w:style w:type="paragraph" w:styleId="Osunda">
    <w:name w:val="Quote"/>
    <w:basedOn w:val="Normaallaad"/>
    <w:next w:val="Normaallaad"/>
    <w:link w:val="OsundaMrk"/>
    <w:uiPriority w:val="29"/>
    <w:qFormat/>
    <w:rsid w:val="00990C87"/>
    <w:rPr>
      <w:i/>
      <w:iCs/>
    </w:rPr>
  </w:style>
  <w:style w:type="character" w:customStyle="1" w:styleId="OsundaMrk">
    <w:name w:val="Osunda Märk"/>
    <w:basedOn w:val="Liguvaikefont"/>
    <w:link w:val="Osunda"/>
    <w:uiPriority w:val="29"/>
    <w:rsid w:val="00990C87"/>
    <w:rPr>
      <w:i/>
      <w:iCs/>
      <w:sz w:val="20"/>
      <w:szCs w:val="20"/>
    </w:rPr>
  </w:style>
  <w:style w:type="paragraph" w:styleId="Tugevtsitaat">
    <w:name w:val="Intense Quote"/>
    <w:basedOn w:val="Normaallaad"/>
    <w:next w:val="Normaallaad"/>
    <w:link w:val="TugevtsitaatMrk"/>
    <w:uiPriority w:val="30"/>
    <w:qFormat/>
    <w:rsid w:val="00990C87"/>
    <w:pPr>
      <w:pBdr>
        <w:top w:val="single" w:sz="4" w:space="10" w:color="A1B633" w:themeColor="accent1"/>
        <w:left w:val="single" w:sz="4" w:space="10" w:color="A1B633" w:themeColor="accent1"/>
      </w:pBdr>
      <w:spacing w:after="0"/>
      <w:ind w:left="1296" w:right="1152"/>
      <w:jc w:val="both"/>
    </w:pPr>
    <w:rPr>
      <w:i/>
      <w:iCs/>
      <w:color w:val="A1B633" w:themeColor="accent1"/>
    </w:rPr>
  </w:style>
  <w:style w:type="character" w:customStyle="1" w:styleId="TugevtsitaatMrk">
    <w:name w:val="Tugev tsitaat Märk"/>
    <w:basedOn w:val="Liguvaikefont"/>
    <w:link w:val="Tugevtsitaat"/>
    <w:uiPriority w:val="30"/>
    <w:rsid w:val="00990C87"/>
    <w:rPr>
      <w:i/>
      <w:iCs/>
      <w:color w:val="A1B633" w:themeColor="accent1"/>
      <w:sz w:val="20"/>
      <w:szCs w:val="20"/>
    </w:rPr>
  </w:style>
  <w:style w:type="character" w:styleId="Vaevumrgatavrhutus">
    <w:name w:val="Subtle Emphasis"/>
    <w:uiPriority w:val="19"/>
    <w:qFormat/>
    <w:rsid w:val="00990C87"/>
    <w:rPr>
      <w:i/>
      <w:iCs/>
      <w:color w:val="505A19" w:themeColor="accent1" w:themeShade="7F"/>
    </w:rPr>
  </w:style>
  <w:style w:type="character" w:styleId="Tugevrhutus">
    <w:name w:val="Intense Emphasis"/>
    <w:uiPriority w:val="21"/>
    <w:qFormat/>
    <w:rsid w:val="00990C87"/>
    <w:rPr>
      <w:b/>
      <w:bCs/>
      <w:caps/>
      <w:color w:val="505A19" w:themeColor="accent1" w:themeShade="7F"/>
      <w:spacing w:val="10"/>
    </w:rPr>
  </w:style>
  <w:style w:type="character" w:styleId="Vaevumrgatavviide">
    <w:name w:val="Subtle Reference"/>
    <w:uiPriority w:val="31"/>
    <w:qFormat/>
    <w:rsid w:val="00990C87"/>
    <w:rPr>
      <w:b/>
      <w:bCs/>
      <w:color w:val="A1B633" w:themeColor="accent1"/>
    </w:rPr>
  </w:style>
  <w:style w:type="character" w:styleId="Tugevviide">
    <w:name w:val="Intense Reference"/>
    <w:uiPriority w:val="32"/>
    <w:qFormat/>
    <w:rsid w:val="00990C87"/>
    <w:rPr>
      <w:b/>
      <w:bCs/>
      <w:i/>
      <w:iCs/>
      <w:caps/>
      <w:color w:val="A1B633" w:themeColor="accent1"/>
    </w:rPr>
  </w:style>
  <w:style w:type="character" w:styleId="Raamatupealkiri">
    <w:name w:val="Book Title"/>
    <w:uiPriority w:val="33"/>
    <w:qFormat/>
    <w:rsid w:val="00990C87"/>
    <w:rPr>
      <w:b/>
      <w:bCs/>
      <w:i/>
      <w:iCs/>
      <w:spacing w:val="9"/>
    </w:rPr>
  </w:style>
  <w:style w:type="paragraph" w:styleId="Sisukorrapealkiri">
    <w:name w:val="TOC Heading"/>
    <w:basedOn w:val="Pealkiri1"/>
    <w:next w:val="Normaallaad"/>
    <w:uiPriority w:val="39"/>
    <w:unhideWhenUsed/>
    <w:qFormat/>
    <w:rsid w:val="00990C87"/>
    <w:pPr>
      <w:outlineLvl w:val="9"/>
    </w:pPr>
    <w:rPr>
      <w:lang w:bidi="en-US"/>
    </w:rPr>
  </w:style>
  <w:style w:type="paragraph" w:styleId="SK1">
    <w:name w:val="toc 1"/>
    <w:basedOn w:val="Normaallaad"/>
    <w:next w:val="Normaallaad"/>
    <w:autoRedefine/>
    <w:uiPriority w:val="39"/>
    <w:unhideWhenUsed/>
    <w:qFormat/>
    <w:rsid w:val="00690FBB"/>
    <w:pPr>
      <w:spacing w:after="100"/>
    </w:pPr>
  </w:style>
  <w:style w:type="paragraph" w:styleId="SK2">
    <w:name w:val="toc 2"/>
    <w:basedOn w:val="Normaallaad"/>
    <w:next w:val="Normaallaad"/>
    <w:autoRedefine/>
    <w:uiPriority w:val="39"/>
    <w:unhideWhenUsed/>
    <w:qFormat/>
    <w:rsid w:val="00690FBB"/>
    <w:pPr>
      <w:spacing w:after="100"/>
      <w:ind w:left="200"/>
    </w:pPr>
  </w:style>
  <w:style w:type="paragraph" w:styleId="SK3">
    <w:name w:val="toc 3"/>
    <w:basedOn w:val="Normaallaad"/>
    <w:next w:val="Normaallaad"/>
    <w:autoRedefine/>
    <w:uiPriority w:val="39"/>
    <w:unhideWhenUsed/>
    <w:qFormat/>
    <w:rsid w:val="00690FBB"/>
    <w:pPr>
      <w:spacing w:after="100"/>
      <w:ind w:left="400"/>
    </w:pPr>
  </w:style>
  <w:style w:type="table" w:styleId="Helevarjustusrhk2">
    <w:name w:val="Light Shading Accent 2"/>
    <w:basedOn w:val="Normaaltabel"/>
    <w:uiPriority w:val="60"/>
    <w:rsid w:val="004F0616"/>
    <w:pPr>
      <w:spacing w:before="0" w:after="0" w:line="240" w:lineRule="auto"/>
    </w:pPr>
    <w:rPr>
      <w:color w:val="9AAC24" w:themeColor="accent2" w:themeShade="BF"/>
    </w:rPr>
    <w:tblPr>
      <w:tblStyleRowBandSize w:val="1"/>
      <w:tblStyleColBandSize w:val="1"/>
      <w:tblBorders>
        <w:top w:val="single" w:sz="8" w:space="0" w:color="C4D73F" w:themeColor="accent2"/>
        <w:bottom w:val="single" w:sz="8" w:space="0" w:color="C4D73F" w:themeColor="accent2"/>
      </w:tblBorders>
    </w:tblPr>
    <w:tblStylePr w:type="firstRow">
      <w:pPr>
        <w:spacing w:before="0" w:after="0" w:line="240" w:lineRule="auto"/>
      </w:pPr>
      <w:rPr>
        <w:b/>
        <w:bCs/>
      </w:rPr>
      <w:tblPr/>
      <w:tcPr>
        <w:tcBorders>
          <w:top w:val="single" w:sz="8" w:space="0" w:color="C4D73F" w:themeColor="accent2"/>
          <w:left w:val="nil"/>
          <w:bottom w:val="single" w:sz="8" w:space="0" w:color="C4D73F" w:themeColor="accent2"/>
          <w:right w:val="nil"/>
          <w:insideH w:val="nil"/>
          <w:insideV w:val="nil"/>
        </w:tcBorders>
      </w:tcPr>
    </w:tblStylePr>
    <w:tblStylePr w:type="lastRow">
      <w:pPr>
        <w:spacing w:before="0" w:after="0" w:line="240" w:lineRule="auto"/>
      </w:pPr>
      <w:rPr>
        <w:b/>
        <w:bCs/>
      </w:rPr>
      <w:tblPr/>
      <w:tcPr>
        <w:tcBorders>
          <w:top w:val="single" w:sz="8" w:space="0" w:color="C4D73F" w:themeColor="accent2"/>
          <w:left w:val="nil"/>
          <w:bottom w:val="single" w:sz="8" w:space="0" w:color="C4D7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5CF" w:themeFill="accent2" w:themeFillTint="3F"/>
      </w:tcPr>
    </w:tblStylePr>
    <w:tblStylePr w:type="band1Horz">
      <w:tblPr/>
      <w:tcPr>
        <w:tcBorders>
          <w:left w:val="nil"/>
          <w:right w:val="nil"/>
          <w:insideH w:val="nil"/>
          <w:insideV w:val="nil"/>
        </w:tcBorders>
        <w:shd w:val="clear" w:color="auto" w:fill="F0F5CF" w:themeFill="accent2" w:themeFillTint="3F"/>
      </w:tcPr>
    </w:tblStylePr>
  </w:style>
  <w:style w:type="table" w:styleId="Keskminekoordinaatvrk1rhk1">
    <w:name w:val="Medium Grid 1 Accent 1"/>
    <w:basedOn w:val="Normaaltabel"/>
    <w:uiPriority w:val="67"/>
    <w:rsid w:val="00E47FAC"/>
    <w:pPr>
      <w:spacing w:before="0" w:after="0" w:line="240" w:lineRule="auto"/>
    </w:pPr>
    <w:tblPr>
      <w:tblStyleRowBandSize w:val="1"/>
      <w:tblStyleColBandSize w:val="1"/>
      <w:tblBorders>
        <w:top w:val="single" w:sz="8" w:space="0" w:color="BED15C" w:themeColor="accent1" w:themeTint="BF"/>
        <w:left w:val="single" w:sz="8" w:space="0" w:color="BED15C" w:themeColor="accent1" w:themeTint="BF"/>
        <w:bottom w:val="single" w:sz="8" w:space="0" w:color="BED15C" w:themeColor="accent1" w:themeTint="BF"/>
        <w:right w:val="single" w:sz="8" w:space="0" w:color="BED15C" w:themeColor="accent1" w:themeTint="BF"/>
        <w:insideH w:val="single" w:sz="8" w:space="0" w:color="BED15C" w:themeColor="accent1" w:themeTint="BF"/>
        <w:insideV w:val="single" w:sz="8" w:space="0" w:color="BED15C" w:themeColor="accent1" w:themeTint="BF"/>
      </w:tblBorders>
    </w:tblPr>
    <w:tcPr>
      <w:shd w:val="clear" w:color="auto" w:fill="E9F0C9" w:themeFill="accent1" w:themeFillTint="3F"/>
    </w:tcPr>
    <w:tblStylePr w:type="firstRow">
      <w:rPr>
        <w:b/>
        <w:bCs/>
      </w:rPr>
    </w:tblStylePr>
    <w:tblStylePr w:type="lastRow">
      <w:rPr>
        <w:b/>
        <w:bCs/>
      </w:rPr>
      <w:tblPr/>
      <w:tcPr>
        <w:tcBorders>
          <w:top w:val="single" w:sz="18" w:space="0" w:color="BED15C" w:themeColor="accent1" w:themeTint="BF"/>
        </w:tcBorders>
      </w:tcPr>
    </w:tblStylePr>
    <w:tblStylePr w:type="firstCol">
      <w:rPr>
        <w:b/>
        <w:bCs/>
      </w:rPr>
    </w:tblStylePr>
    <w:tblStylePr w:type="lastCol">
      <w:rPr>
        <w:b/>
        <w:bCs/>
      </w:rPr>
    </w:tblStylePr>
    <w:tblStylePr w:type="band1Vert">
      <w:tblPr/>
      <w:tcPr>
        <w:shd w:val="clear" w:color="auto" w:fill="D4E093" w:themeFill="accent1" w:themeFillTint="7F"/>
      </w:tcPr>
    </w:tblStylePr>
    <w:tblStylePr w:type="band1Horz">
      <w:tblPr/>
      <w:tcPr>
        <w:shd w:val="clear" w:color="auto" w:fill="D4E093" w:themeFill="accent1" w:themeFillTint="7F"/>
      </w:tcPr>
    </w:tblStylePr>
  </w:style>
  <w:style w:type="table" w:styleId="Keskminevarjustus2rhk2">
    <w:name w:val="Medium Shading 2 Accent 2"/>
    <w:basedOn w:val="Normaaltabel"/>
    <w:uiPriority w:val="64"/>
    <w:rsid w:val="00E47FA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D7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73F" w:themeFill="accent2"/>
      </w:tcPr>
    </w:tblStylePr>
    <w:tblStylePr w:type="lastCol">
      <w:rPr>
        <w:b/>
        <w:bCs/>
        <w:color w:val="FFFFFF" w:themeColor="background1"/>
      </w:rPr>
      <w:tblPr/>
      <w:tcPr>
        <w:tcBorders>
          <w:left w:val="nil"/>
          <w:right w:val="nil"/>
          <w:insideH w:val="nil"/>
          <w:insideV w:val="nil"/>
        </w:tcBorders>
        <w:shd w:val="clear" w:color="auto" w:fill="C4D7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E47FA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6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633" w:themeFill="accent1"/>
      </w:tcPr>
    </w:tblStylePr>
    <w:tblStylePr w:type="lastCol">
      <w:rPr>
        <w:b/>
        <w:bCs/>
        <w:color w:val="FFFFFF" w:themeColor="background1"/>
      </w:rPr>
      <w:tblPr/>
      <w:tcPr>
        <w:tcBorders>
          <w:left w:val="nil"/>
          <w:right w:val="nil"/>
          <w:insideH w:val="nil"/>
          <w:insideV w:val="nil"/>
        </w:tcBorders>
        <w:shd w:val="clear" w:color="auto" w:fill="A1B6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is">
    <w:name w:val="header"/>
    <w:basedOn w:val="Normaallaad"/>
    <w:link w:val="PisMrk"/>
    <w:uiPriority w:val="99"/>
    <w:unhideWhenUsed/>
    <w:rsid w:val="00FF4F8F"/>
    <w:pPr>
      <w:tabs>
        <w:tab w:val="center" w:pos="4536"/>
        <w:tab w:val="right" w:pos="9072"/>
      </w:tabs>
      <w:spacing w:before="0" w:after="0" w:line="240" w:lineRule="auto"/>
    </w:pPr>
  </w:style>
  <w:style w:type="character" w:customStyle="1" w:styleId="PisMrk">
    <w:name w:val="Päis Märk"/>
    <w:basedOn w:val="Liguvaikefont"/>
    <w:link w:val="Pis"/>
    <w:uiPriority w:val="99"/>
    <w:rsid w:val="00FF4F8F"/>
    <w:rPr>
      <w:sz w:val="20"/>
      <w:szCs w:val="20"/>
    </w:rPr>
  </w:style>
  <w:style w:type="character" w:styleId="Klastatudhperlink">
    <w:name w:val="FollowedHyperlink"/>
    <w:basedOn w:val="Liguvaikefont"/>
    <w:uiPriority w:val="99"/>
    <w:semiHidden/>
    <w:unhideWhenUsed/>
    <w:rsid w:val="00AA55F5"/>
    <w:rPr>
      <w:color w:val="5EAEA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034F9"/>
    <w:rPr>
      <w:sz w:val="20"/>
      <w:szCs w:val="20"/>
    </w:rPr>
  </w:style>
  <w:style w:type="paragraph" w:styleId="Pealkiri1">
    <w:name w:val="heading 1"/>
    <w:basedOn w:val="Normaallaad"/>
    <w:next w:val="Normaallaad"/>
    <w:link w:val="Pealkiri1Mrk"/>
    <w:uiPriority w:val="9"/>
    <w:qFormat/>
    <w:rsid w:val="00990C87"/>
    <w:pPr>
      <w:pBdr>
        <w:top w:val="single" w:sz="24" w:space="0" w:color="A1B633" w:themeColor="accent1"/>
        <w:left w:val="single" w:sz="24" w:space="0" w:color="A1B633" w:themeColor="accent1"/>
        <w:bottom w:val="single" w:sz="24" w:space="0" w:color="A1B633" w:themeColor="accent1"/>
        <w:right w:val="single" w:sz="24" w:space="0" w:color="A1B633" w:themeColor="accent1"/>
      </w:pBdr>
      <w:shd w:val="clear" w:color="auto" w:fill="A1B633" w:themeFill="accent1"/>
      <w:spacing w:after="0"/>
      <w:outlineLvl w:val="0"/>
    </w:pPr>
    <w:rPr>
      <w:b/>
      <w:bCs/>
      <w:caps/>
      <w:color w:val="FFFFFF" w:themeColor="background1"/>
      <w:spacing w:val="15"/>
      <w:sz w:val="22"/>
      <w:szCs w:val="22"/>
    </w:rPr>
  </w:style>
  <w:style w:type="paragraph" w:styleId="Pealkiri2">
    <w:name w:val="heading 2"/>
    <w:basedOn w:val="Normaallaad"/>
    <w:next w:val="Normaallaad"/>
    <w:link w:val="Pealkiri2Mrk"/>
    <w:uiPriority w:val="9"/>
    <w:unhideWhenUsed/>
    <w:qFormat/>
    <w:rsid w:val="00690FBB"/>
    <w:pPr>
      <w:pBdr>
        <w:top w:val="single" w:sz="24" w:space="0" w:color="EDF2D3" w:themeColor="accent1" w:themeTint="33"/>
        <w:left w:val="single" w:sz="24" w:space="0" w:color="EDF2D3" w:themeColor="accent1" w:themeTint="33"/>
        <w:bottom w:val="single" w:sz="24" w:space="0" w:color="EDF2D3" w:themeColor="accent1" w:themeTint="33"/>
        <w:right w:val="single" w:sz="24" w:space="0" w:color="EDF2D3" w:themeColor="accent1" w:themeTint="33"/>
      </w:pBdr>
      <w:shd w:val="clear" w:color="auto" w:fill="EDF2D3" w:themeFill="accent1" w:themeFillTint="33"/>
      <w:spacing w:after="0"/>
      <w:outlineLvl w:val="1"/>
    </w:pPr>
    <w:rPr>
      <w:caps/>
      <w:spacing w:val="15"/>
      <w:sz w:val="22"/>
      <w:szCs w:val="22"/>
    </w:rPr>
  </w:style>
  <w:style w:type="paragraph" w:styleId="Pealkiri3">
    <w:name w:val="heading 3"/>
    <w:basedOn w:val="Normaallaad"/>
    <w:next w:val="Normaallaad"/>
    <w:link w:val="Pealkiri3Mrk"/>
    <w:uiPriority w:val="9"/>
    <w:unhideWhenUsed/>
    <w:qFormat/>
    <w:rsid w:val="00990C87"/>
    <w:pPr>
      <w:pBdr>
        <w:top w:val="single" w:sz="6" w:space="2" w:color="A1B633" w:themeColor="accent1"/>
        <w:left w:val="single" w:sz="6" w:space="2" w:color="A1B633" w:themeColor="accent1"/>
      </w:pBdr>
      <w:spacing w:before="300" w:after="0"/>
      <w:outlineLvl w:val="2"/>
    </w:pPr>
    <w:rPr>
      <w:caps/>
      <w:color w:val="505A19" w:themeColor="accent1" w:themeShade="7F"/>
      <w:spacing w:val="15"/>
      <w:sz w:val="22"/>
      <w:szCs w:val="22"/>
    </w:rPr>
  </w:style>
  <w:style w:type="paragraph" w:styleId="Pealkiri4">
    <w:name w:val="heading 4"/>
    <w:basedOn w:val="Normaallaad"/>
    <w:next w:val="Normaallaad"/>
    <w:link w:val="Pealkiri4Mrk"/>
    <w:uiPriority w:val="9"/>
    <w:unhideWhenUsed/>
    <w:qFormat/>
    <w:rsid w:val="00990C87"/>
    <w:pPr>
      <w:pBdr>
        <w:top w:val="dotted" w:sz="6" w:space="2" w:color="A1B633" w:themeColor="accent1"/>
        <w:left w:val="dotted" w:sz="6" w:space="2" w:color="A1B633" w:themeColor="accent1"/>
      </w:pBdr>
      <w:spacing w:before="300" w:after="0"/>
      <w:outlineLvl w:val="3"/>
    </w:pPr>
    <w:rPr>
      <w:caps/>
      <w:color w:val="788826" w:themeColor="accent1" w:themeShade="BF"/>
      <w:spacing w:val="10"/>
      <w:sz w:val="22"/>
      <w:szCs w:val="22"/>
    </w:rPr>
  </w:style>
  <w:style w:type="paragraph" w:styleId="Pealkiri5">
    <w:name w:val="heading 5"/>
    <w:basedOn w:val="Normaallaad"/>
    <w:next w:val="Normaallaad"/>
    <w:link w:val="Pealkiri5Mrk"/>
    <w:uiPriority w:val="9"/>
    <w:unhideWhenUsed/>
    <w:qFormat/>
    <w:rsid w:val="00990C87"/>
    <w:pPr>
      <w:pBdr>
        <w:bottom w:val="single" w:sz="6" w:space="1" w:color="A1B633" w:themeColor="accent1"/>
      </w:pBdr>
      <w:spacing w:before="300" w:after="0"/>
      <w:outlineLvl w:val="4"/>
    </w:pPr>
    <w:rPr>
      <w:caps/>
      <w:color w:val="788826" w:themeColor="accent1" w:themeShade="BF"/>
      <w:spacing w:val="10"/>
      <w:sz w:val="22"/>
      <w:szCs w:val="22"/>
    </w:rPr>
  </w:style>
  <w:style w:type="paragraph" w:styleId="Pealkiri6">
    <w:name w:val="heading 6"/>
    <w:basedOn w:val="Normaallaad"/>
    <w:next w:val="Normaallaad"/>
    <w:link w:val="Pealkiri6Mrk"/>
    <w:uiPriority w:val="9"/>
    <w:unhideWhenUsed/>
    <w:qFormat/>
    <w:rsid w:val="00990C87"/>
    <w:pPr>
      <w:pBdr>
        <w:bottom w:val="dotted" w:sz="6" w:space="1" w:color="A1B633" w:themeColor="accent1"/>
      </w:pBdr>
      <w:spacing w:before="300" w:after="0"/>
      <w:outlineLvl w:val="5"/>
    </w:pPr>
    <w:rPr>
      <w:caps/>
      <w:color w:val="788826" w:themeColor="accent1" w:themeShade="BF"/>
      <w:spacing w:val="10"/>
      <w:sz w:val="22"/>
      <w:szCs w:val="22"/>
    </w:rPr>
  </w:style>
  <w:style w:type="paragraph" w:styleId="Pealkiri7">
    <w:name w:val="heading 7"/>
    <w:basedOn w:val="Normaallaad"/>
    <w:next w:val="Normaallaad"/>
    <w:link w:val="Pealkiri7Mrk"/>
    <w:uiPriority w:val="9"/>
    <w:unhideWhenUsed/>
    <w:qFormat/>
    <w:rsid w:val="00990C87"/>
    <w:pPr>
      <w:spacing w:before="300" w:after="0"/>
      <w:outlineLvl w:val="6"/>
    </w:pPr>
    <w:rPr>
      <w:caps/>
      <w:color w:val="788826" w:themeColor="accent1" w:themeShade="BF"/>
      <w:spacing w:val="10"/>
      <w:sz w:val="22"/>
      <w:szCs w:val="22"/>
    </w:rPr>
  </w:style>
  <w:style w:type="paragraph" w:styleId="Pealkiri8">
    <w:name w:val="heading 8"/>
    <w:basedOn w:val="Normaallaad"/>
    <w:next w:val="Normaallaad"/>
    <w:link w:val="Pealkiri8Mrk"/>
    <w:uiPriority w:val="9"/>
    <w:unhideWhenUsed/>
    <w:qFormat/>
    <w:rsid w:val="00990C87"/>
    <w:pPr>
      <w:spacing w:before="300" w:after="0"/>
      <w:outlineLvl w:val="7"/>
    </w:pPr>
    <w:rPr>
      <w:caps/>
      <w:spacing w:val="10"/>
      <w:sz w:val="18"/>
      <w:szCs w:val="18"/>
    </w:rPr>
  </w:style>
  <w:style w:type="paragraph" w:styleId="Pealkiri9">
    <w:name w:val="heading 9"/>
    <w:basedOn w:val="Normaallaad"/>
    <w:next w:val="Normaallaad"/>
    <w:link w:val="Pealkiri9Mrk"/>
    <w:uiPriority w:val="9"/>
    <w:semiHidden/>
    <w:unhideWhenUsed/>
    <w:qFormat/>
    <w:rsid w:val="00990C87"/>
    <w:pPr>
      <w:spacing w:before="300" w:after="0"/>
      <w:outlineLvl w:val="8"/>
    </w:pPr>
    <w:rPr>
      <w:i/>
      <w:caps/>
      <w:spacing w:val="10"/>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Pr>
      <w:rFonts w:ascii="Tahoma" w:hAnsi="Tahoma" w:cs="Tahoma"/>
      <w:sz w:val="16"/>
      <w:szCs w:val="16"/>
    </w:rPr>
  </w:style>
  <w:style w:type="paragraph" w:styleId="Normaallaadveeb">
    <w:name w:val="Normal (Web)"/>
    <w:basedOn w:val="Normaallaad"/>
    <w:pPr>
      <w:spacing w:before="100" w:beforeAutospacing="1" w:after="100" w:afterAutospacing="1"/>
    </w:pPr>
    <w:rPr>
      <w:lang w:val="de-DE" w:eastAsia="de-DE"/>
    </w:rPr>
  </w:style>
  <w:style w:type="character" w:styleId="Tugev">
    <w:name w:val="Strong"/>
    <w:uiPriority w:val="22"/>
    <w:qFormat/>
    <w:rsid w:val="00990C87"/>
    <w:rPr>
      <w:b/>
      <w:bCs/>
    </w:rPr>
  </w:style>
  <w:style w:type="paragraph" w:styleId="HTML-aadress">
    <w:name w:val="HTML Address"/>
    <w:basedOn w:val="Normaallaad"/>
    <w:rPr>
      <w:i/>
      <w:iCs/>
    </w:rPr>
  </w:style>
  <w:style w:type="character" w:styleId="Rhutus">
    <w:name w:val="Emphasis"/>
    <w:uiPriority w:val="20"/>
    <w:qFormat/>
    <w:rsid w:val="00990C87"/>
    <w:rPr>
      <w:caps/>
      <w:color w:val="505A19" w:themeColor="accent1" w:themeShade="7F"/>
      <w:spacing w:val="5"/>
    </w:rPr>
  </w:style>
  <w:style w:type="paragraph" w:styleId="Jalus">
    <w:name w:val="footer"/>
    <w:basedOn w:val="Normaallaad"/>
    <w:rsid w:val="00FA29EA"/>
    <w:pPr>
      <w:tabs>
        <w:tab w:val="center" w:pos="4536"/>
        <w:tab w:val="right" w:pos="9072"/>
      </w:tabs>
    </w:pPr>
  </w:style>
  <w:style w:type="character" w:styleId="Hperlink">
    <w:name w:val="Hyperlink"/>
    <w:uiPriority w:val="99"/>
    <w:rPr>
      <w:color w:val="0000FF"/>
      <w:u w:val="single"/>
    </w:rPr>
  </w:style>
  <w:style w:type="character" w:styleId="Kommentaariviide">
    <w:name w:val="annotation reference"/>
    <w:semiHidden/>
    <w:rPr>
      <w:sz w:val="16"/>
      <w:szCs w:val="16"/>
    </w:rPr>
  </w:style>
  <w:style w:type="character" w:styleId="Lehekljenumber">
    <w:name w:val="page number"/>
    <w:basedOn w:val="Liguvaikefont"/>
    <w:rsid w:val="00FA29EA"/>
  </w:style>
  <w:style w:type="character" w:customStyle="1" w:styleId="apple-converted-space">
    <w:name w:val="apple-converted-space"/>
    <w:basedOn w:val="Liguvaikefont"/>
    <w:rsid w:val="005F3253"/>
  </w:style>
  <w:style w:type="character" w:customStyle="1" w:styleId="mm">
    <w:name w:val="mm"/>
    <w:basedOn w:val="Liguvaikefont"/>
    <w:rsid w:val="005F3253"/>
  </w:style>
  <w:style w:type="paragraph" w:customStyle="1" w:styleId="vv">
    <w:name w:val="vv"/>
    <w:basedOn w:val="Normaallaad"/>
    <w:rsid w:val="00AF23E6"/>
    <w:pPr>
      <w:spacing w:before="100" w:beforeAutospacing="1" w:after="100" w:afterAutospacing="1"/>
    </w:pPr>
    <w:rPr>
      <w:rFonts w:eastAsia="SimSun"/>
      <w:lang w:eastAsia="zh-CN"/>
    </w:rPr>
  </w:style>
  <w:style w:type="table" w:styleId="Kontuurtabel">
    <w:name w:val="Table Grid"/>
    <w:basedOn w:val="Normaaltabel"/>
    <w:rsid w:val="00EC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uiPriority w:val="99"/>
    <w:semiHidden/>
    <w:rsid w:val="00BA5FD4"/>
    <w:rPr>
      <w:color w:val="808080"/>
    </w:rPr>
  </w:style>
  <w:style w:type="paragraph" w:styleId="Loendilik">
    <w:name w:val="List Paragraph"/>
    <w:basedOn w:val="Normaallaad"/>
    <w:uiPriority w:val="34"/>
    <w:qFormat/>
    <w:rsid w:val="00990C87"/>
    <w:pPr>
      <w:ind w:left="720"/>
      <w:contextualSpacing/>
    </w:pPr>
  </w:style>
  <w:style w:type="paragraph" w:styleId="Pealdis">
    <w:name w:val="caption"/>
    <w:basedOn w:val="Normaallaad"/>
    <w:next w:val="Normaallaad"/>
    <w:uiPriority w:val="35"/>
    <w:unhideWhenUsed/>
    <w:qFormat/>
    <w:rsid w:val="00990C87"/>
    <w:rPr>
      <w:b/>
      <w:bCs/>
      <w:color w:val="788826" w:themeColor="accent1" w:themeShade="BF"/>
      <w:sz w:val="16"/>
      <w:szCs w:val="16"/>
    </w:rPr>
  </w:style>
  <w:style w:type="paragraph" w:styleId="Vahedeta">
    <w:name w:val="No Spacing"/>
    <w:basedOn w:val="Normaallaad"/>
    <w:link w:val="VahedetaMrk"/>
    <w:uiPriority w:val="1"/>
    <w:qFormat/>
    <w:rsid w:val="00990C87"/>
    <w:pPr>
      <w:spacing w:before="0" w:after="0" w:line="240" w:lineRule="auto"/>
    </w:pPr>
  </w:style>
  <w:style w:type="character" w:customStyle="1" w:styleId="VahedetaMrk">
    <w:name w:val="Vahedeta Märk"/>
    <w:basedOn w:val="Liguvaikefont"/>
    <w:link w:val="Vahedeta"/>
    <w:uiPriority w:val="1"/>
    <w:rsid w:val="00990C87"/>
    <w:rPr>
      <w:sz w:val="20"/>
      <w:szCs w:val="20"/>
    </w:rPr>
  </w:style>
  <w:style w:type="paragraph" w:customStyle="1" w:styleId="Style1">
    <w:name w:val="Style1"/>
    <w:basedOn w:val="Pealkiri1"/>
    <w:next w:val="Normaallaad"/>
    <w:qFormat/>
    <w:rsid w:val="006B500D"/>
    <w:pPr>
      <w:framePr w:wrap="around" w:vAnchor="text" w:hAnchor="text" w:y="1"/>
      <w:shd w:val="clear" w:color="auto" w:fill="F68412"/>
      <w:ind w:right="3686"/>
    </w:pPr>
    <w:rPr>
      <w:rFonts w:ascii="Times New Roman" w:hAnsi="Times New Roman"/>
      <w:b w:val="0"/>
      <w:color w:val="17365D"/>
      <w:sz w:val="32"/>
    </w:rPr>
  </w:style>
  <w:style w:type="character" w:customStyle="1" w:styleId="Pealkiri1Mrk">
    <w:name w:val="Pealkiri 1 Märk"/>
    <w:basedOn w:val="Liguvaikefont"/>
    <w:link w:val="Pealkiri1"/>
    <w:uiPriority w:val="9"/>
    <w:rsid w:val="00990C87"/>
    <w:rPr>
      <w:b/>
      <w:bCs/>
      <w:caps/>
      <w:color w:val="FFFFFF" w:themeColor="background1"/>
      <w:spacing w:val="15"/>
      <w:shd w:val="clear" w:color="auto" w:fill="A1B633" w:themeFill="accent1"/>
    </w:rPr>
  </w:style>
  <w:style w:type="character" w:customStyle="1" w:styleId="Pealkiri2Mrk">
    <w:name w:val="Pealkiri 2 Märk"/>
    <w:basedOn w:val="Liguvaikefont"/>
    <w:link w:val="Pealkiri2"/>
    <w:uiPriority w:val="9"/>
    <w:rsid w:val="00690FBB"/>
    <w:rPr>
      <w:caps/>
      <w:spacing w:val="15"/>
      <w:shd w:val="clear" w:color="auto" w:fill="EDF2D3" w:themeFill="accent1" w:themeFillTint="33"/>
    </w:rPr>
  </w:style>
  <w:style w:type="character" w:customStyle="1" w:styleId="Pealkiri3Mrk">
    <w:name w:val="Pealkiri 3 Märk"/>
    <w:basedOn w:val="Liguvaikefont"/>
    <w:link w:val="Pealkiri3"/>
    <w:uiPriority w:val="9"/>
    <w:rsid w:val="00990C87"/>
    <w:rPr>
      <w:caps/>
      <w:color w:val="505A19" w:themeColor="accent1" w:themeShade="7F"/>
      <w:spacing w:val="15"/>
    </w:rPr>
  </w:style>
  <w:style w:type="character" w:customStyle="1" w:styleId="Pealkiri4Mrk">
    <w:name w:val="Pealkiri 4 Märk"/>
    <w:basedOn w:val="Liguvaikefont"/>
    <w:link w:val="Pealkiri4"/>
    <w:uiPriority w:val="9"/>
    <w:rsid w:val="00990C87"/>
    <w:rPr>
      <w:caps/>
      <w:color w:val="788826" w:themeColor="accent1" w:themeShade="BF"/>
      <w:spacing w:val="10"/>
    </w:rPr>
  </w:style>
  <w:style w:type="character" w:customStyle="1" w:styleId="Pealkiri5Mrk">
    <w:name w:val="Pealkiri 5 Märk"/>
    <w:basedOn w:val="Liguvaikefont"/>
    <w:link w:val="Pealkiri5"/>
    <w:uiPriority w:val="9"/>
    <w:rsid w:val="00990C87"/>
    <w:rPr>
      <w:caps/>
      <w:color w:val="788826" w:themeColor="accent1" w:themeShade="BF"/>
      <w:spacing w:val="10"/>
    </w:rPr>
  </w:style>
  <w:style w:type="character" w:customStyle="1" w:styleId="Pealkiri6Mrk">
    <w:name w:val="Pealkiri 6 Märk"/>
    <w:basedOn w:val="Liguvaikefont"/>
    <w:link w:val="Pealkiri6"/>
    <w:uiPriority w:val="9"/>
    <w:rsid w:val="00990C87"/>
    <w:rPr>
      <w:caps/>
      <w:color w:val="788826" w:themeColor="accent1" w:themeShade="BF"/>
      <w:spacing w:val="10"/>
    </w:rPr>
  </w:style>
  <w:style w:type="character" w:customStyle="1" w:styleId="Pealkiri7Mrk">
    <w:name w:val="Pealkiri 7 Märk"/>
    <w:basedOn w:val="Liguvaikefont"/>
    <w:link w:val="Pealkiri7"/>
    <w:uiPriority w:val="9"/>
    <w:rsid w:val="00990C87"/>
    <w:rPr>
      <w:caps/>
      <w:color w:val="788826" w:themeColor="accent1" w:themeShade="BF"/>
      <w:spacing w:val="10"/>
    </w:rPr>
  </w:style>
  <w:style w:type="character" w:customStyle="1" w:styleId="Pealkiri8Mrk">
    <w:name w:val="Pealkiri 8 Märk"/>
    <w:basedOn w:val="Liguvaikefont"/>
    <w:link w:val="Pealkiri8"/>
    <w:uiPriority w:val="9"/>
    <w:rsid w:val="00990C87"/>
    <w:rPr>
      <w:caps/>
      <w:spacing w:val="10"/>
      <w:sz w:val="18"/>
      <w:szCs w:val="18"/>
    </w:rPr>
  </w:style>
  <w:style w:type="character" w:customStyle="1" w:styleId="Pealkiri9Mrk">
    <w:name w:val="Pealkiri 9 Märk"/>
    <w:basedOn w:val="Liguvaikefont"/>
    <w:link w:val="Pealkiri9"/>
    <w:uiPriority w:val="9"/>
    <w:semiHidden/>
    <w:rsid w:val="00990C87"/>
    <w:rPr>
      <w:i/>
      <w:caps/>
      <w:spacing w:val="10"/>
      <w:sz w:val="18"/>
      <w:szCs w:val="18"/>
    </w:rPr>
  </w:style>
  <w:style w:type="paragraph" w:styleId="Tiitel">
    <w:name w:val="Title"/>
    <w:basedOn w:val="Normaallaad"/>
    <w:next w:val="Normaallaad"/>
    <w:link w:val="TiitelMrk"/>
    <w:uiPriority w:val="10"/>
    <w:qFormat/>
    <w:rsid w:val="00990C87"/>
    <w:pPr>
      <w:spacing w:before="720"/>
    </w:pPr>
    <w:rPr>
      <w:caps/>
      <w:color w:val="A1B633" w:themeColor="accent1"/>
      <w:spacing w:val="10"/>
      <w:kern w:val="28"/>
      <w:sz w:val="52"/>
      <w:szCs w:val="52"/>
    </w:rPr>
  </w:style>
  <w:style w:type="character" w:customStyle="1" w:styleId="TiitelMrk">
    <w:name w:val="Tiitel Märk"/>
    <w:basedOn w:val="Liguvaikefont"/>
    <w:link w:val="Tiitel"/>
    <w:uiPriority w:val="10"/>
    <w:rsid w:val="00990C87"/>
    <w:rPr>
      <w:caps/>
      <w:color w:val="A1B633" w:themeColor="accent1"/>
      <w:spacing w:val="10"/>
      <w:kern w:val="28"/>
      <w:sz w:val="52"/>
      <w:szCs w:val="52"/>
    </w:rPr>
  </w:style>
  <w:style w:type="paragraph" w:styleId="Alapealkiri">
    <w:name w:val="Subtitle"/>
    <w:basedOn w:val="Normaallaad"/>
    <w:next w:val="Normaallaad"/>
    <w:link w:val="AlapealkiriMrk"/>
    <w:uiPriority w:val="11"/>
    <w:qFormat/>
    <w:rsid w:val="00990C87"/>
    <w:pPr>
      <w:spacing w:after="1000" w:line="240" w:lineRule="auto"/>
    </w:pPr>
    <w:rPr>
      <w:caps/>
      <w:color w:val="595959" w:themeColor="text1" w:themeTint="A6"/>
      <w:spacing w:val="10"/>
      <w:sz w:val="24"/>
      <w:szCs w:val="24"/>
    </w:rPr>
  </w:style>
  <w:style w:type="character" w:customStyle="1" w:styleId="AlapealkiriMrk">
    <w:name w:val="Alapealkiri Märk"/>
    <w:basedOn w:val="Liguvaikefont"/>
    <w:link w:val="Alapealkiri"/>
    <w:uiPriority w:val="11"/>
    <w:rsid w:val="00990C87"/>
    <w:rPr>
      <w:caps/>
      <w:color w:val="595959" w:themeColor="text1" w:themeTint="A6"/>
      <w:spacing w:val="10"/>
      <w:sz w:val="24"/>
      <w:szCs w:val="24"/>
    </w:rPr>
  </w:style>
  <w:style w:type="paragraph" w:styleId="Osunda">
    <w:name w:val="Quote"/>
    <w:basedOn w:val="Normaallaad"/>
    <w:next w:val="Normaallaad"/>
    <w:link w:val="OsundaMrk"/>
    <w:uiPriority w:val="29"/>
    <w:qFormat/>
    <w:rsid w:val="00990C87"/>
    <w:rPr>
      <w:i/>
      <w:iCs/>
    </w:rPr>
  </w:style>
  <w:style w:type="character" w:customStyle="1" w:styleId="OsundaMrk">
    <w:name w:val="Osunda Märk"/>
    <w:basedOn w:val="Liguvaikefont"/>
    <w:link w:val="Osunda"/>
    <w:uiPriority w:val="29"/>
    <w:rsid w:val="00990C87"/>
    <w:rPr>
      <w:i/>
      <w:iCs/>
      <w:sz w:val="20"/>
      <w:szCs w:val="20"/>
    </w:rPr>
  </w:style>
  <w:style w:type="paragraph" w:styleId="Tugevtsitaat">
    <w:name w:val="Intense Quote"/>
    <w:basedOn w:val="Normaallaad"/>
    <w:next w:val="Normaallaad"/>
    <w:link w:val="TugevtsitaatMrk"/>
    <w:uiPriority w:val="30"/>
    <w:qFormat/>
    <w:rsid w:val="00990C87"/>
    <w:pPr>
      <w:pBdr>
        <w:top w:val="single" w:sz="4" w:space="10" w:color="A1B633" w:themeColor="accent1"/>
        <w:left w:val="single" w:sz="4" w:space="10" w:color="A1B633" w:themeColor="accent1"/>
      </w:pBdr>
      <w:spacing w:after="0"/>
      <w:ind w:left="1296" w:right="1152"/>
      <w:jc w:val="both"/>
    </w:pPr>
    <w:rPr>
      <w:i/>
      <w:iCs/>
      <w:color w:val="A1B633" w:themeColor="accent1"/>
    </w:rPr>
  </w:style>
  <w:style w:type="character" w:customStyle="1" w:styleId="TugevtsitaatMrk">
    <w:name w:val="Tugev tsitaat Märk"/>
    <w:basedOn w:val="Liguvaikefont"/>
    <w:link w:val="Tugevtsitaat"/>
    <w:uiPriority w:val="30"/>
    <w:rsid w:val="00990C87"/>
    <w:rPr>
      <w:i/>
      <w:iCs/>
      <w:color w:val="A1B633" w:themeColor="accent1"/>
      <w:sz w:val="20"/>
      <w:szCs w:val="20"/>
    </w:rPr>
  </w:style>
  <w:style w:type="character" w:styleId="Vaevumrgatavrhutus">
    <w:name w:val="Subtle Emphasis"/>
    <w:uiPriority w:val="19"/>
    <w:qFormat/>
    <w:rsid w:val="00990C87"/>
    <w:rPr>
      <w:i/>
      <w:iCs/>
      <w:color w:val="505A19" w:themeColor="accent1" w:themeShade="7F"/>
    </w:rPr>
  </w:style>
  <w:style w:type="character" w:styleId="Tugevrhutus">
    <w:name w:val="Intense Emphasis"/>
    <w:uiPriority w:val="21"/>
    <w:qFormat/>
    <w:rsid w:val="00990C87"/>
    <w:rPr>
      <w:b/>
      <w:bCs/>
      <w:caps/>
      <w:color w:val="505A19" w:themeColor="accent1" w:themeShade="7F"/>
      <w:spacing w:val="10"/>
    </w:rPr>
  </w:style>
  <w:style w:type="character" w:styleId="Vaevumrgatavviide">
    <w:name w:val="Subtle Reference"/>
    <w:uiPriority w:val="31"/>
    <w:qFormat/>
    <w:rsid w:val="00990C87"/>
    <w:rPr>
      <w:b/>
      <w:bCs/>
      <w:color w:val="A1B633" w:themeColor="accent1"/>
    </w:rPr>
  </w:style>
  <w:style w:type="character" w:styleId="Tugevviide">
    <w:name w:val="Intense Reference"/>
    <w:uiPriority w:val="32"/>
    <w:qFormat/>
    <w:rsid w:val="00990C87"/>
    <w:rPr>
      <w:b/>
      <w:bCs/>
      <w:i/>
      <w:iCs/>
      <w:caps/>
      <w:color w:val="A1B633" w:themeColor="accent1"/>
    </w:rPr>
  </w:style>
  <w:style w:type="character" w:styleId="Raamatupealkiri">
    <w:name w:val="Book Title"/>
    <w:uiPriority w:val="33"/>
    <w:qFormat/>
    <w:rsid w:val="00990C87"/>
    <w:rPr>
      <w:b/>
      <w:bCs/>
      <w:i/>
      <w:iCs/>
      <w:spacing w:val="9"/>
    </w:rPr>
  </w:style>
  <w:style w:type="paragraph" w:styleId="Sisukorrapealkiri">
    <w:name w:val="TOC Heading"/>
    <w:basedOn w:val="Pealkiri1"/>
    <w:next w:val="Normaallaad"/>
    <w:uiPriority w:val="39"/>
    <w:unhideWhenUsed/>
    <w:qFormat/>
    <w:rsid w:val="00990C87"/>
    <w:pPr>
      <w:outlineLvl w:val="9"/>
    </w:pPr>
    <w:rPr>
      <w:lang w:bidi="en-US"/>
    </w:rPr>
  </w:style>
  <w:style w:type="paragraph" w:styleId="SK1">
    <w:name w:val="toc 1"/>
    <w:basedOn w:val="Normaallaad"/>
    <w:next w:val="Normaallaad"/>
    <w:autoRedefine/>
    <w:uiPriority w:val="39"/>
    <w:unhideWhenUsed/>
    <w:qFormat/>
    <w:rsid w:val="00690FBB"/>
    <w:pPr>
      <w:spacing w:after="100"/>
    </w:pPr>
  </w:style>
  <w:style w:type="paragraph" w:styleId="SK2">
    <w:name w:val="toc 2"/>
    <w:basedOn w:val="Normaallaad"/>
    <w:next w:val="Normaallaad"/>
    <w:autoRedefine/>
    <w:uiPriority w:val="39"/>
    <w:unhideWhenUsed/>
    <w:qFormat/>
    <w:rsid w:val="00690FBB"/>
    <w:pPr>
      <w:spacing w:after="100"/>
      <w:ind w:left="200"/>
    </w:pPr>
  </w:style>
  <w:style w:type="paragraph" w:styleId="SK3">
    <w:name w:val="toc 3"/>
    <w:basedOn w:val="Normaallaad"/>
    <w:next w:val="Normaallaad"/>
    <w:autoRedefine/>
    <w:uiPriority w:val="39"/>
    <w:unhideWhenUsed/>
    <w:qFormat/>
    <w:rsid w:val="00690FBB"/>
    <w:pPr>
      <w:spacing w:after="100"/>
      <w:ind w:left="400"/>
    </w:pPr>
  </w:style>
  <w:style w:type="table" w:styleId="Helevarjustusrhk2">
    <w:name w:val="Light Shading Accent 2"/>
    <w:basedOn w:val="Normaaltabel"/>
    <w:uiPriority w:val="60"/>
    <w:rsid w:val="004F0616"/>
    <w:pPr>
      <w:spacing w:before="0" w:after="0" w:line="240" w:lineRule="auto"/>
    </w:pPr>
    <w:rPr>
      <w:color w:val="9AAC24" w:themeColor="accent2" w:themeShade="BF"/>
    </w:rPr>
    <w:tblPr>
      <w:tblStyleRowBandSize w:val="1"/>
      <w:tblStyleColBandSize w:val="1"/>
      <w:tblBorders>
        <w:top w:val="single" w:sz="8" w:space="0" w:color="C4D73F" w:themeColor="accent2"/>
        <w:bottom w:val="single" w:sz="8" w:space="0" w:color="C4D73F" w:themeColor="accent2"/>
      </w:tblBorders>
    </w:tblPr>
    <w:tblStylePr w:type="firstRow">
      <w:pPr>
        <w:spacing w:before="0" w:after="0" w:line="240" w:lineRule="auto"/>
      </w:pPr>
      <w:rPr>
        <w:b/>
        <w:bCs/>
      </w:rPr>
      <w:tblPr/>
      <w:tcPr>
        <w:tcBorders>
          <w:top w:val="single" w:sz="8" w:space="0" w:color="C4D73F" w:themeColor="accent2"/>
          <w:left w:val="nil"/>
          <w:bottom w:val="single" w:sz="8" w:space="0" w:color="C4D73F" w:themeColor="accent2"/>
          <w:right w:val="nil"/>
          <w:insideH w:val="nil"/>
          <w:insideV w:val="nil"/>
        </w:tcBorders>
      </w:tcPr>
    </w:tblStylePr>
    <w:tblStylePr w:type="lastRow">
      <w:pPr>
        <w:spacing w:before="0" w:after="0" w:line="240" w:lineRule="auto"/>
      </w:pPr>
      <w:rPr>
        <w:b/>
        <w:bCs/>
      </w:rPr>
      <w:tblPr/>
      <w:tcPr>
        <w:tcBorders>
          <w:top w:val="single" w:sz="8" w:space="0" w:color="C4D73F" w:themeColor="accent2"/>
          <w:left w:val="nil"/>
          <w:bottom w:val="single" w:sz="8" w:space="0" w:color="C4D7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5CF" w:themeFill="accent2" w:themeFillTint="3F"/>
      </w:tcPr>
    </w:tblStylePr>
    <w:tblStylePr w:type="band1Horz">
      <w:tblPr/>
      <w:tcPr>
        <w:tcBorders>
          <w:left w:val="nil"/>
          <w:right w:val="nil"/>
          <w:insideH w:val="nil"/>
          <w:insideV w:val="nil"/>
        </w:tcBorders>
        <w:shd w:val="clear" w:color="auto" w:fill="F0F5CF" w:themeFill="accent2" w:themeFillTint="3F"/>
      </w:tcPr>
    </w:tblStylePr>
  </w:style>
  <w:style w:type="table" w:styleId="Keskminekoordinaatvrk1rhk1">
    <w:name w:val="Medium Grid 1 Accent 1"/>
    <w:basedOn w:val="Normaaltabel"/>
    <w:uiPriority w:val="67"/>
    <w:rsid w:val="00E47FAC"/>
    <w:pPr>
      <w:spacing w:before="0" w:after="0" w:line="240" w:lineRule="auto"/>
    </w:pPr>
    <w:tblPr>
      <w:tblStyleRowBandSize w:val="1"/>
      <w:tblStyleColBandSize w:val="1"/>
      <w:tblBorders>
        <w:top w:val="single" w:sz="8" w:space="0" w:color="BED15C" w:themeColor="accent1" w:themeTint="BF"/>
        <w:left w:val="single" w:sz="8" w:space="0" w:color="BED15C" w:themeColor="accent1" w:themeTint="BF"/>
        <w:bottom w:val="single" w:sz="8" w:space="0" w:color="BED15C" w:themeColor="accent1" w:themeTint="BF"/>
        <w:right w:val="single" w:sz="8" w:space="0" w:color="BED15C" w:themeColor="accent1" w:themeTint="BF"/>
        <w:insideH w:val="single" w:sz="8" w:space="0" w:color="BED15C" w:themeColor="accent1" w:themeTint="BF"/>
        <w:insideV w:val="single" w:sz="8" w:space="0" w:color="BED15C" w:themeColor="accent1" w:themeTint="BF"/>
      </w:tblBorders>
    </w:tblPr>
    <w:tcPr>
      <w:shd w:val="clear" w:color="auto" w:fill="E9F0C9" w:themeFill="accent1" w:themeFillTint="3F"/>
    </w:tcPr>
    <w:tblStylePr w:type="firstRow">
      <w:rPr>
        <w:b/>
        <w:bCs/>
      </w:rPr>
    </w:tblStylePr>
    <w:tblStylePr w:type="lastRow">
      <w:rPr>
        <w:b/>
        <w:bCs/>
      </w:rPr>
      <w:tblPr/>
      <w:tcPr>
        <w:tcBorders>
          <w:top w:val="single" w:sz="18" w:space="0" w:color="BED15C" w:themeColor="accent1" w:themeTint="BF"/>
        </w:tcBorders>
      </w:tcPr>
    </w:tblStylePr>
    <w:tblStylePr w:type="firstCol">
      <w:rPr>
        <w:b/>
        <w:bCs/>
      </w:rPr>
    </w:tblStylePr>
    <w:tblStylePr w:type="lastCol">
      <w:rPr>
        <w:b/>
        <w:bCs/>
      </w:rPr>
    </w:tblStylePr>
    <w:tblStylePr w:type="band1Vert">
      <w:tblPr/>
      <w:tcPr>
        <w:shd w:val="clear" w:color="auto" w:fill="D4E093" w:themeFill="accent1" w:themeFillTint="7F"/>
      </w:tcPr>
    </w:tblStylePr>
    <w:tblStylePr w:type="band1Horz">
      <w:tblPr/>
      <w:tcPr>
        <w:shd w:val="clear" w:color="auto" w:fill="D4E093" w:themeFill="accent1" w:themeFillTint="7F"/>
      </w:tcPr>
    </w:tblStylePr>
  </w:style>
  <w:style w:type="table" w:styleId="Keskminevarjustus2rhk2">
    <w:name w:val="Medium Shading 2 Accent 2"/>
    <w:basedOn w:val="Normaaltabel"/>
    <w:uiPriority w:val="64"/>
    <w:rsid w:val="00E47FA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D7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73F" w:themeFill="accent2"/>
      </w:tcPr>
    </w:tblStylePr>
    <w:tblStylePr w:type="lastCol">
      <w:rPr>
        <w:b/>
        <w:bCs/>
        <w:color w:val="FFFFFF" w:themeColor="background1"/>
      </w:rPr>
      <w:tblPr/>
      <w:tcPr>
        <w:tcBorders>
          <w:left w:val="nil"/>
          <w:right w:val="nil"/>
          <w:insideH w:val="nil"/>
          <w:insideV w:val="nil"/>
        </w:tcBorders>
        <w:shd w:val="clear" w:color="auto" w:fill="C4D7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E47FA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6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B633" w:themeFill="accent1"/>
      </w:tcPr>
    </w:tblStylePr>
    <w:tblStylePr w:type="lastCol">
      <w:rPr>
        <w:b/>
        <w:bCs/>
        <w:color w:val="FFFFFF" w:themeColor="background1"/>
      </w:rPr>
      <w:tblPr/>
      <w:tcPr>
        <w:tcBorders>
          <w:left w:val="nil"/>
          <w:right w:val="nil"/>
          <w:insideH w:val="nil"/>
          <w:insideV w:val="nil"/>
        </w:tcBorders>
        <w:shd w:val="clear" w:color="auto" w:fill="A1B6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is">
    <w:name w:val="header"/>
    <w:basedOn w:val="Normaallaad"/>
    <w:link w:val="PisMrk"/>
    <w:uiPriority w:val="99"/>
    <w:unhideWhenUsed/>
    <w:rsid w:val="00FF4F8F"/>
    <w:pPr>
      <w:tabs>
        <w:tab w:val="center" w:pos="4536"/>
        <w:tab w:val="right" w:pos="9072"/>
      </w:tabs>
      <w:spacing w:before="0" w:after="0" w:line="240" w:lineRule="auto"/>
    </w:pPr>
  </w:style>
  <w:style w:type="character" w:customStyle="1" w:styleId="PisMrk">
    <w:name w:val="Päis Märk"/>
    <w:basedOn w:val="Liguvaikefont"/>
    <w:link w:val="Pis"/>
    <w:uiPriority w:val="99"/>
    <w:rsid w:val="00FF4F8F"/>
    <w:rPr>
      <w:sz w:val="20"/>
      <w:szCs w:val="20"/>
    </w:rPr>
  </w:style>
  <w:style w:type="character" w:styleId="Klastatudhperlink">
    <w:name w:val="FollowedHyperlink"/>
    <w:basedOn w:val="Liguvaikefont"/>
    <w:uiPriority w:val="99"/>
    <w:semiHidden/>
    <w:unhideWhenUsed/>
    <w:rsid w:val="00AA55F5"/>
    <w:rPr>
      <w:color w:val="5EAE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7879">
      <w:bodyDiv w:val="1"/>
      <w:marLeft w:val="0"/>
      <w:marRight w:val="0"/>
      <w:marTop w:val="0"/>
      <w:marBottom w:val="0"/>
      <w:divBdr>
        <w:top w:val="none" w:sz="0" w:space="0" w:color="auto"/>
        <w:left w:val="none" w:sz="0" w:space="0" w:color="auto"/>
        <w:bottom w:val="none" w:sz="0" w:space="0" w:color="auto"/>
        <w:right w:val="none" w:sz="0" w:space="0" w:color="auto"/>
      </w:divBdr>
    </w:div>
    <w:div w:id="375282752">
      <w:bodyDiv w:val="1"/>
      <w:marLeft w:val="0"/>
      <w:marRight w:val="0"/>
      <w:marTop w:val="0"/>
      <w:marBottom w:val="0"/>
      <w:divBdr>
        <w:top w:val="none" w:sz="0" w:space="0" w:color="auto"/>
        <w:left w:val="none" w:sz="0" w:space="0" w:color="auto"/>
        <w:bottom w:val="none" w:sz="0" w:space="0" w:color="auto"/>
        <w:right w:val="none" w:sz="0" w:space="0" w:color="auto"/>
      </w:divBdr>
    </w:div>
    <w:div w:id="388573043">
      <w:bodyDiv w:val="1"/>
      <w:marLeft w:val="0"/>
      <w:marRight w:val="0"/>
      <w:marTop w:val="0"/>
      <w:marBottom w:val="0"/>
      <w:divBdr>
        <w:top w:val="none" w:sz="0" w:space="0" w:color="auto"/>
        <w:left w:val="none" w:sz="0" w:space="0" w:color="auto"/>
        <w:bottom w:val="none" w:sz="0" w:space="0" w:color="auto"/>
        <w:right w:val="none" w:sz="0" w:space="0" w:color="auto"/>
      </w:divBdr>
    </w:div>
    <w:div w:id="1158112395">
      <w:bodyDiv w:val="1"/>
      <w:marLeft w:val="0"/>
      <w:marRight w:val="0"/>
      <w:marTop w:val="0"/>
      <w:marBottom w:val="0"/>
      <w:divBdr>
        <w:top w:val="none" w:sz="0" w:space="0" w:color="auto"/>
        <w:left w:val="none" w:sz="0" w:space="0" w:color="auto"/>
        <w:bottom w:val="none" w:sz="0" w:space="0" w:color="auto"/>
        <w:right w:val="none" w:sz="0" w:space="0" w:color="auto"/>
      </w:divBdr>
    </w:div>
    <w:div w:id="1974095005">
      <w:bodyDiv w:val="1"/>
      <w:marLeft w:val="0"/>
      <w:marRight w:val="0"/>
      <w:marTop w:val="0"/>
      <w:marBottom w:val="0"/>
      <w:divBdr>
        <w:top w:val="none" w:sz="0" w:space="0" w:color="auto"/>
        <w:left w:val="none" w:sz="0" w:space="0" w:color="auto"/>
        <w:bottom w:val="none" w:sz="0" w:space="0" w:color="auto"/>
        <w:right w:val="none" w:sz="0" w:space="0" w:color="auto"/>
      </w:divBdr>
    </w:div>
    <w:div w:id="1979650695">
      <w:bodyDiv w:val="1"/>
      <w:marLeft w:val="0"/>
      <w:marRight w:val="0"/>
      <w:marTop w:val="0"/>
      <w:marBottom w:val="0"/>
      <w:divBdr>
        <w:top w:val="none" w:sz="0" w:space="0" w:color="auto"/>
        <w:left w:val="none" w:sz="0" w:space="0" w:color="auto"/>
        <w:bottom w:val="none" w:sz="0" w:space="0" w:color="auto"/>
        <w:right w:val="none" w:sz="0" w:space="0" w:color="auto"/>
      </w:divBdr>
    </w:div>
    <w:div w:id="2031561988">
      <w:bodyDiv w:val="1"/>
      <w:marLeft w:val="0"/>
      <w:marRight w:val="0"/>
      <w:marTop w:val="0"/>
      <w:marBottom w:val="0"/>
      <w:divBdr>
        <w:top w:val="none" w:sz="0" w:space="0" w:color="auto"/>
        <w:left w:val="none" w:sz="0" w:space="0" w:color="auto"/>
        <w:bottom w:val="none" w:sz="0" w:space="0" w:color="auto"/>
        <w:right w:val="none" w:sz="0" w:space="0" w:color="auto"/>
      </w:divBdr>
    </w:div>
    <w:div w:id="21168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iigiteataja.ee/akt/dyn=104042012005&amp;id=1053350" TargetMode="External"/><Relationship Id="rId26" Type="http://schemas.openxmlformats.org/officeDocument/2006/relationships/hyperlink" Target="http://eur-lex.europa.eu/LexUriServ/LexUriServ.do?uri=OJ:L:2007:229:0001:0085:ET:PDF" TargetMode="External"/><Relationship Id="rId3" Type="http://schemas.openxmlformats.org/officeDocument/2006/relationships/styles" Target="styles.xml"/><Relationship Id="rId21" Type="http://schemas.openxmlformats.org/officeDocument/2006/relationships/hyperlink" Target="https://www.riigiteataja.ee/akt/dyn=104042012005&amp;id=121072011016"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riigiteataja.ee/akt/109112011001" TargetMode="External"/><Relationship Id="rId25" Type="http://schemas.openxmlformats.org/officeDocument/2006/relationships/hyperlink" Target="http://www.iea.org/stats/unit.asp"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riigiteataja.ee/akt/109112011001" TargetMode="External"/><Relationship Id="rId29" Type="http://schemas.openxmlformats.org/officeDocument/2006/relationships/hyperlink" Target="http://ec.europa.eu/energy/publications/doc/2012_energy_figur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pi.responsiblecare.eu" TargetMode="External"/><Relationship Id="rId24" Type="http://schemas.openxmlformats.org/officeDocument/2006/relationships/hyperlink" Target="https://www.riigiteataja.ee/akt/dyn=104042012005&amp;id=11412201100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riigiteataja.ee/akt/109112011001" TargetMode="External"/><Relationship Id="rId28"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https://www.riigiteataja.ee/akt/10911201100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riigiteataja.ee/akt/12795899" TargetMode="External"/><Relationship Id="rId27" Type="http://schemas.openxmlformats.org/officeDocument/2006/relationships/hyperlink" Target="http://www.iea.org/stats/unit.asp" TargetMode="External"/><Relationship Id="rId30" Type="http://schemas.openxmlformats.org/officeDocument/2006/relationships/image" Target="media/image7.png"/></Relationships>
</file>

<file path=word/theme/theme1.xml><?xml version="1.0" encoding="utf-8"?>
<a:theme xmlns:a="http://schemas.openxmlformats.org/drawingml/2006/main" name="suvi">
  <a:themeElements>
    <a:clrScheme name="suvi">
      <a:dk1>
        <a:sysClr val="windowText" lastClr="000000"/>
      </a:dk1>
      <a:lt1>
        <a:sysClr val="window" lastClr="FFFFFF"/>
      </a:lt1>
      <a:dk2>
        <a:srgbClr val="E89117"/>
      </a:dk2>
      <a:lt2>
        <a:srgbClr val="FEDD78"/>
      </a:lt2>
      <a:accent1>
        <a:srgbClr val="A1B633"/>
      </a:accent1>
      <a:accent2>
        <a:srgbClr val="C4D73F"/>
      </a:accent2>
      <a:accent3>
        <a:srgbClr val="FFCE2D"/>
      </a:accent3>
      <a:accent4>
        <a:srgbClr val="FFA600"/>
      </a:accent4>
      <a:accent5>
        <a:srgbClr val="ED5E00"/>
      </a:accent5>
      <a:accent6>
        <a:srgbClr val="C62D03"/>
      </a:accent6>
      <a:hlink>
        <a:srgbClr val="408080"/>
      </a:hlink>
      <a:folHlink>
        <a:srgbClr val="5EAEAE"/>
      </a:folHlink>
    </a:clrScheme>
    <a:fontScheme name="suvi">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uvi">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7000"/>
                <a:shade val="80000"/>
                <a:hueMod val="110000"/>
                <a:satMod val="120000"/>
              </a:schemeClr>
            </a:gs>
            <a:gs pos="100000">
              <a:schemeClr val="phClr">
                <a:shade val="60000"/>
                <a:hueMod val="40000"/>
                <a:satMod val="120000"/>
                <a:lumMod val="103000"/>
              </a:schemeClr>
            </a:gs>
          </a:gsLst>
          <a:lin ang="5400000" scaled="1"/>
        </a:gradFill>
        <a:gradFill rotWithShape="1">
          <a:gsLst>
            <a:gs pos="0">
              <a:schemeClr val="phClr">
                <a:tint val="97000"/>
                <a:shade val="80000"/>
                <a:hueMod val="110000"/>
                <a:satMod val="130000"/>
                <a:lumMod val="100000"/>
              </a:schemeClr>
            </a:gs>
            <a:gs pos="100000">
              <a:schemeClr val="phClr">
                <a:shade val="60000"/>
                <a:hueMod val="40000"/>
                <a:satMod val="120000"/>
                <a:lumMod val="103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8073-802B-4CF7-AEC1-A1C27FCF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29</Pages>
  <Words>7699</Words>
  <Characters>44656</Characters>
  <Application>Microsoft Office Word</Application>
  <DocSecurity>0</DocSecurity>
  <Lines>372</Lines>
  <Paragraphs>104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Hoolime ja Vastutame aruandluse suunised</vt:lpstr>
      <vt:lpstr>Hoolime ja Vastutame aruandluse suunised</vt:lpstr>
    </vt:vector>
  </TitlesOfParts>
  <Company/>
  <LinksUpToDate>false</LinksUpToDate>
  <CharactersWithSpaces>52251</CharactersWithSpaces>
  <SharedDoc>false</SharedDoc>
  <HLinks>
    <vt:vector size="78" baseType="variant">
      <vt:variant>
        <vt:i4>5177410</vt:i4>
      </vt:variant>
      <vt:variant>
        <vt:i4>42</vt:i4>
      </vt:variant>
      <vt:variant>
        <vt:i4>0</vt:i4>
      </vt:variant>
      <vt:variant>
        <vt:i4>5</vt:i4>
      </vt:variant>
      <vt:variant>
        <vt:lpwstr>http://ec.europa.eu/energy/publications/doc/2012_energy_figures.pdf</vt:lpwstr>
      </vt:variant>
      <vt:variant>
        <vt:lpwstr/>
      </vt:variant>
      <vt:variant>
        <vt:i4>720914</vt:i4>
      </vt:variant>
      <vt:variant>
        <vt:i4>39</vt:i4>
      </vt:variant>
      <vt:variant>
        <vt:i4>0</vt:i4>
      </vt:variant>
      <vt:variant>
        <vt:i4>5</vt:i4>
      </vt:variant>
      <vt:variant>
        <vt:lpwstr>http://www.iea.org/stats/unit.asp</vt:lpwstr>
      </vt:variant>
      <vt:variant>
        <vt:lpwstr/>
      </vt:variant>
      <vt:variant>
        <vt:i4>4522012</vt:i4>
      </vt:variant>
      <vt:variant>
        <vt:i4>36</vt:i4>
      </vt:variant>
      <vt:variant>
        <vt:i4>0</vt:i4>
      </vt:variant>
      <vt:variant>
        <vt:i4>5</vt:i4>
      </vt:variant>
      <vt:variant>
        <vt:lpwstr>http://eur-lex.europa.eu/LexUriServ/LexUriServ.do?uri=OJ:L:2007:229:0001:0085:ET:PDF</vt:lpwstr>
      </vt:variant>
      <vt:variant>
        <vt:lpwstr/>
      </vt:variant>
      <vt:variant>
        <vt:i4>720914</vt:i4>
      </vt:variant>
      <vt:variant>
        <vt:i4>30</vt:i4>
      </vt:variant>
      <vt:variant>
        <vt:i4>0</vt:i4>
      </vt:variant>
      <vt:variant>
        <vt:i4>5</vt:i4>
      </vt:variant>
      <vt:variant>
        <vt:lpwstr>http://www.iea.org/stats/unit.asp</vt:lpwstr>
      </vt:variant>
      <vt:variant>
        <vt:lpwstr/>
      </vt:variant>
      <vt:variant>
        <vt:i4>4980826</vt:i4>
      </vt:variant>
      <vt:variant>
        <vt:i4>24</vt:i4>
      </vt:variant>
      <vt:variant>
        <vt:i4>0</vt:i4>
      </vt:variant>
      <vt:variant>
        <vt:i4>5</vt:i4>
      </vt:variant>
      <vt:variant>
        <vt:lpwstr>https://www.riigiteataja.ee/akt/dyn=104042012005&amp;id=114122011004</vt:lpwstr>
      </vt:variant>
      <vt:variant>
        <vt:lpwstr/>
      </vt:variant>
      <vt:variant>
        <vt:i4>6160415</vt:i4>
      </vt:variant>
      <vt:variant>
        <vt:i4>21</vt:i4>
      </vt:variant>
      <vt:variant>
        <vt:i4>0</vt:i4>
      </vt:variant>
      <vt:variant>
        <vt:i4>5</vt:i4>
      </vt:variant>
      <vt:variant>
        <vt:lpwstr>https://www.riigiteataja.ee/akt/109112011001</vt:lpwstr>
      </vt:variant>
      <vt:variant>
        <vt:lpwstr/>
      </vt:variant>
      <vt:variant>
        <vt:i4>5701661</vt:i4>
      </vt:variant>
      <vt:variant>
        <vt:i4>18</vt:i4>
      </vt:variant>
      <vt:variant>
        <vt:i4>0</vt:i4>
      </vt:variant>
      <vt:variant>
        <vt:i4>5</vt:i4>
      </vt:variant>
      <vt:variant>
        <vt:lpwstr>https://www.riigiteataja.ee/akt/12795899</vt:lpwstr>
      </vt:variant>
      <vt:variant>
        <vt:lpwstr/>
      </vt:variant>
      <vt:variant>
        <vt:i4>4980827</vt:i4>
      </vt:variant>
      <vt:variant>
        <vt:i4>15</vt:i4>
      </vt:variant>
      <vt:variant>
        <vt:i4>0</vt:i4>
      </vt:variant>
      <vt:variant>
        <vt:i4>5</vt:i4>
      </vt:variant>
      <vt:variant>
        <vt:lpwstr>https://www.riigiteataja.ee/akt/dyn=104042012005&amp;id=121072011016</vt:lpwstr>
      </vt:variant>
      <vt:variant>
        <vt:lpwstr/>
      </vt:variant>
      <vt:variant>
        <vt:i4>6160415</vt:i4>
      </vt:variant>
      <vt:variant>
        <vt:i4>12</vt:i4>
      </vt:variant>
      <vt:variant>
        <vt:i4>0</vt:i4>
      </vt:variant>
      <vt:variant>
        <vt:i4>5</vt:i4>
      </vt:variant>
      <vt:variant>
        <vt:lpwstr>https://www.riigiteataja.ee/akt/109112011001</vt:lpwstr>
      </vt:variant>
      <vt:variant>
        <vt:lpwstr/>
      </vt:variant>
      <vt:variant>
        <vt:i4>6160415</vt:i4>
      </vt:variant>
      <vt:variant>
        <vt:i4>9</vt:i4>
      </vt:variant>
      <vt:variant>
        <vt:i4>0</vt:i4>
      </vt:variant>
      <vt:variant>
        <vt:i4>5</vt:i4>
      </vt:variant>
      <vt:variant>
        <vt:lpwstr>https://www.riigiteataja.ee/akt/109112011001</vt:lpwstr>
      </vt:variant>
      <vt:variant>
        <vt:lpwstr/>
      </vt:variant>
      <vt:variant>
        <vt:i4>8192107</vt:i4>
      </vt:variant>
      <vt:variant>
        <vt:i4>6</vt:i4>
      </vt:variant>
      <vt:variant>
        <vt:i4>0</vt:i4>
      </vt:variant>
      <vt:variant>
        <vt:i4>5</vt:i4>
      </vt:variant>
      <vt:variant>
        <vt:lpwstr>https://www.riigiteataja.ee/akt/dyn=104042012005&amp;id=1053350</vt:lpwstr>
      </vt:variant>
      <vt:variant>
        <vt:lpwstr/>
      </vt:variant>
      <vt:variant>
        <vt:i4>6160415</vt:i4>
      </vt:variant>
      <vt:variant>
        <vt:i4>3</vt:i4>
      </vt:variant>
      <vt:variant>
        <vt:i4>0</vt:i4>
      </vt:variant>
      <vt:variant>
        <vt:i4>5</vt:i4>
      </vt:variant>
      <vt:variant>
        <vt:lpwstr>https://www.riigiteataja.ee/akt/109112011001</vt:lpwstr>
      </vt:variant>
      <vt:variant>
        <vt:lpwstr/>
      </vt:variant>
      <vt:variant>
        <vt:i4>8192099</vt:i4>
      </vt:variant>
      <vt:variant>
        <vt:i4>0</vt:i4>
      </vt:variant>
      <vt:variant>
        <vt:i4>0</vt:i4>
      </vt:variant>
      <vt:variant>
        <vt:i4>5</vt:i4>
      </vt:variant>
      <vt:variant>
        <vt:lpwstr>http://kpi.responsiblecare.eu/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Hoolime ja Vastutame aruandluse suunised</dc:title>
  <dc:subject>Eesti Keemiatööstuse Liidu H&amp;V programmi juhenddokument</dc:subject>
  <dc:creator>Debbie Holland</dc:creator>
  <cp:lastModifiedBy>Kärt</cp:lastModifiedBy>
  <cp:revision>11</cp:revision>
  <cp:lastPrinted>2006-03-07T12:51:00Z</cp:lastPrinted>
  <dcterms:created xsi:type="dcterms:W3CDTF">2013-05-08T12:09:00Z</dcterms:created>
  <dcterms:modified xsi:type="dcterms:W3CDTF">2014-08-15T10:42:00Z</dcterms:modified>
</cp:coreProperties>
</file>