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5969" w14:textId="5CE986B8" w:rsidR="00AA06C9" w:rsidRPr="00AA06C9" w:rsidRDefault="00AA06C9">
      <w:pPr>
        <w:rPr>
          <w:b/>
          <w:bCs/>
          <w:u w:val="single"/>
        </w:rPr>
      </w:pPr>
      <w:bookmarkStart w:id="0" w:name="_GoBack"/>
      <w:bookmarkEnd w:id="0"/>
      <w:r w:rsidRPr="00AA06C9">
        <w:rPr>
          <w:b/>
          <w:bCs/>
          <w:u w:val="single"/>
        </w:rPr>
        <w:t>KPMG uuring „Põlevkiviõli väärtusahela loodav Eesti rahvuslik rikkus“</w:t>
      </w:r>
    </w:p>
    <w:p w14:paraId="726C6323" w14:textId="20ED167B" w:rsidR="00B742B7" w:rsidRDefault="00AA06C9">
      <w:r w:rsidRPr="00AA06C9">
        <w:t xml:space="preserve">Eesti Keemiatööstuse Liidu poolt </w:t>
      </w:r>
      <w:r w:rsidR="006C31BE" w:rsidRPr="00AA06C9">
        <w:t>KPMG</w:t>
      </w:r>
      <w:r w:rsidR="0078181E">
        <w:t xml:space="preserve"> Baltics-</w:t>
      </w:r>
      <w:proofErr w:type="spellStart"/>
      <w:r w:rsidR="0078181E">
        <w:t>lt</w:t>
      </w:r>
      <w:proofErr w:type="spellEnd"/>
      <w:r w:rsidR="0078181E">
        <w:t xml:space="preserve"> </w:t>
      </w:r>
      <w:r w:rsidRPr="00AA06C9">
        <w:t>tellitud</w:t>
      </w:r>
      <w:r w:rsidR="006C31BE" w:rsidRPr="00AA06C9">
        <w:t xml:space="preserve"> uuring</w:t>
      </w:r>
      <w:r w:rsidR="009A0950" w:rsidRPr="00AA06C9">
        <w:t xml:space="preserve">u </w:t>
      </w:r>
      <w:r w:rsidR="006C31BE" w:rsidRPr="00AA06C9">
        <w:t>„Põlevkiviõli väärtusahela loodav Eesti</w:t>
      </w:r>
      <w:r w:rsidR="006C31BE">
        <w:t xml:space="preserve"> rahvuslik rikkus“ </w:t>
      </w:r>
      <w:r w:rsidR="009A0950">
        <w:t>raames läbi viidud analüüs näitas, et peri</w:t>
      </w:r>
      <w:r w:rsidR="00104DB0">
        <w:t xml:space="preserve">oodil 2020-2040 luuakse </w:t>
      </w:r>
      <w:r w:rsidR="009A0950">
        <w:t xml:space="preserve">põlevkiviõli väärtusahelas Eesti ühiskonnale </w:t>
      </w:r>
      <w:r w:rsidR="00104DB0" w:rsidRPr="009A0950">
        <w:rPr>
          <w:b/>
          <w:bCs/>
        </w:rPr>
        <w:t>üle 8,2 miljardi € väärtuses rahvuslikku rikkust</w:t>
      </w:r>
      <w:r w:rsidR="00104DB0">
        <w:t>.</w:t>
      </w:r>
      <w:r w:rsidR="009A0950">
        <w:t xml:space="preserve"> Selles analüüsis ei arvestata väärtust, mis tekib </w:t>
      </w:r>
      <w:r w:rsidR="00B742B7">
        <w:t>põlevkivi otsepõletusel elektri tootmiseks</w:t>
      </w:r>
      <w:r w:rsidR="009A0950">
        <w:t xml:space="preserve"> – sellega koos oleks väärtus veel oluliselt suurem. </w:t>
      </w:r>
    </w:p>
    <w:p w14:paraId="78590F14" w14:textId="699BEA93" w:rsidR="00144363" w:rsidRPr="00506B6D" w:rsidRDefault="00506B6D">
      <w:pPr>
        <w:rPr>
          <w:color w:val="FF0000"/>
        </w:rPr>
      </w:pPr>
      <w:r w:rsidRPr="00104DB0">
        <w:rPr>
          <w:noProof/>
        </w:rPr>
        <w:drawing>
          <wp:anchor distT="0" distB="0" distL="114300" distR="114300" simplePos="0" relativeHeight="251658240" behindDoc="0" locked="0" layoutInCell="1" allowOverlap="1" wp14:anchorId="1BEED517" wp14:editId="1611BB51">
            <wp:simplePos x="0" y="0"/>
            <wp:positionH relativeFrom="margin">
              <wp:posOffset>0</wp:posOffset>
            </wp:positionH>
            <wp:positionV relativeFrom="paragraph">
              <wp:posOffset>464185</wp:posOffset>
            </wp:positionV>
            <wp:extent cx="5071110" cy="3524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950">
        <w:t xml:space="preserve">Loodavast rikkusest </w:t>
      </w:r>
      <w:r w:rsidRPr="00506B6D">
        <w:t>jääb 92% koostööpartneritele, avalikule sektorile</w:t>
      </w:r>
      <w:r w:rsidR="00AA06C9">
        <w:t xml:space="preserve"> ja</w:t>
      </w:r>
      <w:r w:rsidRPr="00506B6D">
        <w:t xml:space="preserve"> töötajatele ning </w:t>
      </w:r>
      <w:r w:rsidR="009A0950">
        <w:t>vaid 8% põlevkiviõli tootvate ettevõtete aktsionäridele ja finantseerijatele</w:t>
      </w:r>
      <w:r>
        <w:t xml:space="preserve">. </w:t>
      </w:r>
      <w:r w:rsidR="009A0950">
        <w:t xml:space="preserve"> </w:t>
      </w:r>
    </w:p>
    <w:p w14:paraId="4A8DB969" w14:textId="2C338689" w:rsidR="009A0950" w:rsidRDefault="009A0950">
      <w:r>
        <w:t>Avalikule sektorile loodav väärtus</w:t>
      </w:r>
      <w:r w:rsidR="00144363">
        <w:t xml:space="preserve"> sisaldab ka tulusid CO</w:t>
      </w:r>
      <w:r w:rsidR="00144363" w:rsidRPr="00554F0B">
        <w:rPr>
          <w:vertAlign w:val="subscript"/>
        </w:rPr>
        <w:t>2</w:t>
      </w:r>
      <w:r w:rsidR="00144363">
        <w:t xml:space="preserve"> kvooditasudest:</w:t>
      </w:r>
    </w:p>
    <w:p w14:paraId="5B841E9A" w14:textId="7696E52A" w:rsidR="00144363" w:rsidRDefault="00144363">
      <w:r w:rsidRPr="00B742B7">
        <w:rPr>
          <w:noProof/>
        </w:rPr>
        <w:drawing>
          <wp:anchor distT="0" distB="0" distL="114300" distR="114300" simplePos="0" relativeHeight="251659264" behindDoc="1" locked="0" layoutInCell="1" allowOverlap="1" wp14:anchorId="15E279B1" wp14:editId="7F9F39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2991485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66DEA" w14:textId="74E3F113" w:rsidR="00144363" w:rsidRDefault="00144363">
      <w:r>
        <w:lastRenderedPageBreak/>
        <w:t xml:space="preserve">Planeeritava </w:t>
      </w:r>
      <w:r w:rsidR="00104DB0">
        <w:t xml:space="preserve">EL-i heitekoguste kauplemise süsteemi (HKS) karmistamise tagajärjel võib Eesti ühiskond kaotada </w:t>
      </w:r>
      <w:r>
        <w:t xml:space="preserve">1,3 - </w:t>
      </w:r>
      <w:r w:rsidR="00104DB0" w:rsidRPr="00144363">
        <w:rPr>
          <w:b/>
          <w:bCs/>
        </w:rPr>
        <w:t xml:space="preserve">4,5 miljardi </w:t>
      </w:r>
      <w:r w:rsidRPr="00144363">
        <w:rPr>
          <w:b/>
          <w:bCs/>
        </w:rPr>
        <w:t>eurot</w:t>
      </w:r>
      <w:r>
        <w:t xml:space="preserve">. Süsteemi karmistamine võib </w:t>
      </w:r>
      <w:r w:rsidR="00AA06C9">
        <w:t xml:space="preserve">kõige pessimistlikuma stsenaariumi põhjal </w:t>
      </w:r>
      <w:r>
        <w:t>lisaks viia selleni, et 2031. aastast ei ole põlevkiviõli väärtusahela ettevõtetel enam majanduslikult otstarbekas tegutseda.</w:t>
      </w:r>
    </w:p>
    <w:p w14:paraId="67633615" w14:textId="7541937C" w:rsidR="00104DB0" w:rsidRDefault="009F21D1">
      <w:r>
        <w:t>Võrdluseks õ</w:t>
      </w:r>
      <w:r w:rsidR="00144363">
        <w:t xml:space="preserve">iglase ülemineku fondi raames on Eestile ette nähtud kokku 340 miljonit eurot. </w:t>
      </w:r>
    </w:p>
    <w:p w14:paraId="1838A04E" w14:textId="05E220AE" w:rsidR="00B742B7" w:rsidRDefault="00144363">
      <w:r>
        <w:t xml:space="preserve">Põlevkiviõli </w:t>
      </w:r>
      <w:r w:rsidR="00104DB0">
        <w:t xml:space="preserve">väärtusahel </w:t>
      </w:r>
      <w:r>
        <w:t xml:space="preserve">on </w:t>
      </w:r>
      <w:r w:rsidR="00104DB0">
        <w:t>oluline tööandja</w:t>
      </w:r>
      <w:r w:rsidR="00AA06C9">
        <w:t>,</w:t>
      </w:r>
      <w:r w:rsidR="00104DB0">
        <w:t xml:space="preserve"> pakkudes otsest tööd ligikaudu 3 000 inimesele, kes prognooside kohaselt teenivad perioodil 2020-2040 kokku töötasuna ligikaudu 1,1 miljardit €.</w:t>
      </w:r>
    </w:p>
    <w:p w14:paraId="47FB89F2" w14:textId="3C310B40" w:rsidR="00B742B7" w:rsidRDefault="00B742B7">
      <w:r>
        <w:t>Põlevkiviõli väärtusahela poolt loodud rahvuslik rikkus õhku paisatud CO</w:t>
      </w:r>
      <w:r w:rsidRPr="009F21D1">
        <w:rPr>
          <w:vertAlign w:val="subscript"/>
        </w:rPr>
        <w:t xml:space="preserve">2 </w:t>
      </w:r>
      <w:r>
        <w:t>tonni kohta perioodil 2020 – 2040 on keskmiselt ligi 2,7 korda suurem kui sama perioodi peale prognoositud CO</w:t>
      </w:r>
      <w:r w:rsidRPr="009F21D1">
        <w:rPr>
          <w:vertAlign w:val="subscript"/>
        </w:rPr>
        <w:t xml:space="preserve">2 </w:t>
      </w:r>
      <w:r>
        <w:t>kvootide turuväärtus.</w:t>
      </w:r>
    </w:p>
    <w:p w14:paraId="5FEA620B" w14:textId="0688FF87" w:rsidR="00B742B7" w:rsidRDefault="00B742B7">
      <w:r>
        <w:t>Põlevkiviõli sektori poolt loodud rahvuslik rikkus põlevkiviõli tonni kohta perioodil 2020-2040 on 292 €. Arvestades, et analüüsi perioodi prognoositav keskmine 1% kütteõli hind on 310 €, siis üle 90% põlevkiviõli väärtusest loob täiendavat rikkust Eesti riigi</w:t>
      </w:r>
      <w:r w:rsidR="00506B6D">
        <w:t>le</w:t>
      </w:r>
      <w:r>
        <w:t xml:space="preserve"> ja ühiskonnale.</w:t>
      </w:r>
    </w:p>
    <w:p w14:paraId="25BAF5D4" w14:textId="77777777" w:rsidR="00506B6D" w:rsidRDefault="00506B6D" w:rsidP="00DB6661">
      <w:pPr>
        <w:spacing w:line="252" w:lineRule="auto"/>
      </w:pPr>
    </w:p>
    <w:p w14:paraId="10D273C6" w14:textId="466EDA56" w:rsidR="00DB6661" w:rsidRPr="009F21D1" w:rsidRDefault="00DB6661" w:rsidP="00DB6661">
      <w:pPr>
        <w:spacing w:line="252" w:lineRule="auto"/>
        <w:rPr>
          <w:u w:val="single"/>
        </w:rPr>
      </w:pPr>
      <w:r w:rsidRPr="009F21D1">
        <w:rPr>
          <w:u w:val="single"/>
        </w:rPr>
        <w:t xml:space="preserve">Põlevkivisektor numbrites, 2019: </w:t>
      </w:r>
    </w:p>
    <w:p w14:paraId="74B02B7F" w14:textId="77777777" w:rsidR="00DB6661" w:rsidRPr="00082EF3" w:rsidRDefault="00DB6661" w:rsidP="00082EF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082EF3">
        <w:rPr>
          <w:rFonts w:eastAsia="Times New Roman"/>
        </w:rPr>
        <w:t xml:space="preserve">121 miljonit eurot tulud riigikassasse </w:t>
      </w:r>
    </w:p>
    <w:p w14:paraId="2581ACA9" w14:textId="6EE6626E" w:rsidR="00DB6661" w:rsidRPr="00082EF3" w:rsidRDefault="00DB6661" w:rsidP="00082EF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082EF3">
        <w:rPr>
          <w:rFonts w:eastAsia="Times New Roman"/>
        </w:rPr>
        <w:t xml:space="preserve">725 miljonit </w:t>
      </w:r>
      <w:r w:rsidR="00AA06C9" w:rsidRPr="00082EF3">
        <w:rPr>
          <w:rFonts w:eastAsia="Times New Roman"/>
        </w:rPr>
        <w:t xml:space="preserve">eurot </w:t>
      </w:r>
      <w:r w:rsidRPr="00082EF3">
        <w:rPr>
          <w:rFonts w:eastAsia="Times New Roman"/>
        </w:rPr>
        <w:t xml:space="preserve">müügitulu </w:t>
      </w:r>
    </w:p>
    <w:p w14:paraId="7AC99D3E" w14:textId="175B0083" w:rsidR="00DB6661" w:rsidRPr="00082EF3" w:rsidRDefault="00DB6661" w:rsidP="00082EF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082EF3">
        <w:rPr>
          <w:rFonts w:eastAsia="Times New Roman"/>
        </w:rPr>
        <w:t>6</w:t>
      </w:r>
      <w:r w:rsidR="00AA06C9" w:rsidRPr="00082EF3">
        <w:rPr>
          <w:rFonts w:eastAsia="Times New Roman"/>
        </w:rPr>
        <w:t xml:space="preserve"> </w:t>
      </w:r>
      <w:r w:rsidRPr="00082EF3">
        <w:rPr>
          <w:rFonts w:eastAsia="Times New Roman"/>
        </w:rPr>
        <w:t>530 otsest töökohta (sektor tervikuna, õlitootmine – ca  3 000 töökohta)</w:t>
      </w:r>
    </w:p>
    <w:p w14:paraId="23A2492A" w14:textId="192F6075" w:rsidR="00DB6661" w:rsidRPr="00082EF3" w:rsidRDefault="00DB6661" w:rsidP="00082EF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082EF3">
        <w:rPr>
          <w:rFonts w:eastAsia="Times New Roman"/>
        </w:rPr>
        <w:t>1</w:t>
      </w:r>
      <w:r w:rsidR="00AA06C9" w:rsidRPr="00082EF3">
        <w:rPr>
          <w:rFonts w:eastAsia="Times New Roman"/>
        </w:rPr>
        <w:t xml:space="preserve"> </w:t>
      </w:r>
      <w:r w:rsidRPr="00082EF3">
        <w:rPr>
          <w:rFonts w:eastAsia="Times New Roman"/>
        </w:rPr>
        <w:t xml:space="preserve">663 eurot keskmine kuupalk </w:t>
      </w:r>
    </w:p>
    <w:p w14:paraId="23DD8AA1" w14:textId="53A6630C" w:rsidR="00DB6661" w:rsidRPr="00082EF3" w:rsidRDefault="00DB6661" w:rsidP="00082EF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082EF3">
        <w:rPr>
          <w:rFonts w:eastAsia="Times New Roman"/>
        </w:rPr>
        <w:t xml:space="preserve">70+ miljonit eurot </w:t>
      </w:r>
      <w:r w:rsidR="00AA06C9" w:rsidRPr="00082EF3">
        <w:rPr>
          <w:rFonts w:eastAsia="Times New Roman"/>
        </w:rPr>
        <w:t xml:space="preserve">koguinvesteeringuid </w:t>
      </w:r>
      <w:r w:rsidRPr="00082EF3">
        <w:rPr>
          <w:rFonts w:eastAsia="Times New Roman"/>
        </w:rPr>
        <w:t xml:space="preserve"> </w:t>
      </w:r>
    </w:p>
    <w:p w14:paraId="051C0913" w14:textId="0BBF5E5A" w:rsidR="00DB6661" w:rsidRPr="00082EF3" w:rsidRDefault="00DB6661" w:rsidP="00082EF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082EF3">
        <w:rPr>
          <w:rFonts w:eastAsia="Times New Roman"/>
        </w:rPr>
        <w:t xml:space="preserve">21 miljonit eurot </w:t>
      </w:r>
      <w:r w:rsidR="00506B6D" w:rsidRPr="00082EF3">
        <w:rPr>
          <w:rFonts w:eastAsia="Times New Roman"/>
        </w:rPr>
        <w:t xml:space="preserve">keskkonna </w:t>
      </w:r>
      <w:r w:rsidRPr="00082EF3">
        <w:rPr>
          <w:rFonts w:eastAsia="Times New Roman"/>
        </w:rPr>
        <w:t xml:space="preserve">investeeringuid </w:t>
      </w:r>
    </w:p>
    <w:p w14:paraId="1F94D56D" w14:textId="2C153CB9" w:rsidR="00DB6661" w:rsidRPr="00082EF3" w:rsidRDefault="00DB6661" w:rsidP="00082EF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082EF3">
        <w:rPr>
          <w:rFonts w:eastAsia="Times New Roman"/>
        </w:rPr>
        <w:t>63</w:t>
      </w:r>
      <w:r w:rsidR="00AA06C9" w:rsidRPr="00082EF3">
        <w:rPr>
          <w:rFonts w:eastAsia="Times New Roman"/>
        </w:rPr>
        <w:t xml:space="preserve"> 000 </w:t>
      </w:r>
      <w:r w:rsidRPr="00082EF3">
        <w:rPr>
          <w:rFonts w:eastAsia="Times New Roman"/>
        </w:rPr>
        <w:t xml:space="preserve">eurot stipendiumid </w:t>
      </w:r>
    </w:p>
    <w:p w14:paraId="338DF9A3" w14:textId="77777777" w:rsidR="00B742B7" w:rsidRDefault="00B742B7"/>
    <w:p w14:paraId="287F4299" w14:textId="15C0670E" w:rsidR="00104DB0" w:rsidRDefault="00104DB0">
      <w:r>
        <w:t xml:space="preserve"> </w:t>
      </w:r>
    </w:p>
    <w:p w14:paraId="07F7A6EF" w14:textId="1CD7731B" w:rsidR="00B742B7" w:rsidRDefault="00B742B7"/>
    <w:p w14:paraId="3FBB721A" w14:textId="6015F4D3" w:rsidR="00104DB0" w:rsidRDefault="00104DB0"/>
    <w:p w14:paraId="658C2B31" w14:textId="77777777" w:rsidR="00104DB0" w:rsidRDefault="00104DB0"/>
    <w:sectPr w:rsidR="0010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71603"/>
    <w:multiLevelType w:val="hybridMultilevel"/>
    <w:tmpl w:val="93583B2E"/>
    <w:lvl w:ilvl="0" w:tplc="ED68318E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A6666"/>
    <w:multiLevelType w:val="hybridMultilevel"/>
    <w:tmpl w:val="35D0F7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B0"/>
    <w:rsid w:val="00082EF3"/>
    <w:rsid w:val="00104DB0"/>
    <w:rsid w:val="00144363"/>
    <w:rsid w:val="001E665E"/>
    <w:rsid w:val="00506B6D"/>
    <w:rsid w:val="00554F0B"/>
    <w:rsid w:val="006C31BE"/>
    <w:rsid w:val="0078181E"/>
    <w:rsid w:val="00782DC0"/>
    <w:rsid w:val="009A0950"/>
    <w:rsid w:val="009B2844"/>
    <w:rsid w:val="009F21D1"/>
    <w:rsid w:val="00AA06C9"/>
    <w:rsid w:val="00B742B7"/>
    <w:rsid w:val="00D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476"/>
  <w15:chartTrackingRefBased/>
  <w15:docId w15:val="{B29103CE-8E3B-4340-9F24-B7332B0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61"/>
    <w:pPr>
      <w:spacing w:after="0" w:line="240" w:lineRule="auto"/>
      <w:ind w:left="720"/>
      <w:contextualSpacing/>
    </w:pPr>
    <w:rPr>
      <w:rFonts w:ascii="Calibri" w:hAnsi="Calibri" w:cs="Calibri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320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Irina.Bojenko</cp:lastModifiedBy>
  <cp:revision>10</cp:revision>
  <dcterms:created xsi:type="dcterms:W3CDTF">2020-11-29T10:14:00Z</dcterms:created>
  <dcterms:modified xsi:type="dcterms:W3CDTF">2020-12-01T14:25:00Z</dcterms:modified>
</cp:coreProperties>
</file>