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787B" w14:textId="77777777" w:rsidR="00AE3DF5" w:rsidRPr="009B37C7" w:rsidRDefault="00AE3DF5" w:rsidP="00AE3DF5">
      <w:pPr>
        <w:outlineLvl w:val="0"/>
        <w:rPr>
          <w:rFonts w:cs="Arial"/>
          <w:color w:val="000000"/>
          <w:szCs w:val="20"/>
          <w:lang w:val="ru-RU"/>
        </w:rPr>
      </w:pPr>
      <w:r w:rsidRPr="009B37C7">
        <w:rPr>
          <w:rFonts w:cs="Arial"/>
          <w:color w:val="000000"/>
          <w:szCs w:val="20"/>
          <w:lang w:val="ru-RU"/>
        </w:rPr>
        <w:t>Viru Keemia Grupp</w:t>
      </w:r>
    </w:p>
    <w:p w14:paraId="7E6BEA7C" w14:textId="77777777" w:rsidR="00AE3DF5" w:rsidRPr="009B37C7" w:rsidRDefault="00AE3DF5" w:rsidP="00AE3DF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0"/>
          <w:lang w:val="ru-RU"/>
        </w:rPr>
      </w:pPr>
      <w:r w:rsidRPr="009B37C7">
        <w:rPr>
          <w:rFonts w:ascii="Arial" w:hAnsi="Arial" w:cs="Arial"/>
          <w:color w:val="000000"/>
          <w:sz w:val="22"/>
          <w:szCs w:val="20"/>
          <w:lang w:val="ru-RU"/>
        </w:rPr>
        <w:t>ПРЕСС-РЕЛИЗ</w:t>
      </w:r>
    </w:p>
    <w:p w14:paraId="0D0F9528" w14:textId="18A361C1" w:rsidR="00AE3DF5" w:rsidRPr="00435958" w:rsidRDefault="0001282F" w:rsidP="00AE3DF5">
      <w:pPr>
        <w:shd w:val="clear" w:color="auto" w:fill="FFFFFF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26</w:t>
      </w:r>
      <w:r w:rsidR="00AE3DF5" w:rsidRPr="009B37C7">
        <w:rPr>
          <w:rFonts w:cs="Arial"/>
          <w:color w:val="000000"/>
          <w:szCs w:val="20"/>
          <w:lang w:val="ru-RU"/>
        </w:rPr>
        <w:t xml:space="preserve"> </w:t>
      </w:r>
      <w:r>
        <w:rPr>
          <w:rFonts w:cs="Arial"/>
          <w:color w:val="000000"/>
          <w:szCs w:val="20"/>
          <w:lang w:val="ru-RU"/>
        </w:rPr>
        <w:t>января</w:t>
      </w:r>
      <w:r w:rsidR="00AE3DF5">
        <w:rPr>
          <w:rFonts w:cs="Arial"/>
          <w:color w:val="000000"/>
          <w:szCs w:val="20"/>
        </w:rPr>
        <w:t xml:space="preserve"> </w:t>
      </w:r>
      <w:r w:rsidR="00AE3DF5" w:rsidRPr="009B37C7">
        <w:rPr>
          <w:rFonts w:cs="Arial"/>
          <w:color w:val="000000"/>
          <w:szCs w:val="20"/>
          <w:lang w:val="ru-RU"/>
        </w:rPr>
        <w:t>20</w:t>
      </w:r>
      <w:r w:rsidR="00AE3DF5">
        <w:rPr>
          <w:rFonts w:cs="Arial"/>
          <w:color w:val="000000"/>
          <w:szCs w:val="20"/>
          <w:lang w:val="ru-RU"/>
        </w:rPr>
        <w:t>2</w:t>
      </w:r>
      <w:r>
        <w:rPr>
          <w:rFonts w:cs="Arial"/>
          <w:color w:val="000000"/>
          <w:szCs w:val="20"/>
        </w:rPr>
        <w:t>2</w:t>
      </w:r>
    </w:p>
    <w:p w14:paraId="29D9C79F" w14:textId="77777777" w:rsidR="00AE3DF5" w:rsidRDefault="00AE3DF5" w:rsidP="00AE3DF5">
      <w:pPr>
        <w:shd w:val="clear" w:color="auto" w:fill="FFFFFF"/>
        <w:rPr>
          <w:rFonts w:cs="Arial"/>
          <w:color w:val="000000"/>
          <w:szCs w:val="20"/>
        </w:rPr>
      </w:pPr>
    </w:p>
    <w:p w14:paraId="22CBD90F" w14:textId="77777777" w:rsidR="00AE3DF5" w:rsidRPr="00240845" w:rsidRDefault="00AE3DF5" w:rsidP="00AE3DF5">
      <w:pPr>
        <w:shd w:val="clear" w:color="auto" w:fill="FFFFFF"/>
        <w:rPr>
          <w:rFonts w:cs="Arial"/>
          <w:color w:val="000000"/>
          <w:szCs w:val="20"/>
        </w:rPr>
      </w:pPr>
    </w:p>
    <w:p w14:paraId="10CF813F" w14:textId="77777777" w:rsidR="00AE3DF5" w:rsidRDefault="00AE3DF5" w:rsidP="00AE3DF5">
      <w:pPr>
        <w:rPr>
          <w:lang w:val="ru-RU"/>
        </w:rPr>
      </w:pPr>
    </w:p>
    <w:p w14:paraId="081C8F2B" w14:textId="58B7440A" w:rsidR="0001282F" w:rsidRDefault="0001282F" w:rsidP="0001282F">
      <w:pPr>
        <w:spacing w:after="120"/>
        <w:jc w:val="left"/>
        <w:rPr>
          <w:b/>
          <w:u w:val="single"/>
          <w:lang w:val="ru-RU"/>
        </w:rPr>
      </w:pPr>
      <w:r w:rsidRPr="0001282F">
        <w:rPr>
          <w:b/>
          <w:u w:val="single"/>
          <w:lang w:val="ru-RU"/>
        </w:rPr>
        <w:t xml:space="preserve">Viru Keemia Grupp и </w:t>
      </w:r>
      <w:proofErr w:type="spellStart"/>
      <w:r w:rsidRPr="0001282F">
        <w:rPr>
          <w:b/>
          <w:u w:val="single"/>
          <w:lang w:val="ru-RU"/>
        </w:rPr>
        <w:t>Kiviõli</w:t>
      </w:r>
      <w:proofErr w:type="spellEnd"/>
      <w:r w:rsidRPr="0001282F">
        <w:rPr>
          <w:b/>
          <w:u w:val="single"/>
          <w:lang w:val="ru-RU"/>
        </w:rPr>
        <w:t xml:space="preserve"> </w:t>
      </w:r>
      <w:proofErr w:type="spellStart"/>
      <w:r w:rsidRPr="0001282F">
        <w:rPr>
          <w:b/>
          <w:u w:val="single"/>
          <w:lang w:val="ru-RU"/>
        </w:rPr>
        <w:t>Keemiatööstus</w:t>
      </w:r>
      <w:proofErr w:type="spellEnd"/>
      <w:r w:rsidRPr="0001282F">
        <w:rPr>
          <w:b/>
          <w:u w:val="single"/>
          <w:lang w:val="ru-RU"/>
        </w:rPr>
        <w:t xml:space="preserve"> превратят пластиковые отходы в масло и газ</w:t>
      </w:r>
    </w:p>
    <w:p w14:paraId="09BA1B6A" w14:textId="77777777" w:rsidR="0001282F" w:rsidRPr="0001282F" w:rsidRDefault="0001282F" w:rsidP="0001282F">
      <w:pPr>
        <w:spacing w:after="120"/>
        <w:jc w:val="left"/>
        <w:rPr>
          <w:b/>
          <w:u w:val="single"/>
          <w:lang w:val="ru-RU"/>
        </w:rPr>
      </w:pPr>
    </w:p>
    <w:p w14:paraId="4AAD207D" w14:textId="77777777" w:rsidR="0001282F" w:rsidRPr="004A4188" w:rsidRDefault="0001282F" w:rsidP="0001282F">
      <w:pPr>
        <w:spacing w:after="120"/>
        <w:jc w:val="left"/>
        <w:rPr>
          <w:lang w:val="ru-RU"/>
        </w:rPr>
      </w:pPr>
      <w:r>
        <w:rPr>
          <w:lang w:val="ru-RU"/>
        </w:rPr>
        <w:t>П</w:t>
      </w:r>
      <w:r w:rsidRPr="004A4188">
        <w:rPr>
          <w:lang w:val="ru-RU"/>
        </w:rPr>
        <w:t xml:space="preserve">редприятия Viru Keemia Grupp и </w:t>
      </w:r>
      <w:proofErr w:type="spellStart"/>
      <w:r w:rsidRPr="004A4188">
        <w:rPr>
          <w:lang w:val="ru-RU"/>
        </w:rPr>
        <w:t>Kiviõli</w:t>
      </w:r>
      <w:proofErr w:type="spellEnd"/>
      <w:r w:rsidRPr="004A4188">
        <w:rPr>
          <w:lang w:val="ru-RU"/>
        </w:rPr>
        <w:t xml:space="preserve"> </w:t>
      </w:r>
      <w:proofErr w:type="spellStart"/>
      <w:r w:rsidRPr="004A4188">
        <w:rPr>
          <w:lang w:val="ru-RU"/>
        </w:rPr>
        <w:t>Keemiatööstus</w:t>
      </w:r>
      <w:proofErr w:type="spellEnd"/>
      <w:r w:rsidRPr="004A4188">
        <w:rPr>
          <w:lang w:val="ru-RU"/>
        </w:rPr>
        <w:t xml:space="preserve"> приступают к реализации совместного проекта, в котором существующая технология </w:t>
      </w:r>
      <w:r>
        <w:rPr>
          <w:lang w:val="ru-RU"/>
        </w:rPr>
        <w:t xml:space="preserve">производства </w:t>
      </w:r>
      <w:r w:rsidRPr="004A4188">
        <w:rPr>
          <w:lang w:val="ru-RU"/>
        </w:rPr>
        <w:t>сланцевого масла</w:t>
      </w:r>
      <w:r>
        <w:rPr>
          <w:lang w:val="ru-RU"/>
        </w:rPr>
        <w:t xml:space="preserve"> будет использоваться для </w:t>
      </w:r>
      <w:r w:rsidRPr="004A4188">
        <w:rPr>
          <w:lang w:val="ru-RU"/>
        </w:rPr>
        <w:t>перераб</w:t>
      </w:r>
      <w:r>
        <w:rPr>
          <w:lang w:val="ru-RU"/>
        </w:rPr>
        <w:t xml:space="preserve">отки </w:t>
      </w:r>
      <w:r w:rsidRPr="004A4188">
        <w:rPr>
          <w:lang w:val="ru-RU"/>
        </w:rPr>
        <w:t>любы</w:t>
      </w:r>
      <w:r>
        <w:rPr>
          <w:lang w:val="ru-RU"/>
        </w:rPr>
        <w:t>х</w:t>
      </w:r>
      <w:r w:rsidRPr="004A4188">
        <w:rPr>
          <w:lang w:val="ru-RU"/>
        </w:rPr>
        <w:t xml:space="preserve"> отход</w:t>
      </w:r>
      <w:r>
        <w:rPr>
          <w:lang w:val="ru-RU"/>
        </w:rPr>
        <w:t>ов</w:t>
      </w:r>
      <w:r w:rsidRPr="004A4188">
        <w:rPr>
          <w:lang w:val="ru-RU"/>
        </w:rPr>
        <w:t xml:space="preserve"> пластика в масло и газ. По оптимистичным прогнозам, экспериментальный завод будет построен через пять лет. Действуя в соответствии с принципами циркулярной экономики, он сможет </w:t>
      </w:r>
      <w:r>
        <w:rPr>
          <w:lang w:val="ru-RU"/>
        </w:rPr>
        <w:t xml:space="preserve">предложить решение </w:t>
      </w:r>
      <w:r w:rsidRPr="004A4188">
        <w:rPr>
          <w:lang w:val="ru-RU"/>
        </w:rPr>
        <w:t>все возрастающ</w:t>
      </w:r>
      <w:r>
        <w:rPr>
          <w:lang w:val="ru-RU"/>
        </w:rPr>
        <w:t>ей</w:t>
      </w:r>
      <w:r w:rsidRPr="004A4188">
        <w:rPr>
          <w:lang w:val="ru-RU"/>
        </w:rPr>
        <w:t xml:space="preserve"> проблем</w:t>
      </w:r>
      <w:r>
        <w:rPr>
          <w:lang w:val="ru-RU"/>
        </w:rPr>
        <w:t>е</w:t>
      </w:r>
      <w:r w:rsidRPr="004A4188">
        <w:rPr>
          <w:lang w:val="ru-RU"/>
        </w:rPr>
        <w:t xml:space="preserve"> пластиковых отходов.</w:t>
      </w:r>
    </w:p>
    <w:p w14:paraId="6EC43A44" w14:textId="77777777" w:rsidR="0001282F" w:rsidRPr="004A4188" w:rsidRDefault="0001282F" w:rsidP="0001282F">
      <w:pPr>
        <w:spacing w:after="120"/>
        <w:jc w:val="left"/>
        <w:rPr>
          <w:lang w:val="ru-RU"/>
        </w:rPr>
      </w:pPr>
      <w:r w:rsidRPr="004A4188">
        <w:rPr>
          <w:lang w:val="ru-RU"/>
        </w:rPr>
        <w:t>«В обращении находится много разных видов пластика, использование которого с каждым годом увеличивается. Не все виды пластика поддаются механической переработке. Кроме того, с каждым последующим циклом переработки определенные виды пластика теряют свои свойства, таким образом, их нельзя перерабатывать бесконечно. В нашем проекте мы фокусируемся исключительно на пиролизе пластиковых отходов, а не на</w:t>
      </w:r>
      <w:r>
        <w:rPr>
          <w:lang w:val="ru-RU"/>
        </w:rPr>
        <w:t xml:space="preserve"> их</w:t>
      </w:r>
      <w:r w:rsidRPr="004A4188">
        <w:rPr>
          <w:lang w:val="ru-RU"/>
        </w:rPr>
        <w:t xml:space="preserve"> совместно</w:t>
      </w:r>
      <w:r>
        <w:rPr>
          <w:lang w:val="ru-RU"/>
        </w:rPr>
        <w:t>м</w:t>
      </w:r>
      <w:r w:rsidRPr="004A4188">
        <w:rPr>
          <w:lang w:val="ru-RU"/>
        </w:rPr>
        <w:t xml:space="preserve"> пиролизе со сланцем. Мы хотим создать решение, соответствующее экономике замкнутого цикла, которое не требует использования дополнительных ископаемых видов топлива, – сказал директор по развитию VKG </w:t>
      </w:r>
      <w:proofErr w:type="spellStart"/>
      <w:r w:rsidRPr="004A4188">
        <w:rPr>
          <w:b/>
          <w:bCs/>
          <w:lang w:val="ru-RU"/>
        </w:rPr>
        <w:t>Индрек</w:t>
      </w:r>
      <w:proofErr w:type="spellEnd"/>
      <w:r w:rsidRPr="004A4188">
        <w:rPr>
          <w:b/>
          <w:bCs/>
          <w:lang w:val="ru-RU"/>
        </w:rPr>
        <w:t xml:space="preserve"> </w:t>
      </w:r>
      <w:proofErr w:type="spellStart"/>
      <w:r w:rsidRPr="004A4188">
        <w:rPr>
          <w:b/>
          <w:bCs/>
          <w:lang w:val="ru-RU"/>
        </w:rPr>
        <w:t>Аарна</w:t>
      </w:r>
      <w:proofErr w:type="spellEnd"/>
      <w:r w:rsidRPr="004A4188">
        <w:rPr>
          <w:lang w:val="ru-RU"/>
        </w:rPr>
        <w:t>. – Эффективность совместного проекта обеспечивает и то, что он позволит обрабатывать не только несортированные и загрязненные пластиковые отходы, но использовать и те пластиковые отходы, которые ранее подлежали исключительно захоронению или сжиганию.</w:t>
      </w:r>
      <w:r>
        <w:rPr>
          <w:lang w:val="ru-RU"/>
        </w:rPr>
        <w:t xml:space="preserve"> В качестве твердого теплоносителя технология позволит вторично использовать золу и полукокс, которые образуются при производстве сланцевого масла. </w:t>
      </w:r>
      <w:r w:rsidRPr="004A4188">
        <w:rPr>
          <w:lang w:val="ru-RU"/>
        </w:rPr>
        <w:t>Переработка пластиковых отходов в масло и повторное использование их в качестве сырья в индустрии пластмасс значительно выгоднее и экологичнее, чем сжигание этих отходов».</w:t>
      </w:r>
    </w:p>
    <w:p w14:paraId="78FC4141" w14:textId="77777777" w:rsidR="0001282F" w:rsidRPr="004A4188" w:rsidRDefault="0001282F" w:rsidP="0001282F">
      <w:pPr>
        <w:spacing w:after="120"/>
        <w:jc w:val="left"/>
        <w:rPr>
          <w:lang w:val="ru-RU"/>
        </w:rPr>
      </w:pPr>
      <w:r w:rsidRPr="004A4188">
        <w:rPr>
          <w:lang w:val="ru-RU"/>
        </w:rPr>
        <w:t xml:space="preserve">«Успех проекта позволит сохранить </w:t>
      </w:r>
      <w:proofErr w:type="spellStart"/>
      <w:r w:rsidRPr="004A4188">
        <w:rPr>
          <w:lang w:val="ru-RU"/>
        </w:rPr>
        <w:t>Кивиылиский</w:t>
      </w:r>
      <w:proofErr w:type="spellEnd"/>
      <w:r w:rsidRPr="004A4188">
        <w:rPr>
          <w:lang w:val="ru-RU"/>
        </w:rPr>
        <w:t xml:space="preserve"> производственный комплекс, которому уже насчитывается 100 лет. Мы сможем поддерживать производство, даже если </w:t>
      </w:r>
      <w:r>
        <w:rPr>
          <w:lang w:val="ru-RU"/>
        </w:rPr>
        <w:t xml:space="preserve">в перспективе </w:t>
      </w:r>
      <w:r w:rsidRPr="004A4188">
        <w:rPr>
          <w:lang w:val="ru-RU"/>
        </w:rPr>
        <w:t xml:space="preserve">придется прекратить переработку сланца», – сказал руководитель </w:t>
      </w:r>
      <w:proofErr w:type="spellStart"/>
      <w:r w:rsidRPr="004A4188">
        <w:rPr>
          <w:lang w:val="ru-RU"/>
        </w:rPr>
        <w:t>Kiviõli</w:t>
      </w:r>
      <w:proofErr w:type="spellEnd"/>
      <w:r w:rsidRPr="004A4188">
        <w:rPr>
          <w:lang w:val="ru-RU"/>
        </w:rPr>
        <w:t xml:space="preserve"> </w:t>
      </w:r>
      <w:proofErr w:type="spellStart"/>
      <w:r w:rsidRPr="004A4188">
        <w:rPr>
          <w:lang w:val="ru-RU"/>
        </w:rPr>
        <w:t>Keemiatööstus</w:t>
      </w:r>
      <w:proofErr w:type="spellEnd"/>
      <w:r w:rsidRPr="004A4188">
        <w:rPr>
          <w:lang w:val="ru-RU"/>
        </w:rPr>
        <w:t xml:space="preserve"> </w:t>
      </w:r>
      <w:proofErr w:type="spellStart"/>
      <w:r w:rsidRPr="004A4188">
        <w:rPr>
          <w:lang w:val="ru-RU"/>
        </w:rPr>
        <w:t>Прийт</w:t>
      </w:r>
      <w:proofErr w:type="spellEnd"/>
      <w:r w:rsidRPr="004A4188">
        <w:rPr>
          <w:lang w:val="ru-RU"/>
        </w:rPr>
        <w:t xml:space="preserve"> </w:t>
      </w:r>
      <w:proofErr w:type="spellStart"/>
      <w:r w:rsidRPr="004A4188">
        <w:rPr>
          <w:lang w:val="ru-RU"/>
        </w:rPr>
        <w:t>Орумаа</w:t>
      </w:r>
      <w:proofErr w:type="spellEnd"/>
      <w:r w:rsidRPr="004A4188">
        <w:rPr>
          <w:lang w:val="ru-RU"/>
        </w:rPr>
        <w:t xml:space="preserve">. </w:t>
      </w:r>
    </w:p>
    <w:p w14:paraId="006052E1" w14:textId="77777777" w:rsidR="0001282F" w:rsidRPr="004A4188" w:rsidRDefault="0001282F" w:rsidP="0001282F">
      <w:pPr>
        <w:spacing w:after="120"/>
        <w:jc w:val="left"/>
        <w:rPr>
          <w:lang w:val="ru-RU"/>
        </w:rPr>
      </w:pPr>
      <w:r>
        <w:rPr>
          <w:lang w:val="ru-RU"/>
        </w:rPr>
        <w:t>Д</w:t>
      </w:r>
      <w:r w:rsidRPr="004A4188">
        <w:rPr>
          <w:lang w:val="ru-RU"/>
        </w:rPr>
        <w:t xml:space="preserve">ля переработки пластиковых отходов будут адаптированы </w:t>
      </w:r>
      <w:r>
        <w:rPr>
          <w:lang w:val="ru-RU"/>
        </w:rPr>
        <w:t>технологические п</w:t>
      </w:r>
      <w:r w:rsidRPr="004A4188">
        <w:rPr>
          <w:lang w:val="ru-RU"/>
        </w:rPr>
        <w:t>роцессы</w:t>
      </w:r>
      <w:r>
        <w:rPr>
          <w:lang w:val="ru-RU"/>
        </w:rPr>
        <w:t xml:space="preserve">, используемые сегодня для производства сланцевого </w:t>
      </w:r>
      <w:r w:rsidRPr="00DB0A7D">
        <w:rPr>
          <w:lang w:val="ru-RU"/>
        </w:rPr>
        <w:t>масла на заводах</w:t>
      </w:r>
      <w:r w:rsidRPr="0001282F">
        <w:rPr>
          <w:lang w:val="ru-RU"/>
        </w:rPr>
        <w:t xml:space="preserve"> </w:t>
      </w:r>
      <w:r w:rsidRPr="00DB0A7D">
        <w:rPr>
          <w:lang w:val="ru-RU"/>
        </w:rPr>
        <w:t>Petroter</w:t>
      </w:r>
      <w:r>
        <w:rPr>
          <w:lang w:val="ru-RU"/>
        </w:rPr>
        <w:t xml:space="preserve"> (</w:t>
      </w:r>
      <w:r>
        <w:rPr>
          <w:lang w:val="en-US"/>
        </w:rPr>
        <w:t>VKG</w:t>
      </w:r>
      <w:r w:rsidRPr="0001282F">
        <w:rPr>
          <w:lang w:val="ru-RU"/>
        </w:rPr>
        <w:t>)</w:t>
      </w:r>
      <w:r w:rsidRPr="00DB0A7D">
        <w:rPr>
          <w:lang w:val="ru-RU"/>
        </w:rPr>
        <w:t xml:space="preserve"> и TSK-500 </w:t>
      </w:r>
      <w:r w:rsidRPr="0001282F">
        <w:rPr>
          <w:lang w:val="ru-RU"/>
        </w:rPr>
        <w:t>(</w:t>
      </w:r>
      <w:proofErr w:type="spellStart"/>
      <w:r w:rsidRPr="00DB0A7D">
        <w:rPr>
          <w:lang w:val="ru-RU"/>
        </w:rPr>
        <w:t>Kiviõli</w:t>
      </w:r>
      <w:proofErr w:type="spellEnd"/>
      <w:r w:rsidRPr="00DB0A7D">
        <w:rPr>
          <w:lang w:val="ru-RU"/>
        </w:rPr>
        <w:t xml:space="preserve"> </w:t>
      </w:r>
      <w:proofErr w:type="spellStart"/>
      <w:r w:rsidRPr="00DB0A7D">
        <w:rPr>
          <w:lang w:val="ru-RU"/>
        </w:rPr>
        <w:t>Keemiatööstus</w:t>
      </w:r>
      <w:proofErr w:type="spellEnd"/>
      <w:r w:rsidRPr="0001282F">
        <w:rPr>
          <w:lang w:val="ru-RU"/>
        </w:rPr>
        <w:t>)</w:t>
      </w:r>
      <w:r w:rsidRPr="00DB0A7D">
        <w:rPr>
          <w:lang w:val="ru-RU"/>
        </w:rPr>
        <w:t>. В мире было запущено л</w:t>
      </w:r>
      <w:r w:rsidRPr="004A4188">
        <w:rPr>
          <w:lang w:val="ru-RU"/>
        </w:rPr>
        <w:t xml:space="preserve">ишь несколько небольших </w:t>
      </w:r>
      <w:proofErr w:type="spellStart"/>
      <w:r w:rsidRPr="004A4188">
        <w:rPr>
          <w:lang w:val="ru-RU"/>
        </w:rPr>
        <w:t>демозаводов</w:t>
      </w:r>
      <w:proofErr w:type="spellEnd"/>
      <w:r w:rsidRPr="004A4188">
        <w:rPr>
          <w:lang w:val="ru-RU"/>
        </w:rPr>
        <w:t xml:space="preserve"> по производству масла из пластиковых отходов. Однако </w:t>
      </w:r>
      <w:proofErr w:type="spellStart"/>
      <w:r w:rsidRPr="004A4188">
        <w:rPr>
          <w:lang w:val="ru-RU"/>
        </w:rPr>
        <w:t>Аарна</w:t>
      </w:r>
      <w:proofErr w:type="spellEnd"/>
      <w:r w:rsidRPr="004A4188">
        <w:rPr>
          <w:lang w:val="ru-RU"/>
        </w:rPr>
        <w:t xml:space="preserve"> считает, что в рамках совместного проекта уровень компетентности и технологии производства сланцевого масла позволят создать промышленный экспериментальный завод гораздо быстрее.</w:t>
      </w:r>
    </w:p>
    <w:p w14:paraId="0A582362" w14:textId="77777777" w:rsidR="0001282F" w:rsidRPr="0001282F" w:rsidRDefault="0001282F" w:rsidP="0001282F">
      <w:pPr>
        <w:spacing w:after="120"/>
        <w:jc w:val="left"/>
        <w:rPr>
          <w:lang w:val="ru-RU"/>
        </w:rPr>
      </w:pPr>
      <w:r w:rsidRPr="004A4188">
        <w:rPr>
          <w:lang w:val="ru-RU"/>
        </w:rPr>
        <w:t xml:space="preserve">Благодаря разрабатываемой технологии завод может перерабатывать до 130 000 тонн пластиковых отходов в год. При этом мощность ограничена лишь наличием пластиковых отходов и стоимостью их транспортировки. Среднегодовой объем пластиковых отходов в Эстонии составляет более 72 000 тонн, что означает 55 кг на человека. </w:t>
      </w:r>
    </w:p>
    <w:p w14:paraId="72522F6E" w14:textId="77777777" w:rsidR="0001282F" w:rsidRPr="004A4188" w:rsidRDefault="0001282F" w:rsidP="0001282F">
      <w:pPr>
        <w:spacing w:after="120"/>
        <w:jc w:val="left"/>
        <w:rPr>
          <w:lang w:val="ru-RU"/>
        </w:rPr>
      </w:pPr>
      <w:r w:rsidRPr="004A4188">
        <w:rPr>
          <w:lang w:val="ru-RU"/>
        </w:rPr>
        <w:lastRenderedPageBreak/>
        <w:t>На сегодняшний день партнеры по сотрудничеству проделали серьезную исследовательс</w:t>
      </w:r>
      <w:r>
        <w:rPr>
          <w:lang w:val="ru-RU"/>
        </w:rPr>
        <w:t>к</w:t>
      </w:r>
      <w:r w:rsidRPr="004A4188">
        <w:rPr>
          <w:lang w:val="ru-RU"/>
        </w:rPr>
        <w:t xml:space="preserve">ую работу, ведутся прикладные исследования и объявлено несколько международных тендеров для поиска партнеров по тестированию и проектированию. </w:t>
      </w:r>
      <w:r>
        <w:rPr>
          <w:lang w:val="ru-RU"/>
        </w:rPr>
        <w:t xml:space="preserve">Проект </w:t>
      </w:r>
      <w:r w:rsidRPr="004A4188">
        <w:rPr>
          <w:lang w:val="ru-RU"/>
        </w:rPr>
        <w:t>поддерживается Европейским фондом регионального развития через Фонд предпринимательства и инноваций</w:t>
      </w:r>
      <w:r>
        <w:rPr>
          <w:lang w:val="ru-RU"/>
        </w:rPr>
        <w:t xml:space="preserve"> в размере 280 600 евро</w:t>
      </w:r>
      <w:r w:rsidRPr="004A4188">
        <w:rPr>
          <w:lang w:val="ru-RU"/>
        </w:rPr>
        <w:t>. Совместный проект разработан в соответствии с принципами устойчивого производства и способствует достижению экологических целей и целей ци</w:t>
      </w:r>
      <w:r>
        <w:rPr>
          <w:lang w:val="ru-RU"/>
        </w:rPr>
        <w:t>р</w:t>
      </w:r>
      <w:r w:rsidRPr="004A4188">
        <w:rPr>
          <w:lang w:val="ru-RU"/>
        </w:rPr>
        <w:t>кулярной экономики.</w:t>
      </w:r>
    </w:p>
    <w:p w14:paraId="62F8DBD8" w14:textId="77777777" w:rsidR="00AE3DF5" w:rsidRPr="001D6C1A" w:rsidRDefault="00AE3DF5" w:rsidP="00AE3DF5">
      <w:pPr>
        <w:spacing w:after="120"/>
        <w:rPr>
          <w:lang w:val="ru-RU"/>
        </w:rPr>
      </w:pPr>
    </w:p>
    <w:p w14:paraId="0016E06A" w14:textId="77777777" w:rsidR="00AE3DF5" w:rsidRDefault="00AE3DF5" w:rsidP="00AE3DF5">
      <w:pPr>
        <w:rPr>
          <w:lang w:val="ru-RU"/>
        </w:rPr>
      </w:pPr>
      <w:r w:rsidRPr="001D6C1A">
        <w:rPr>
          <w:lang w:val="ru-RU"/>
        </w:rPr>
        <w:t>Дополнительная информация:</w:t>
      </w:r>
    </w:p>
    <w:p w14:paraId="08ABE80D" w14:textId="77777777" w:rsidR="00AE3DF5" w:rsidRPr="001D6C1A" w:rsidRDefault="00AE3DF5" w:rsidP="00AE3DF5">
      <w:pPr>
        <w:rPr>
          <w:lang w:val="ru-RU"/>
        </w:rPr>
      </w:pPr>
    </w:p>
    <w:p w14:paraId="76453D94" w14:textId="009D37FB" w:rsidR="0001282F" w:rsidRPr="0001282F" w:rsidRDefault="00AE3DF5" w:rsidP="0001282F">
      <w:pPr>
        <w:tabs>
          <w:tab w:val="left" w:pos="5670"/>
        </w:tabs>
      </w:pPr>
      <w:r w:rsidRPr="001D6C1A">
        <w:rPr>
          <w:lang w:val="ru-RU"/>
        </w:rPr>
        <w:t>Ирина Боенко</w:t>
      </w:r>
      <w:r w:rsidR="0001282F">
        <w:rPr>
          <w:lang w:val="ru-RU"/>
        </w:rPr>
        <w:tab/>
      </w:r>
      <w:proofErr w:type="spellStart"/>
      <w:r w:rsidR="0001282F">
        <w:rPr>
          <w:lang w:val="ru-RU"/>
        </w:rPr>
        <w:t>Герли</w:t>
      </w:r>
      <w:proofErr w:type="spellEnd"/>
      <w:r w:rsidR="0001282F">
        <w:rPr>
          <w:lang w:val="ru-RU"/>
        </w:rPr>
        <w:t xml:space="preserve"> Романович</w:t>
      </w:r>
    </w:p>
    <w:p w14:paraId="3510967A" w14:textId="7204DC51" w:rsidR="0001282F" w:rsidRPr="003A5B54" w:rsidRDefault="0001282F" w:rsidP="0001282F">
      <w:pPr>
        <w:tabs>
          <w:tab w:val="left" w:pos="5670"/>
        </w:tabs>
        <w:rPr>
          <w:lang w:val="ru-RU"/>
        </w:rPr>
      </w:pPr>
      <w:r>
        <w:rPr>
          <w:lang w:val="ru-RU"/>
        </w:rPr>
        <w:t xml:space="preserve">Руководитель </w:t>
      </w:r>
      <w:r w:rsidR="00AE3DF5" w:rsidRPr="00E51E73">
        <w:rPr>
          <w:lang w:val="ru-RU"/>
        </w:rPr>
        <w:t>по связям с общественностью</w:t>
      </w:r>
      <w:r w:rsidR="00AE3DF5" w:rsidRPr="001D6C1A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 xml:space="preserve">Руководитель по коммуникации </w:t>
      </w:r>
    </w:p>
    <w:p w14:paraId="1A2E393D" w14:textId="77777777" w:rsidR="0001282F" w:rsidRPr="003A5B54" w:rsidRDefault="00AE3DF5" w:rsidP="0001282F">
      <w:pPr>
        <w:tabs>
          <w:tab w:val="left" w:pos="5670"/>
        </w:tabs>
        <w:rPr>
          <w:lang w:val="ru-RU"/>
        </w:rPr>
      </w:pPr>
      <w:r w:rsidRPr="00AE3DF5">
        <w:rPr>
          <w:lang w:val="en-US"/>
        </w:rPr>
        <w:t>Viru</w:t>
      </w:r>
      <w:r w:rsidRPr="0001282F">
        <w:rPr>
          <w:lang w:val="ru-RU"/>
        </w:rPr>
        <w:t xml:space="preserve"> </w:t>
      </w:r>
      <w:r w:rsidRPr="00AE3DF5">
        <w:rPr>
          <w:lang w:val="en-US"/>
        </w:rPr>
        <w:t>Keemia</w:t>
      </w:r>
      <w:r w:rsidRPr="0001282F">
        <w:rPr>
          <w:lang w:val="ru-RU"/>
        </w:rPr>
        <w:t xml:space="preserve"> </w:t>
      </w:r>
      <w:r w:rsidRPr="00AE3DF5">
        <w:rPr>
          <w:lang w:val="en-US"/>
        </w:rPr>
        <w:t>Grupp</w:t>
      </w:r>
      <w:r w:rsidR="0001282F">
        <w:rPr>
          <w:lang w:val="ru-RU"/>
        </w:rPr>
        <w:tab/>
      </w:r>
      <w:proofErr w:type="spellStart"/>
      <w:r w:rsidR="0001282F" w:rsidRPr="003A5B54">
        <w:rPr>
          <w:lang w:val="ru-RU"/>
        </w:rPr>
        <w:t>Kiviõli</w:t>
      </w:r>
      <w:proofErr w:type="spellEnd"/>
      <w:r w:rsidR="0001282F" w:rsidRPr="003A5B54">
        <w:rPr>
          <w:lang w:val="ru-RU"/>
        </w:rPr>
        <w:t xml:space="preserve"> </w:t>
      </w:r>
      <w:proofErr w:type="spellStart"/>
      <w:r w:rsidR="0001282F" w:rsidRPr="003A5B54">
        <w:rPr>
          <w:lang w:val="ru-RU"/>
        </w:rPr>
        <w:t>Keemiatööstus</w:t>
      </w:r>
      <w:proofErr w:type="spellEnd"/>
    </w:p>
    <w:p w14:paraId="47131337" w14:textId="77777777" w:rsidR="0001282F" w:rsidRPr="004A4188" w:rsidRDefault="00AE3DF5" w:rsidP="0001282F">
      <w:pPr>
        <w:tabs>
          <w:tab w:val="left" w:pos="5670"/>
        </w:tabs>
        <w:rPr>
          <w:lang w:val="ru-RU"/>
        </w:rPr>
      </w:pPr>
      <w:r w:rsidRPr="0001282F">
        <w:rPr>
          <w:lang w:val="ru-RU"/>
        </w:rPr>
        <w:t>+372 523 2700</w:t>
      </w:r>
      <w:r w:rsidR="0001282F">
        <w:rPr>
          <w:lang w:val="ru-RU"/>
        </w:rPr>
        <w:tab/>
      </w:r>
      <w:r w:rsidR="0001282F" w:rsidRPr="003A5B54">
        <w:rPr>
          <w:lang w:val="ru-RU"/>
        </w:rPr>
        <w:t>+372 5663 3540</w:t>
      </w:r>
    </w:p>
    <w:p w14:paraId="632F1324" w14:textId="4718CEA3" w:rsidR="0001282F" w:rsidRPr="003A5B54" w:rsidRDefault="0001282F" w:rsidP="0001282F">
      <w:pPr>
        <w:tabs>
          <w:tab w:val="left" w:pos="5670"/>
        </w:tabs>
        <w:rPr>
          <w:lang w:val="ru-RU"/>
        </w:rPr>
      </w:pPr>
      <w:r w:rsidRPr="0001282F">
        <w:rPr>
          <w:rFonts w:cs="Arial"/>
          <w:color w:val="000000"/>
          <w:szCs w:val="20"/>
          <w:lang w:val="en-US"/>
        </w:rPr>
        <w:t>irina</w:t>
      </w:r>
      <w:r w:rsidRPr="0001282F">
        <w:rPr>
          <w:rFonts w:cs="Arial"/>
          <w:color w:val="000000"/>
          <w:szCs w:val="20"/>
          <w:lang w:val="ru-RU"/>
        </w:rPr>
        <w:t>.</w:t>
      </w:r>
      <w:proofErr w:type="spellStart"/>
      <w:r w:rsidRPr="0001282F">
        <w:rPr>
          <w:rFonts w:cs="Arial"/>
          <w:color w:val="000000"/>
          <w:szCs w:val="20"/>
          <w:lang w:val="en-US"/>
        </w:rPr>
        <w:t>bojenko</w:t>
      </w:r>
      <w:proofErr w:type="spellEnd"/>
      <w:r w:rsidRPr="0001282F">
        <w:rPr>
          <w:rFonts w:cs="Arial"/>
          <w:color w:val="000000"/>
          <w:szCs w:val="20"/>
          <w:lang w:val="ru-RU"/>
        </w:rPr>
        <w:t>@</w:t>
      </w:r>
      <w:proofErr w:type="spellStart"/>
      <w:r w:rsidRPr="0001282F">
        <w:rPr>
          <w:rFonts w:cs="Arial"/>
          <w:color w:val="000000"/>
          <w:szCs w:val="20"/>
          <w:lang w:val="en-US"/>
        </w:rPr>
        <w:t>vkg</w:t>
      </w:r>
      <w:proofErr w:type="spellEnd"/>
      <w:r w:rsidRPr="0001282F">
        <w:rPr>
          <w:rFonts w:cs="Arial"/>
          <w:color w:val="000000"/>
          <w:szCs w:val="20"/>
          <w:lang w:val="ru-RU"/>
        </w:rPr>
        <w:t>.</w:t>
      </w:r>
      <w:proofErr w:type="spellStart"/>
      <w:r w:rsidRPr="0001282F">
        <w:rPr>
          <w:rFonts w:cs="Arial"/>
          <w:color w:val="000000"/>
          <w:szCs w:val="20"/>
          <w:lang w:val="en-US"/>
        </w:rPr>
        <w:t>ee</w:t>
      </w:r>
      <w:proofErr w:type="spellEnd"/>
      <w:r w:rsidRPr="0001282F">
        <w:rPr>
          <w:rFonts w:cs="Arial"/>
          <w:color w:val="000000"/>
          <w:szCs w:val="20"/>
          <w:lang w:val="ru-RU"/>
        </w:rPr>
        <w:tab/>
      </w:r>
      <w:r w:rsidRPr="003A5B54">
        <w:rPr>
          <w:lang w:val="ru-RU"/>
        </w:rPr>
        <w:t>gerli.romanovits@keemiatoostus.ee</w:t>
      </w:r>
    </w:p>
    <w:p w14:paraId="7206C000" w14:textId="77777777" w:rsidR="0001282F" w:rsidRPr="0001282F" w:rsidRDefault="0001282F" w:rsidP="00AE3DF5">
      <w:pPr>
        <w:rPr>
          <w:lang w:val="ru-RU"/>
        </w:rPr>
      </w:pPr>
    </w:p>
    <w:sectPr w:rsidR="0001282F" w:rsidRPr="0001282F" w:rsidSect="000D66AD">
      <w:footerReference w:type="default" r:id="rId7"/>
      <w:headerReference w:type="first" r:id="rId8"/>
      <w:footerReference w:type="first" r:id="rId9"/>
      <w:pgSz w:w="11906" w:h="16838" w:code="9"/>
      <w:pgMar w:top="680" w:right="851" w:bottom="680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61C7" w14:textId="77777777" w:rsidR="00763AA6" w:rsidRDefault="00763AA6" w:rsidP="00CF1326">
      <w:r>
        <w:separator/>
      </w:r>
    </w:p>
  </w:endnote>
  <w:endnote w:type="continuationSeparator" w:id="0">
    <w:p w14:paraId="33D8D169" w14:textId="77777777" w:rsidR="00763AA6" w:rsidRDefault="00763AA6" w:rsidP="00C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tivGrotesk-Regular">
    <w:altName w:val="Yu Gothic"/>
    <w:charset w:val="00"/>
    <w:family w:val="swiss"/>
    <w:pitch w:val="variable"/>
    <w:sig w:usb0="E000AAFF" w:usb1="D000FFFB" w:usb2="00000028" w:usb3="00000000" w:csb0="000001FF" w:csb1="00000000"/>
  </w:font>
  <w:font w:name="Gordita Medium"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AktivGrotesk-Bold">
    <w:altName w:val="Yu Gothic"/>
    <w:charset w:val="00"/>
    <w:family w:val="swiss"/>
    <w:pitch w:val="variable"/>
    <w:sig w:usb0="E000AAFF" w:usb1="D000FFFB" w:usb2="00000028" w:usb3="00000000" w:csb0="000001FF" w:csb1="00000000"/>
  </w:font>
  <w:font w:name="Gordita"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6100" w14:textId="12F1F428" w:rsidR="00171B89" w:rsidRDefault="00763AA6" w:rsidP="00171B89">
    <w:pPr>
      <w:pStyle w:val="Footer"/>
      <w:rPr>
        <w:sz w:val="16"/>
        <w:szCs w:val="16"/>
      </w:rPr>
    </w:pPr>
  </w:p>
  <w:p w14:paraId="0C1D0ED2" w14:textId="274FB535" w:rsidR="00AB18FF" w:rsidRPr="006D6F47" w:rsidRDefault="006C08D6" w:rsidP="00171B89">
    <w:pPr>
      <w:pStyle w:val="Footer"/>
      <w:rPr>
        <w:sz w:val="16"/>
        <w:szCs w:val="16"/>
      </w:rPr>
    </w:pPr>
    <w:r w:rsidRPr="006C08D6">
      <w:rPr>
        <w:rFonts w:eastAsia="AktivGrotesk-Regular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9B3EEF" wp14:editId="789B6FD8">
              <wp:simplePos x="0" y="0"/>
              <wp:positionH relativeFrom="column">
                <wp:posOffset>-143307</wp:posOffset>
              </wp:positionH>
              <wp:positionV relativeFrom="paragraph">
                <wp:posOffset>105261</wp:posOffset>
              </wp:positionV>
              <wp:extent cx="0" cy="242881"/>
              <wp:effectExtent l="12700" t="0" r="12700" b="2413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288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83530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8.3pt" to="-11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" strokecolor="#00b050" strokeweight="1.5pt">
              <v:stroke joinstyle="miter"/>
            </v:line>
          </w:pict>
        </mc:Fallback>
      </mc:AlternateContent>
    </w:r>
  </w:p>
  <w:p w14:paraId="4F10A327" w14:textId="37E769C7" w:rsidR="009506CE" w:rsidRPr="00FA7F47" w:rsidRDefault="006C08D6" w:rsidP="00703185">
    <w:pPr>
      <w:pStyle w:val="Footer"/>
    </w:pPr>
    <w:r w:rsidRPr="006C08D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B28428" wp14:editId="7E1EB4AA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1594485" cy="271780"/>
              <wp:effectExtent l="0" t="0" r="571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71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4BFACC" w14:textId="40F69B5C" w:rsidR="006C08D6" w:rsidRPr="00291015" w:rsidRDefault="006C08D6" w:rsidP="006C08D6">
                          <w:pPr>
                            <w:spacing w:line="312" w:lineRule="auto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291015">
                            <w:rPr>
                              <w:rFonts w:ascii="Gordita Medium" w:eastAsia="AktivGrotesk-Bold" w:hAnsi="Gordita Medium" w:cs="AktivGrotesk-Bold"/>
                              <w:sz w:val="14"/>
                              <w:szCs w:val="14"/>
                            </w:rPr>
                            <w:t>Viru Keemia Grupp AS</w:t>
                          </w:r>
                          <w:r w:rsidRPr="00291015">
                            <w:rPr>
                              <w:rFonts w:ascii="Gordita Medium" w:eastAsia="AktivGrotesk-Bold" w:hAnsi="Gordita Medium" w:cs="AktivGrotesk-Bold"/>
                              <w:sz w:val="14"/>
                              <w:szCs w:val="14"/>
                            </w:rPr>
                            <w:br/>
                          </w:r>
                          <w:r w:rsidRPr="00BE40CF">
                            <w:rPr>
                              <w:rFonts w:ascii="Gordita" w:eastAsia="AktivGrotesk-Regular" w:hAnsi="Gordita" w:cs="AktivGrotesk-Regular"/>
                              <w:sz w:val="14"/>
                              <w:szCs w:val="14"/>
                              <w:lang w:val="es-ES"/>
                            </w:rPr>
                            <w:t>www.vkg.ee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2842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.35pt;width:125.55pt;height:2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" fillcolor="white [3201]" stroked="f" strokeweight=".5pt">
              <v:textbox inset="0,0,0,0">
                <w:txbxContent>
                  <w:p w14:paraId="704BFACC" w14:textId="40F69B5C" w:rsidR="006C08D6" w:rsidRPr="00291015" w:rsidRDefault="006C08D6" w:rsidP="006C08D6">
                    <w:pPr>
                      <w:spacing w:line="312" w:lineRule="auto"/>
                      <w:jc w:val="left"/>
                      <w:rPr>
                        <w:sz w:val="14"/>
                        <w:szCs w:val="14"/>
                      </w:rPr>
                    </w:pPr>
                    <w:r w:rsidRPr="00291015">
                      <w:rPr>
                        <w:rFonts w:ascii="Gordita Medium" w:eastAsia="AktivGrotesk-Bold" w:hAnsi="Gordita Medium" w:cs="AktivGrotesk-Bold"/>
                        <w:sz w:val="14"/>
                        <w:szCs w:val="14"/>
                      </w:rPr>
                      <w:t>Viru Keemia Grupp AS</w:t>
                    </w:r>
                    <w:r w:rsidRPr="00291015">
                      <w:rPr>
                        <w:rFonts w:ascii="Gordita Medium" w:eastAsia="AktivGrotesk-Bold" w:hAnsi="Gordita Medium" w:cs="AktivGrotesk-Bold"/>
                        <w:sz w:val="14"/>
                        <w:szCs w:val="14"/>
                      </w:rPr>
                      <w:br/>
                    </w:r>
                    <w:r w:rsidRPr="00BE40CF">
                      <w:rPr>
                        <w:rFonts w:ascii="Gordita" w:eastAsia="AktivGrotesk-Regular" w:hAnsi="Gordita" w:cs="AktivGrotesk-Regular"/>
                        <w:sz w:val="14"/>
                        <w:szCs w:val="14"/>
                        <w:lang w:val="es-ES"/>
                      </w:rPr>
                      <w:t>www.vkg.ee</w:t>
                    </w:r>
                  </w:p>
                </w:txbxContent>
              </v:textbox>
            </v:shape>
          </w:pict>
        </mc:Fallback>
      </mc:AlternateContent>
    </w:r>
    <w:r w:rsidR="00440775" w:rsidRPr="00C95268">
      <w:rPr>
        <w:color w:val="005D00"/>
      </w:rPr>
      <w:tab/>
    </w:r>
  </w:p>
  <w:p w14:paraId="4C4FF751" w14:textId="77777777" w:rsidR="009506CE" w:rsidRPr="006C08D6" w:rsidRDefault="00440775" w:rsidP="00703185">
    <w:pPr>
      <w:pStyle w:val="Footer"/>
      <w:rPr>
        <w:rFonts w:ascii="Gordita" w:hAnsi="Gordita"/>
        <w:color w:val="000000" w:themeColor="text1"/>
        <w:sz w:val="14"/>
        <w:szCs w:val="14"/>
      </w:rPr>
    </w:pPr>
    <w:r>
      <w:rPr>
        <w:color w:val="005D00"/>
      </w:rPr>
      <w:tab/>
    </w:r>
    <w:r>
      <w:rPr>
        <w:color w:val="005D00"/>
      </w:rPr>
      <w:tab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begin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instrText xml:space="preserve"> PAGE </w:instrTex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separate"/>
    </w:r>
    <w:r w:rsidRPr="006C08D6">
      <w:rPr>
        <w:rStyle w:val="PageNumber"/>
        <w:rFonts w:ascii="Gordita" w:hAnsi="Gordita"/>
        <w:noProof/>
        <w:color w:val="000000" w:themeColor="text1"/>
        <w:sz w:val="14"/>
        <w:szCs w:val="14"/>
      </w:rPr>
      <w:t>2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end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t>/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begin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instrText xml:space="preserve"> NUMPAGES </w:instrTex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separate"/>
    </w:r>
    <w:r w:rsidRPr="006C08D6">
      <w:rPr>
        <w:rStyle w:val="PageNumber"/>
        <w:rFonts w:ascii="Gordita" w:hAnsi="Gordita"/>
        <w:noProof/>
        <w:color w:val="000000" w:themeColor="text1"/>
        <w:sz w:val="14"/>
        <w:szCs w:val="14"/>
      </w:rPr>
      <w:t>1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F16" w14:textId="2537942D" w:rsidR="00CB7867" w:rsidRPr="00291015" w:rsidRDefault="00D03A88" w:rsidP="00291015">
    <w:pPr>
      <w:pStyle w:val="Footer"/>
      <w:rPr>
        <w:sz w:val="16"/>
        <w:szCs w:val="16"/>
      </w:rPr>
    </w:pPr>
    <w:r w:rsidRPr="00FE530E">
      <w:rPr>
        <w:rFonts w:ascii="Gordita" w:hAnsi="Gordita"/>
        <w:color w:val="auto"/>
        <w:sz w:val="18"/>
        <w:szCs w:val="18"/>
      </w:rPr>
      <w:tab/>
    </w:r>
    <w:r w:rsidR="00CF1326" w:rsidRPr="00FE530E">
      <w:rPr>
        <w:rFonts w:ascii="Gordita" w:hAnsi="Gordita"/>
        <w:color w:val="auto"/>
        <w:sz w:val="18"/>
        <w:szCs w:val="18"/>
      </w:rPr>
      <w:tab/>
    </w:r>
    <w:r w:rsidR="00CF1326" w:rsidRPr="00FE530E">
      <w:rPr>
        <w:rFonts w:ascii="Gordita" w:hAnsi="Gordita"/>
        <w:color w:val="auto"/>
        <w:sz w:val="18"/>
        <w:szCs w:val="18"/>
      </w:rPr>
      <w:tab/>
    </w:r>
    <w:r w:rsidR="00CF1326" w:rsidRPr="00FE530E">
      <w:rPr>
        <w:rFonts w:ascii="Gordita" w:hAnsi="Gordita"/>
        <w:color w:val="auto"/>
        <w:sz w:val="18"/>
        <w:szCs w:val="18"/>
      </w:rPr>
      <w:tab/>
    </w:r>
    <w:r w:rsidR="00CF1326" w:rsidRPr="00FE530E">
      <w:rPr>
        <w:rFonts w:ascii="Gordita" w:hAnsi="Gordita"/>
        <w:color w:val="auto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A97B" w14:textId="77777777" w:rsidR="00763AA6" w:rsidRDefault="00763AA6" w:rsidP="00CF1326">
      <w:r>
        <w:separator/>
      </w:r>
    </w:p>
  </w:footnote>
  <w:footnote w:type="continuationSeparator" w:id="0">
    <w:p w14:paraId="2799C68A" w14:textId="77777777" w:rsidR="00763AA6" w:rsidRDefault="00763AA6" w:rsidP="00CF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FA8F" w14:textId="599ABD21" w:rsidR="001E257D" w:rsidRPr="001739B5" w:rsidRDefault="000D66AD" w:rsidP="000D66AD">
    <w:pPr>
      <w:pStyle w:val="Header"/>
      <w:tabs>
        <w:tab w:val="clear" w:pos="9072"/>
      </w:tabs>
      <w:ind w:right="-144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5015D5" wp14:editId="5CC73882">
          <wp:simplePos x="0" y="0"/>
          <wp:positionH relativeFrom="column">
            <wp:posOffset>-48895</wp:posOffset>
          </wp:positionH>
          <wp:positionV relativeFrom="paragraph">
            <wp:posOffset>165735</wp:posOffset>
          </wp:positionV>
          <wp:extent cx="984250" cy="430530"/>
          <wp:effectExtent l="0" t="0" r="6350" b="76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68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C2F5E" w14:textId="79CA1BD5" w:rsidR="001E257D" w:rsidRPr="001739B5" w:rsidRDefault="00763AA6" w:rsidP="00486050">
    <w:pPr>
      <w:pStyle w:val="Header"/>
      <w:tabs>
        <w:tab w:val="clear" w:pos="9072"/>
        <w:tab w:val="right" w:pos="9781"/>
      </w:tabs>
      <w:ind w:right="-144"/>
      <w:jc w:val="right"/>
      <w:rPr>
        <w:sz w:val="20"/>
        <w:szCs w:val="20"/>
      </w:rPr>
    </w:pPr>
  </w:p>
  <w:p w14:paraId="579206CF" w14:textId="2A78DBF7" w:rsidR="00915C26" w:rsidRDefault="00763AA6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799B6BAB" w14:textId="570C8C9C" w:rsidR="00472151" w:rsidRDefault="00472151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177B26EC" w14:textId="6A90F4F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61186C9" w14:textId="796CA09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758A275" w14:textId="7E5D3CF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9F7CC9B" w14:textId="1271353F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77982A21" w14:textId="77777777" w:rsidR="0011741E" w:rsidRPr="0055789B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5"/>
    <w:rsid w:val="000022AC"/>
    <w:rsid w:val="0001282F"/>
    <w:rsid w:val="00015CE0"/>
    <w:rsid w:val="0003704D"/>
    <w:rsid w:val="000561DB"/>
    <w:rsid w:val="000678B9"/>
    <w:rsid w:val="00092720"/>
    <w:rsid w:val="000D66AD"/>
    <w:rsid w:val="000E3271"/>
    <w:rsid w:val="0011741E"/>
    <w:rsid w:val="00123E71"/>
    <w:rsid w:val="00135141"/>
    <w:rsid w:val="00155B45"/>
    <w:rsid w:val="001713EF"/>
    <w:rsid w:val="001C5BF8"/>
    <w:rsid w:val="001F7953"/>
    <w:rsid w:val="002203C6"/>
    <w:rsid w:val="00243845"/>
    <w:rsid w:val="002748BA"/>
    <w:rsid w:val="00277C59"/>
    <w:rsid w:val="00287960"/>
    <w:rsid w:val="00291015"/>
    <w:rsid w:val="002968D8"/>
    <w:rsid w:val="002C7DCF"/>
    <w:rsid w:val="003113EF"/>
    <w:rsid w:val="00375D0A"/>
    <w:rsid w:val="003A5733"/>
    <w:rsid w:val="00410B1C"/>
    <w:rsid w:val="00435958"/>
    <w:rsid w:val="00440775"/>
    <w:rsid w:val="004421CC"/>
    <w:rsid w:val="00467E71"/>
    <w:rsid w:val="00472151"/>
    <w:rsid w:val="004C266C"/>
    <w:rsid w:val="005810A2"/>
    <w:rsid w:val="00630395"/>
    <w:rsid w:val="0065684A"/>
    <w:rsid w:val="00677885"/>
    <w:rsid w:val="006C08D6"/>
    <w:rsid w:val="00710246"/>
    <w:rsid w:val="00763AA6"/>
    <w:rsid w:val="007779C8"/>
    <w:rsid w:val="00782A58"/>
    <w:rsid w:val="007A39A7"/>
    <w:rsid w:val="0085696C"/>
    <w:rsid w:val="0086188C"/>
    <w:rsid w:val="00867452"/>
    <w:rsid w:val="008A0DDC"/>
    <w:rsid w:val="008D2124"/>
    <w:rsid w:val="00931E86"/>
    <w:rsid w:val="00980F28"/>
    <w:rsid w:val="009C7655"/>
    <w:rsid w:val="00A13894"/>
    <w:rsid w:val="00AB0293"/>
    <w:rsid w:val="00AB18FF"/>
    <w:rsid w:val="00AC594A"/>
    <w:rsid w:val="00AE3DF5"/>
    <w:rsid w:val="00B048B9"/>
    <w:rsid w:val="00B31005"/>
    <w:rsid w:val="00B54AFF"/>
    <w:rsid w:val="00B7740A"/>
    <w:rsid w:val="00B83522"/>
    <w:rsid w:val="00BE40CF"/>
    <w:rsid w:val="00C44AAB"/>
    <w:rsid w:val="00C96414"/>
    <w:rsid w:val="00C96FFA"/>
    <w:rsid w:val="00CF1326"/>
    <w:rsid w:val="00D03A88"/>
    <w:rsid w:val="00DA0294"/>
    <w:rsid w:val="00DA030A"/>
    <w:rsid w:val="00DB59D1"/>
    <w:rsid w:val="00E403A9"/>
    <w:rsid w:val="00E409FB"/>
    <w:rsid w:val="00E56CBB"/>
    <w:rsid w:val="00E65EE3"/>
    <w:rsid w:val="00E92333"/>
    <w:rsid w:val="00E95B6F"/>
    <w:rsid w:val="00EA7725"/>
    <w:rsid w:val="00EE6A23"/>
    <w:rsid w:val="00F34D44"/>
    <w:rsid w:val="00F351D4"/>
    <w:rsid w:val="00FE530E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0C027"/>
  <w15:chartTrackingRefBased/>
  <w15:docId w15:val="{7D28901D-D82F-4240-8936-03BE26E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2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4384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243845"/>
    <w:rPr>
      <w:rFonts w:ascii="Arial" w:eastAsia="Times New Roman" w:hAnsi="Arial" w:cs="Times New Roman"/>
      <w:szCs w:val="24"/>
    </w:rPr>
  </w:style>
  <w:style w:type="paragraph" w:styleId="Footer">
    <w:name w:val="footer"/>
    <w:link w:val="FooterChar"/>
    <w:rsid w:val="00243845"/>
    <w:pPr>
      <w:tabs>
        <w:tab w:val="center" w:pos="4536"/>
        <w:tab w:val="right" w:pos="9356"/>
      </w:tabs>
      <w:spacing w:after="0" w:line="240" w:lineRule="auto"/>
    </w:pPr>
    <w:rPr>
      <w:rFonts w:ascii="Arial" w:eastAsia="Times New Roman" w:hAnsi="Arial" w:cs="Arial"/>
      <w:color w:val="215B33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43845"/>
    <w:rPr>
      <w:rFonts w:ascii="Arial" w:eastAsia="Times New Roman" w:hAnsi="Arial" w:cs="Arial"/>
      <w:color w:val="215B33"/>
      <w:sz w:val="20"/>
      <w:szCs w:val="20"/>
    </w:rPr>
  </w:style>
  <w:style w:type="character" w:styleId="PageNumber">
    <w:name w:val="page number"/>
    <w:basedOn w:val="DefaultParagraphFont"/>
    <w:rsid w:val="00243845"/>
  </w:style>
  <w:style w:type="table" w:styleId="TableGrid">
    <w:name w:val="Table Grid"/>
    <w:basedOn w:val="TableNormal"/>
    <w:uiPriority w:val="39"/>
    <w:rsid w:val="002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2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E92333"/>
    <w:pPr>
      <w:jc w:val="left"/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10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3DF5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2CB8-6761-4A73-8BFE-8A5A7C34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Aliide.Hindreus</dc:creator>
  <cp:keywords/>
  <dc:description/>
  <cp:lastModifiedBy>onnePilvet</cp:lastModifiedBy>
  <cp:revision>2</cp:revision>
  <cp:lastPrinted>2021-03-16T07:29:00Z</cp:lastPrinted>
  <dcterms:created xsi:type="dcterms:W3CDTF">2022-01-26T10:00:00Z</dcterms:created>
  <dcterms:modified xsi:type="dcterms:W3CDTF">2022-01-26T10:00:00Z</dcterms:modified>
</cp:coreProperties>
</file>