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5787B" w14:textId="77777777" w:rsidR="00AE3DF5" w:rsidRPr="009B37C7" w:rsidRDefault="00AE3DF5" w:rsidP="00AE3DF5">
      <w:pPr>
        <w:outlineLvl w:val="0"/>
        <w:rPr>
          <w:rFonts w:cs="Arial"/>
          <w:color w:val="000000"/>
          <w:szCs w:val="20"/>
          <w:lang w:val="ru-RU"/>
        </w:rPr>
      </w:pPr>
      <w:r w:rsidRPr="009B37C7">
        <w:rPr>
          <w:rFonts w:cs="Arial"/>
          <w:color w:val="000000"/>
          <w:szCs w:val="20"/>
          <w:lang w:val="ru-RU"/>
        </w:rPr>
        <w:t>Viru Keemia Grupp</w:t>
      </w:r>
    </w:p>
    <w:p w14:paraId="7E6BEA7C" w14:textId="77777777" w:rsidR="00AE3DF5" w:rsidRPr="009B37C7" w:rsidRDefault="00AE3DF5" w:rsidP="00AE3DF5">
      <w:pPr>
        <w:pStyle w:val="NormalWeb"/>
        <w:spacing w:before="0" w:beforeAutospacing="0" w:after="0" w:afterAutospacing="0"/>
        <w:rPr>
          <w:rFonts w:ascii="Arial" w:hAnsi="Arial" w:cs="Arial"/>
          <w:color w:val="000000"/>
          <w:sz w:val="22"/>
          <w:szCs w:val="20"/>
          <w:lang w:val="ru-RU"/>
        </w:rPr>
      </w:pPr>
      <w:r w:rsidRPr="009B37C7">
        <w:rPr>
          <w:rFonts w:ascii="Arial" w:hAnsi="Arial" w:cs="Arial"/>
          <w:color w:val="000000"/>
          <w:sz w:val="22"/>
          <w:szCs w:val="20"/>
          <w:lang w:val="ru-RU"/>
        </w:rPr>
        <w:t>ПРЕСС-РЕЛИЗ</w:t>
      </w:r>
    </w:p>
    <w:p w14:paraId="0D0F9528" w14:textId="18E39E57" w:rsidR="00AE3DF5" w:rsidRPr="00EC0536" w:rsidRDefault="00EC0536" w:rsidP="00AE3DF5">
      <w:pPr>
        <w:shd w:val="clear" w:color="auto" w:fill="FFFFFF"/>
        <w:rPr>
          <w:rFonts w:cs="Arial"/>
          <w:color w:val="000000"/>
          <w:szCs w:val="20"/>
          <w:lang w:val="ru-RU"/>
        </w:rPr>
      </w:pPr>
      <w:r>
        <w:rPr>
          <w:rFonts w:cs="Arial"/>
          <w:color w:val="000000"/>
          <w:szCs w:val="20"/>
        </w:rPr>
        <w:t>15</w:t>
      </w:r>
      <w:r w:rsidR="00AE3DF5" w:rsidRPr="009B37C7">
        <w:rPr>
          <w:rFonts w:cs="Arial"/>
          <w:color w:val="000000"/>
          <w:szCs w:val="20"/>
          <w:lang w:val="ru-RU"/>
        </w:rPr>
        <w:t xml:space="preserve"> </w:t>
      </w:r>
      <w:r>
        <w:rPr>
          <w:rFonts w:cs="Arial"/>
          <w:color w:val="000000"/>
          <w:szCs w:val="20"/>
          <w:lang w:val="ru-RU"/>
        </w:rPr>
        <w:t>сентября</w:t>
      </w:r>
      <w:r w:rsidR="00AE3DF5">
        <w:rPr>
          <w:rFonts w:cs="Arial"/>
          <w:color w:val="000000"/>
          <w:szCs w:val="20"/>
        </w:rPr>
        <w:t xml:space="preserve"> </w:t>
      </w:r>
      <w:r w:rsidR="00AE3DF5" w:rsidRPr="009B37C7">
        <w:rPr>
          <w:rFonts w:cs="Arial"/>
          <w:color w:val="000000"/>
          <w:szCs w:val="20"/>
          <w:lang w:val="ru-RU"/>
        </w:rPr>
        <w:t>20</w:t>
      </w:r>
      <w:r w:rsidR="00AE3DF5">
        <w:rPr>
          <w:rFonts w:cs="Arial"/>
          <w:color w:val="000000"/>
          <w:szCs w:val="20"/>
          <w:lang w:val="ru-RU"/>
        </w:rPr>
        <w:t>2</w:t>
      </w:r>
      <w:r>
        <w:rPr>
          <w:rFonts w:cs="Arial"/>
          <w:color w:val="000000"/>
          <w:szCs w:val="20"/>
          <w:lang w:val="ru-RU"/>
        </w:rPr>
        <w:t>2</w:t>
      </w:r>
    </w:p>
    <w:p w14:paraId="29D9C79F" w14:textId="77777777" w:rsidR="00AE3DF5" w:rsidRDefault="00AE3DF5" w:rsidP="00AE3DF5">
      <w:pPr>
        <w:shd w:val="clear" w:color="auto" w:fill="FFFFFF"/>
        <w:rPr>
          <w:rFonts w:cs="Arial"/>
          <w:color w:val="000000"/>
          <w:szCs w:val="20"/>
        </w:rPr>
      </w:pPr>
    </w:p>
    <w:p w14:paraId="22CBD90F" w14:textId="77777777" w:rsidR="00AE3DF5" w:rsidRPr="00240845" w:rsidRDefault="00AE3DF5" w:rsidP="00AE3DF5">
      <w:pPr>
        <w:shd w:val="clear" w:color="auto" w:fill="FFFFFF"/>
        <w:rPr>
          <w:rFonts w:cs="Arial"/>
          <w:color w:val="000000"/>
          <w:szCs w:val="20"/>
        </w:rPr>
      </w:pPr>
    </w:p>
    <w:p w14:paraId="0152D411" w14:textId="77777777" w:rsidR="00AE3DF5" w:rsidRPr="009B37C7" w:rsidRDefault="00AE3DF5" w:rsidP="00AE3DF5">
      <w:pPr>
        <w:tabs>
          <w:tab w:val="left" w:pos="5245"/>
          <w:tab w:val="left" w:pos="7938"/>
        </w:tabs>
        <w:rPr>
          <w:rFonts w:cs="Arial"/>
          <w:szCs w:val="20"/>
          <w:lang w:val="ru-RU"/>
        </w:rPr>
      </w:pPr>
    </w:p>
    <w:p w14:paraId="35AC70F8" w14:textId="77777777" w:rsidR="00EC0536" w:rsidRPr="00EC0536" w:rsidRDefault="00EC0536" w:rsidP="00EC0536">
      <w:pPr>
        <w:rPr>
          <w:b/>
          <w:bCs/>
          <w:u w:val="single"/>
          <w:lang w:val="ru-RU"/>
        </w:rPr>
      </w:pPr>
      <w:r w:rsidRPr="00EC0536">
        <w:rPr>
          <w:b/>
          <w:bCs/>
          <w:u w:val="single"/>
          <w:lang w:val="ru-RU"/>
        </w:rPr>
        <w:t>Производство биопродуктов повысит добавленную стоимость эстонской древесины</w:t>
      </w:r>
    </w:p>
    <w:p w14:paraId="619E4BD1" w14:textId="581B983E" w:rsidR="00AE3DF5" w:rsidRPr="00D47F7D" w:rsidRDefault="00AE3DF5" w:rsidP="00AE3DF5">
      <w:pPr>
        <w:rPr>
          <w:b/>
          <w:u w:val="single"/>
          <w:lang w:val="ru-RU"/>
        </w:rPr>
      </w:pPr>
    </w:p>
    <w:p w14:paraId="10CF813F" w14:textId="77777777" w:rsidR="00AE3DF5" w:rsidRDefault="00AE3DF5" w:rsidP="00AE3DF5">
      <w:pPr>
        <w:rPr>
          <w:lang w:val="ru-RU"/>
        </w:rPr>
      </w:pPr>
    </w:p>
    <w:p w14:paraId="386F425A" w14:textId="77777777" w:rsidR="00EC0536" w:rsidRPr="00EC0536" w:rsidRDefault="00EC0536" w:rsidP="00EC0536">
      <w:pPr>
        <w:spacing w:after="120"/>
        <w:rPr>
          <w:lang w:val="ru-RU"/>
        </w:rPr>
      </w:pPr>
      <w:r w:rsidRPr="00EC0536">
        <w:rPr>
          <w:b/>
          <w:bCs/>
          <w:lang w:val="ru-RU"/>
        </w:rPr>
        <w:t xml:space="preserve">По словам руководителя по развитию </w:t>
      </w:r>
      <w:proofErr w:type="spellStart"/>
      <w:r w:rsidRPr="00EC0536">
        <w:rPr>
          <w:b/>
          <w:bCs/>
          <w:lang w:val="ru-RU"/>
        </w:rPr>
        <w:t>биопродукции</w:t>
      </w:r>
      <w:proofErr w:type="spellEnd"/>
      <w:r w:rsidRPr="00EC0536">
        <w:rPr>
          <w:b/>
          <w:bCs/>
          <w:lang w:val="ru-RU"/>
        </w:rPr>
        <w:t xml:space="preserve"> Viru Keemia Grupp Лаури Райда, планирование в </w:t>
      </w:r>
      <w:proofErr w:type="spellStart"/>
      <w:r w:rsidRPr="00EC0536">
        <w:rPr>
          <w:b/>
          <w:bCs/>
          <w:lang w:val="ru-RU"/>
        </w:rPr>
        <w:t>Люганузе</w:t>
      </w:r>
      <w:proofErr w:type="spellEnd"/>
      <w:r w:rsidRPr="00EC0536">
        <w:rPr>
          <w:b/>
          <w:bCs/>
          <w:lang w:val="ru-RU"/>
        </w:rPr>
        <w:t xml:space="preserve"> комплекса по производству биопродуктов – необходимый шаг на пути обеспечения устойчивости развития Эстонии. Он позволит стране избавиться от зависимости от экспорта балансовой древесины и прекратить нерационально сжигать неиспользуемые древесные ресурсы, а также найти замену ископаемому сырью, активизировать в регионе новую экономическую деятельность и создать рабочие места.</w:t>
      </w:r>
    </w:p>
    <w:p w14:paraId="1F51411A" w14:textId="77777777" w:rsidR="00EC0536" w:rsidRPr="00EC0536" w:rsidRDefault="00EC0536" w:rsidP="00EC0536">
      <w:pPr>
        <w:spacing w:after="120"/>
        <w:rPr>
          <w:lang w:val="ru-RU"/>
        </w:rPr>
      </w:pPr>
      <w:r w:rsidRPr="00EC0536">
        <w:rPr>
          <w:lang w:val="ru-RU"/>
        </w:rPr>
        <w:t>На сегодняшнем Дне окружающей среды, который традиционно организует концерн Viru Keemia Grupp, ученые, эксперты в области окружающей среды, представители власти и политики обсудили возможности обогащения древесины – одного из крупнейших природных ресурсов Эстонии.</w:t>
      </w:r>
    </w:p>
    <w:p w14:paraId="0B3B4416" w14:textId="77777777" w:rsidR="00EC0536" w:rsidRPr="00EC0536" w:rsidRDefault="00EC0536" w:rsidP="00EC0536">
      <w:pPr>
        <w:spacing w:after="120"/>
        <w:rPr>
          <w:lang w:val="ru-RU"/>
        </w:rPr>
      </w:pPr>
      <w:r w:rsidRPr="00EC0536">
        <w:rPr>
          <w:lang w:val="ru-RU"/>
        </w:rPr>
        <w:t xml:space="preserve">По словам участвовавшего в обсуждении </w:t>
      </w:r>
      <w:r w:rsidRPr="00EC0536">
        <w:rPr>
          <w:b/>
          <w:bCs/>
          <w:lang w:val="ru-RU"/>
        </w:rPr>
        <w:t xml:space="preserve">министра предпринимательства и информационных технологий </w:t>
      </w:r>
      <w:proofErr w:type="spellStart"/>
      <w:r w:rsidRPr="00EC0536">
        <w:rPr>
          <w:b/>
          <w:bCs/>
          <w:lang w:val="ru-RU"/>
        </w:rPr>
        <w:t>Кристьяна</w:t>
      </w:r>
      <w:proofErr w:type="spellEnd"/>
      <w:r w:rsidRPr="00EC0536">
        <w:rPr>
          <w:b/>
          <w:bCs/>
          <w:lang w:val="ru-RU"/>
        </w:rPr>
        <w:t xml:space="preserve"> </w:t>
      </w:r>
      <w:proofErr w:type="spellStart"/>
      <w:r w:rsidRPr="00EC0536">
        <w:rPr>
          <w:b/>
          <w:bCs/>
          <w:lang w:val="ru-RU"/>
        </w:rPr>
        <w:t>Ярвана</w:t>
      </w:r>
      <w:proofErr w:type="spellEnd"/>
      <w:r w:rsidRPr="00EC0536">
        <w:rPr>
          <w:lang w:val="ru-RU"/>
        </w:rPr>
        <w:t>, мы обязательно должны инвестировать, чтобы обеспечить более высокую степень обогащения древесины, чем раньше. «Таким образом это позволило бы нам получить более высокую ценность при тех же объёмах рубки. Государство может этому способствовать, например, поддержкой крупного инвестора, а также программой прикладных исследований, чтобы внести свой вклад в научные разработки или повышение ценности древесины при поддержке новых инвестиций», — сказал министр.</w:t>
      </w:r>
    </w:p>
    <w:p w14:paraId="7BAFB7F6" w14:textId="77777777" w:rsidR="00EC0536" w:rsidRPr="00EC0536" w:rsidRDefault="00EC0536" w:rsidP="00EC0536">
      <w:pPr>
        <w:spacing w:after="120"/>
        <w:rPr>
          <w:lang w:val="ru-RU"/>
        </w:rPr>
      </w:pPr>
      <w:r w:rsidRPr="00EC0536">
        <w:rPr>
          <w:b/>
          <w:bCs/>
          <w:lang w:val="ru-RU"/>
        </w:rPr>
        <w:t xml:space="preserve">Руководитель по развитию </w:t>
      </w:r>
      <w:proofErr w:type="spellStart"/>
      <w:r w:rsidRPr="00EC0536">
        <w:rPr>
          <w:b/>
          <w:bCs/>
          <w:lang w:val="ru-RU"/>
        </w:rPr>
        <w:t>биопродукции</w:t>
      </w:r>
      <w:proofErr w:type="spellEnd"/>
      <w:r w:rsidRPr="00EC0536">
        <w:rPr>
          <w:b/>
          <w:bCs/>
          <w:lang w:val="ru-RU"/>
        </w:rPr>
        <w:t xml:space="preserve"> Viru Keemia Grupp Лаури </w:t>
      </w:r>
      <w:proofErr w:type="spellStart"/>
      <w:r w:rsidRPr="00EC0536">
        <w:rPr>
          <w:b/>
          <w:bCs/>
          <w:lang w:val="ru-RU"/>
        </w:rPr>
        <w:t>Райд</w:t>
      </w:r>
      <w:proofErr w:type="spellEnd"/>
      <w:r w:rsidRPr="00EC0536">
        <w:rPr>
          <w:lang w:val="ru-RU"/>
        </w:rPr>
        <w:t xml:space="preserve"> пояснил, что процесс стратегической оценки воздействия производственного комплекса на окружающую среду был запущен в этом году. Детальный анализ пока не готов, но уже составленные выводы и оценки ученых относительно экологичного использования водных и лесных ресурсов открывают для региона широкие перспективы. По словам Райда, на данный момент наибольшие риски связаны по большей части с правовой средой. Необоснованные ограничения объемов вырубки леса, а также неоправданно высокие цели в области LULUCF (землепользование, изменение землепользования и лесное хозяйство) могут стать непреодолимым препятствием для инвестиций. Давление политики ЕС по замене ископаемого сырья возобновляемым велико. Одним из решений этого вопроса, безусловно, является лесное хозяйство. Нынешний процесс обновления Плана развития лесного хозяйства носит политический характер, и поэтому необходимость развития лесного сектора четко не определена.</w:t>
      </w:r>
    </w:p>
    <w:p w14:paraId="1F314C82" w14:textId="77777777" w:rsidR="00EC0536" w:rsidRPr="00EC0536" w:rsidRDefault="00EC0536" w:rsidP="00EC0536">
      <w:pPr>
        <w:spacing w:after="120"/>
        <w:rPr>
          <w:lang w:val="ru-RU"/>
        </w:rPr>
      </w:pPr>
      <w:proofErr w:type="spellStart"/>
      <w:r w:rsidRPr="00EC0536">
        <w:rPr>
          <w:lang w:val="ru-RU"/>
        </w:rPr>
        <w:t>Райд</w:t>
      </w:r>
      <w:proofErr w:type="spellEnd"/>
      <w:r w:rsidRPr="00EC0536">
        <w:rPr>
          <w:lang w:val="ru-RU"/>
        </w:rPr>
        <w:t xml:space="preserve"> пояснил, что планируемый производственный комплекс учитывает объемы вырубок, согласованные в Плане развития лесного хозяйства до 2030 года, а также цель, которая заключается в повышении ценности балансовой древесины в Эстонии. «Годовая потребность в сырье планируемого нами производственного комплекса составляет 2-2,3 млн кубометров балансовой древесины сосны, ели и березы. Для сравнения, ежегодно в Эстонии вырубается более 5 миллионов кубометров древесины, пригодной для </w:t>
      </w:r>
      <w:r w:rsidRPr="00EC0536">
        <w:rPr>
          <w:lang w:val="ru-RU"/>
        </w:rPr>
        <w:lastRenderedPageBreak/>
        <w:t xml:space="preserve">использования в целлюлозной промышленности. Дерево, не обладающее добавленной стоимостью, экспортируется в виде сырья, сжигается вместе с топливной древесиной или обогащается лишь минимально», – сказал </w:t>
      </w:r>
      <w:proofErr w:type="spellStart"/>
      <w:r w:rsidRPr="00EC0536">
        <w:rPr>
          <w:lang w:val="ru-RU"/>
        </w:rPr>
        <w:t>Райд</w:t>
      </w:r>
      <w:proofErr w:type="spellEnd"/>
      <w:r w:rsidRPr="00EC0536">
        <w:rPr>
          <w:lang w:val="ru-RU"/>
        </w:rPr>
        <w:t>.</w:t>
      </w:r>
    </w:p>
    <w:p w14:paraId="4150DFAF" w14:textId="77777777" w:rsidR="00EC0536" w:rsidRPr="00EC0536" w:rsidRDefault="00EC0536" w:rsidP="00EC0536">
      <w:pPr>
        <w:spacing w:after="120"/>
        <w:rPr>
          <w:lang w:val="ru-RU"/>
        </w:rPr>
      </w:pPr>
      <w:r w:rsidRPr="00EC0536">
        <w:rPr>
          <w:lang w:val="ru-RU"/>
        </w:rPr>
        <w:t>«В условиях сокращения сланцевой промышленности для социально-экономического роста Ида-Вирумаа необходимо получить новое производство и новые рабочие места. Планируемый комплекс поможет создать в производственной цепочке как минимум 1000 косвенных и 250 новых прямых рабочих мест. Кроме того, мы сохраним 250 миллионов евро добавленной стоимости, которую сегодня отдаем скандинавам из-за отсутствия возможности обогащать балансовую древесину на месте», – добавил он.</w:t>
      </w:r>
    </w:p>
    <w:p w14:paraId="56A208DA" w14:textId="77777777" w:rsidR="00EC0536" w:rsidRPr="00EC0536" w:rsidRDefault="00EC0536" w:rsidP="00EC0536">
      <w:pPr>
        <w:spacing w:after="120"/>
        <w:rPr>
          <w:lang w:val="ru-RU"/>
        </w:rPr>
      </w:pPr>
      <w:r w:rsidRPr="00EC0536">
        <w:rPr>
          <w:lang w:val="ru-RU"/>
        </w:rPr>
        <w:t>Интерес VKG заключается прежде всего в развитии дальнейшей переработки растворимой целлюлозы, конечные продукты которой используются в текстильной и биохимической, а также в лакокрасочной, пищевой и фармацевтической промышленности. Самая большая группа применения продукции – вискозные ткани. Однако спектр потребностей и возможностей намного шире, поскольку замена ископаемого сырья биохимическими продуктами происходит практически во всех отраслях экономики.</w:t>
      </w:r>
    </w:p>
    <w:p w14:paraId="213A6997" w14:textId="77777777" w:rsidR="00EC0536" w:rsidRPr="00EC0536" w:rsidRDefault="00EC0536" w:rsidP="00EC0536">
      <w:pPr>
        <w:spacing w:after="120"/>
        <w:rPr>
          <w:lang w:val="ru-RU"/>
        </w:rPr>
      </w:pPr>
      <w:r w:rsidRPr="00EC0536">
        <w:rPr>
          <w:lang w:val="ru-RU"/>
        </w:rPr>
        <w:t>Помимо основной продукции, комплекс дополнительно будет производить 730 гигаватт-часов возобновляемой электроэнергии. Больше половины этого объема будет направляться в сеть, поддерживая энергетическую безопасность Эстонии. В период с 2021 по 2024 годы проект находится в фазе планирования. Строительство производственного комплекса запланировано на 2025–</w:t>
      </w:r>
      <w:proofErr w:type="gramStart"/>
      <w:r w:rsidRPr="00EC0536">
        <w:rPr>
          <w:lang w:val="ru-RU"/>
        </w:rPr>
        <w:t>2026  годы</w:t>
      </w:r>
      <w:proofErr w:type="gramEnd"/>
      <w:r w:rsidRPr="00EC0536">
        <w:rPr>
          <w:lang w:val="ru-RU"/>
        </w:rPr>
        <w:t>, а запуск завода – на 2027 год.</w:t>
      </w:r>
    </w:p>
    <w:p w14:paraId="62F8DBD8" w14:textId="77777777" w:rsidR="00AE3DF5" w:rsidRPr="001D6C1A" w:rsidRDefault="00AE3DF5" w:rsidP="00AE3DF5">
      <w:pPr>
        <w:spacing w:after="120"/>
        <w:rPr>
          <w:lang w:val="ru-RU"/>
        </w:rPr>
      </w:pPr>
    </w:p>
    <w:p w14:paraId="0016E06A" w14:textId="77777777" w:rsidR="00AE3DF5" w:rsidRDefault="00AE3DF5" w:rsidP="00AE3DF5">
      <w:pPr>
        <w:rPr>
          <w:lang w:val="ru-RU"/>
        </w:rPr>
      </w:pPr>
      <w:r w:rsidRPr="001D6C1A">
        <w:rPr>
          <w:lang w:val="ru-RU"/>
        </w:rPr>
        <w:t>Дополнительная информация:</w:t>
      </w:r>
    </w:p>
    <w:p w14:paraId="08ABE80D" w14:textId="77777777" w:rsidR="00AE3DF5" w:rsidRPr="001D6C1A" w:rsidRDefault="00AE3DF5" w:rsidP="00AE3DF5">
      <w:pPr>
        <w:rPr>
          <w:lang w:val="ru-RU"/>
        </w:rPr>
      </w:pPr>
    </w:p>
    <w:p w14:paraId="45F1EE46" w14:textId="77777777" w:rsidR="00AE3DF5" w:rsidRPr="001D6C1A" w:rsidRDefault="00AE3DF5" w:rsidP="00AE3DF5">
      <w:pPr>
        <w:rPr>
          <w:lang w:val="ru-RU"/>
        </w:rPr>
      </w:pPr>
      <w:r w:rsidRPr="001D6C1A">
        <w:rPr>
          <w:lang w:val="ru-RU"/>
        </w:rPr>
        <w:t>Ирина Боенко</w:t>
      </w:r>
      <w:r>
        <w:rPr>
          <w:lang w:val="ru-RU"/>
        </w:rPr>
        <w:t>,</w:t>
      </w:r>
    </w:p>
    <w:p w14:paraId="6D4ED9B9" w14:textId="77777777" w:rsidR="00AE3DF5" w:rsidRPr="001D6C1A" w:rsidRDefault="00AE3DF5" w:rsidP="00AE3DF5">
      <w:pPr>
        <w:rPr>
          <w:lang w:val="ru-RU"/>
        </w:rPr>
      </w:pPr>
      <w:r w:rsidRPr="00E51E73">
        <w:rPr>
          <w:lang w:val="ru-RU"/>
        </w:rPr>
        <w:t>руководитель по связям с общественностью</w:t>
      </w:r>
      <w:r w:rsidRPr="001D6C1A">
        <w:rPr>
          <w:lang w:val="ru-RU"/>
        </w:rPr>
        <w:t xml:space="preserve"> </w:t>
      </w:r>
    </w:p>
    <w:p w14:paraId="05038439" w14:textId="77777777" w:rsidR="00AE3DF5" w:rsidRPr="00AE3DF5" w:rsidRDefault="00AE3DF5" w:rsidP="00AE3DF5">
      <w:pPr>
        <w:rPr>
          <w:lang w:val="en-US"/>
        </w:rPr>
      </w:pPr>
      <w:r w:rsidRPr="00AE3DF5">
        <w:rPr>
          <w:lang w:val="en-US"/>
        </w:rPr>
        <w:t>Viru Keemia Grupp AS</w:t>
      </w:r>
    </w:p>
    <w:p w14:paraId="72F4357A" w14:textId="77777777" w:rsidR="00AE3DF5" w:rsidRPr="00AE3DF5" w:rsidRDefault="00AE3DF5" w:rsidP="00AE3DF5">
      <w:pPr>
        <w:rPr>
          <w:lang w:val="en-US"/>
        </w:rPr>
      </w:pPr>
      <w:r w:rsidRPr="00AE3DF5">
        <w:rPr>
          <w:lang w:val="en-US"/>
        </w:rPr>
        <w:t>+372 523 2700</w:t>
      </w:r>
    </w:p>
    <w:p w14:paraId="1DB4810F" w14:textId="77777777" w:rsidR="00AE3DF5" w:rsidRPr="00AE3DF5" w:rsidRDefault="00AE3DF5" w:rsidP="00AE3DF5">
      <w:pPr>
        <w:rPr>
          <w:lang w:val="en-US"/>
        </w:rPr>
      </w:pPr>
      <w:r w:rsidRPr="00AE3DF5">
        <w:rPr>
          <w:lang w:val="en-US"/>
        </w:rPr>
        <w:t>+372 33 42702</w:t>
      </w:r>
    </w:p>
    <w:p w14:paraId="03178B48" w14:textId="644685E2" w:rsidR="000E3271" w:rsidRPr="00EC0536" w:rsidRDefault="00AE3DF5" w:rsidP="00AE3DF5">
      <w:pPr>
        <w:rPr>
          <w:lang w:val="en-US"/>
        </w:rPr>
      </w:pPr>
      <w:r w:rsidRPr="009B37C7">
        <w:rPr>
          <w:rFonts w:cs="Arial"/>
          <w:color w:val="000000"/>
          <w:szCs w:val="20"/>
          <w:lang w:val="ru-RU"/>
        </w:rPr>
        <w:t>Э</w:t>
      </w:r>
      <w:r w:rsidRPr="00EC0536">
        <w:rPr>
          <w:rFonts w:cs="Arial"/>
          <w:color w:val="000000"/>
          <w:szCs w:val="20"/>
          <w:lang w:val="en-US"/>
        </w:rPr>
        <w:t>-</w:t>
      </w:r>
      <w:r w:rsidRPr="009B37C7">
        <w:rPr>
          <w:rFonts w:cs="Arial"/>
          <w:color w:val="000000"/>
          <w:szCs w:val="20"/>
          <w:lang w:val="ru-RU"/>
        </w:rPr>
        <w:t>почта</w:t>
      </w:r>
      <w:r w:rsidRPr="00EC0536">
        <w:rPr>
          <w:rFonts w:cs="Arial"/>
          <w:color w:val="000000"/>
          <w:szCs w:val="20"/>
          <w:lang w:val="en-US"/>
        </w:rPr>
        <w:t xml:space="preserve">: </w:t>
      </w:r>
      <w:r w:rsidRPr="00AE3DF5">
        <w:rPr>
          <w:rFonts w:cs="Arial"/>
          <w:color w:val="000000"/>
          <w:szCs w:val="20"/>
          <w:lang w:val="en-US"/>
        </w:rPr>
        <w:t>irina</w:t>
      </w:r>
      <w:r w:rsidRPr="00EC0536">
        <w:rPr>
          <w:rFonts w:cs="Arial"/>
          <w:color w:val="000000"/>
          <w:szCs w:val="20"/>
          <w:lang w:val="en-US"/>
        </w:rPr>
        <w:t>.</w:t>
      </w:r>
      <w:r w:rsidRPr="00AE3DF5">
        <w:rPr>
          <w:rFonts w:cs="Arial"/>
          <w:color w:val="000000"/>
          <w:szCs w:val="20"/>
          <w:lang w:val="en-US"/>
        </w:rPr>
        <w:t>bojenko</w:t>
      </w:r>
      <w:r w:rsidRPr="00EC0536">
        <w:rPr>
          <w:rFonts w:cs="Arial"/>
          <w:color w:val="000000"/>
          <w:szCs w:val="20"/>
          <w:lang w:val="en-US"/>
        </w:rPr>
        <w:t>@</w:t>
      </w:r>
      <w:r w:rsidRPr="00AE3DF5">
        <w:rPr>
          <w:rFonts w:cs="Arial"/>
          <w:color w:val="000000"/>
          <w:szCs w:val="20"/>
          <w:lang w:val="en-US"/>
        </w:rPr>
        <w:t>vkg</w:t>
      </w:r>
      <w:r w:rsidRPr="00EC0536">
        <w:rPr>
          <w:rFonts w:cs="Arial"/>
          <w:color w:val="000000"/>
          <w:szCs w:val="20"/>
          <w:lang w:val="en-US"/>
        </w:rPr>
        <w:t>.</w:t>
      </w:r>
      <w:r w:rsidRPr="00AE3DF5">
        <w:rPr>
          <w:rFonts w:cs="Arial"/>
          <w:color w:val="000000"/>
          <w:szCs w:val="20"/>
          <w:lang w:val="en-US"/>
        </w:rPr>
        <w:t>ee</w:t>
      </w:r>
    </w:p>
    <w:sectPr w:rsidR="000E3271" w:rsidRPr="00EC0536" w:rsidSect="000D66AD">
      <w:footerReference w:type="default" r:id="rId7"/>
      <w:headerReference w:type="first" r:id="rId8"/>
      <w:footerReference w:type="first" r:id="rId9"/>
      <w:pgSz w:w="11906" w:h="16838" w:code="9"/>
      <w:pgMar w:top="680" w:right="851" w:bottom="680" w:left="1701" w:header="425" w:footer="6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739F5" w14:textId="77777777" w:rsidR="007A3B06" w:rsidRDefault="007A3B06" w:rsidP="00CF1326">
      <w:r>
        <w:separator/>
      </w:r>
    </w:p>
  </w:endnote>
  <w:endnote w:type="continuationSeparator" w:id="0">
    <w:p w14:paraId="61B075F6" w14:textId="77777777" w:rsidR="007A3B06" w:rsidRDefault="007A3B06" w:rsidP="00CF1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ktivGrotesk-Regular">
    <w:altName w:val="Yu Gothic"/>
    <w:charset w:val="00"/>
    <w:family w:val="swiss"/>
    <w:pitch w:val="variable"/>
    <w:sig w:usb0="E000AAFF" w:usb1="D000FFFB" w:usb2="00000028" w:usb3="00000000" w:csb0="000001FF" w:csb1="00000000"/>
  </w:font>
  <w:font w:name="Gordita Medium">
    <w:altName w:val="Gordita Medium"/>
    <w:panose1 w:val="00000000000000000000"/>
    <w:charset w:val="00"/>
    <w:family w:val="modern"/>
    <w:notTrueType/>
    <w:pitch w:val="variable"/>
    <w:sig w:usb0="A10002CF" w:usb1="5000E07A" w:usb2="00000000" w:usb3="00000000" w:csb0="00000197" w:csb1="00000000"/>
  </w:font>
  <w:font w:name="AktivGrotesk-Bold">
    <w:altName w:val="Yu Gothic"/>
    <w:charset w:val="00"/>
    <w:family w:val="swiss"/>
    <w:pitch w:val="variable"/>
    <w:sig w:usb0="E000AAFF" w:usb1="D000FFFB" w:usb2="00000028" w:usb3="00000000" w:csb0="000001FF" w:csb1="00000000"/>
  </w:font>
  <w:font w:name="Gordita">
    <w:altName w:val="Gordita"/>
    <w:panose1 w:val="00000000000000000000"/>
    <w:charset w:val="00"/>
    <w:family w:val="modern"/>
    <w:notTrueType/>
    <w:pitch w:val="variable"/>
    <w:sig w:usb0="A10002CF" w:usb1="5000E07A"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6100" w14:textId="12F1F428" w:rsidR="00171B89" w:rsidRDefault="00000000" w:rsidP="00171B89">
    <w:pPr>
      <w:pStyle w:val="Footer"/>
      <w:rPr>
        <w:sz w:val="16"/>
        <w:szCs w:val="16"/>
      </w:rPr>
    </w:pPr>
  </w:p>
  <w:p w14:paraId="0C1D0ED2" w14:textId="274FB535" w:rsidR="00AB18FF" w:rsidRPr="006D6F47" w:rsidRDefault="006C08D6" w:rsidP="00171B89">
    <w:pPr>
      <w:pStyle w:val="Footer"/>
      <w:rPr>
        <w:sz w:val="16"/>
        <w:szCs w:val="16"/>
      </w:rPr>
    </w:pPr>
    <w:r w:rsidRPr="006C08D6">
      <w:rPr>
        <w:rFonts w:eastAsia="AktivGrotesk-Regular"/>
        <w:noProof/>
        <w:sz w:val="16"/>
        <w:szCs w:val="16"/>
      </w:rPr>
      <mc:AlternateContent>
        <mc:Choice Requires="wps">
          <w:drawing>
            <wp:anchor distT="0" distB="0" distL="114300" distR="114300" simplePos="0" relativeHeight="251675648" behindDoc="0" locked="0" layoutInCell="1" allowOverlap="1" wp14:anchorId="1B9B3EEF" wp14:editId="789B6FD8">
              <wp:simplePos x="0" y="0"/>
              <wp:positionH relativeFrom="column">
                <wp:posOffset>-143307</wp:posOffset>
              </wp:positionH>
              <wp:positionV relativeFrom="paragraph">
                <wp:posOffset>105261</wp:posOffset>
              </wp:positionV>
              <wp:extent cx="0" cy="242881"/>
              <wp:effectExtent l="12700" t="0" r="12700" b="24130"/>
              <wp:wrapNone/>
              <wp:docPr id="14" name="Straight Connector 14"/>
              <wp:cNvGraphicFramePr/>
              <a:graphic xmlns:a="http://schemas.openxmlformats.org/drawingml/2006/main">
                <a:graphicData uri="http://schemas.microsoft.com/office/word/2010/wordprocessingShape">
                  <wps:wsp>
                    <wps:cNvCnPr/>
                    <wps:spPr>
                      <a:xfrm>
                        <a:off x="0" y="0"/>
                        <a:ext cx="0" cy="242881"/>
                      </a:xfrm>
                      <a:prstGeom prst="line">
                        <a:avLst/>
                      </a:prstGeom>
                      <a:ln>
                        <a:solidFill>
                          <a:srgbClr val="00B050"/>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283530" id="Straight Connector 1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pt,8.3pt" to="-11.3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" strokecolor="#00b050" strokeweight="1.5pt">
              <v:stroke joinstyle="miter"/>
            </v:line>
          </w:pict>
        </mc:Fallback>
      </mc:AlternateContent>
    </w:r>
  </w:p>
  <w:p w14:paraId="4F10A327" w14:textId="37E769C7" w:rsidR="009506CE" w:rsidRPr="00FA7F47" w:rsidRDefault="006C08D6" w:rsidP="00703185">
    <w:pPr>
      <w:pStyle w:val="Footer"/>
    </w:pPr>
    <w:r w:rsidRPr="006C08D6">
      <w:rPr>
        <w:noProof/>
        <w:sz w:val="16"/>
        <w:szCs w:val="16"/>
      </w:rPr>
      <mc:AlternateContent>
        <mc:Choice Requires="wps">
          <w:drawing>
            <wp:anchor distT="0" distB="0" distL="114300" distR="114300" simplePos="0" relativeHeight="251674624" behindDoc="0" locked="0" layoutInCell="1" allowOverlap="1" wp14:anchorId="3AB28428" wp14:editId="7E1EB4AA">
              <wp:simplePos x="0" y="0"/>
              <wp:positionH relativeFrom="column">
                <wp:posOffset>0</wp:posOffset>
              </wp:positionH>
              <wp:positionV relativeFrom="paragraph">
                <wp:posOffset>4445</wp:posOffset>
              </wp:positionV>
              <wp:extent cx="1594485" cy="271780"/>
              <wp:effectExtent l="0" t="0" r="5715" b="0"/>
              <wp:wrapNone/>
              <wp:docPr id="13" name="Text Box 13"/>
              <wp:cNvGraphicFramePr/>
              <a:graphic xmlns:a="http://schemas.openxmlformats.org/drawingml/2006/main">
                <a:graphicData uri="http://schemas.microsoft.com/office/word/2010/wordprocessingShape">
                  <wps:wsp>
                    <wps:cNvSpPr txBox="1"/>
                    <wps:spPr>
                      <a:xfrm>
                        <a:off x="0" y="0"/>
                        <a:ext cx="1594485" cy="271780"/>
                      </a:xfrm>
                      <a:prstGeom prst="rect">
                        <a:avLst/>
                      </a:prstGeom>
                      <a:solidFill>
                        <a:schemeClr val="lt1"/>
                      </a:solidFill>
                      <a:ln w="6350">
                        <a:noFill/>
                      </a:ln>
                    </wps:spPr>
                    <wps:txbx>
                      <w:txbxContent>
                        <w:p w14:paraId="704BFACC" w14:textId="40F69B5C" w:rsidR="006C08D6" w:rsidRPr="00291015" w:rsidRDefault="006C08D6" w:rsidP="006C08D6">
                          <w:pPr>
                            <w:spacing w:line="312" w:lineRule="auto"/>
                            <w:jc w:val="left"/>
                            <w:rPr>
                              <w:sz w:val="14"/>
                              <w:szCs w:val="14"/>
                            </w:rPr>
                          </w:pPr>
                          <w:r w:rsidRPr="00291015">
                            <w:rPr>
                              <w:rFonts w:ascii="Gordita Medium" w:eastAsia="AktivGrotesk-Bold" w:hAnsi="Gordita Medium" w:cs="AktivGrotesk-Bold"/>
                              <w:sz w:val="14"/>
                              <w:szCs w:val="14"/>
                            </w:rPr>
                            <w:t>Viru Keemia Grupp AS</w:t>
                          </w:r>
                          <w:r w:rsidRPr="00291015">
                            <w:rPr>
                              <w:rFonts w:ascii="Gordita Medium" w:eastAsia="AktivGrotesk-Bold" w:hAnsi="Gordita Medium" w:cs="AktivGrotesk-Bold"/>
                              <w:sz w:val="14"/>
                              <w:szCs w:val="14"/>
                            </w:rPr>
                            <w:br/>
                          </w:r>
                          <w:r w:rsidRPr="00BE40CF">
                            <w:rPr>
                              <w:rFonts w:ascii="Gordita" w:eastAsia="AktivGrotesk-Regular" w:hAnsi="Gordita" w:cs="AktivGrotesk-Regular"/>
                              <w:sz w:val="14"/>
                              <w:szCs w:val="14"/>
                              <w:lang w:val="es-ES"/>
                            </w:rPr>
                            <w:t>www.vkg.ee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28428" id="_x0000_t202" coordsize="21600,21600" o:spt="202" path="m,l,21600r21600,l21600,xe">
              <v:stroke joinstyle="miter"/>
              <v:path gradientshapeok="t" o:connecttype="rect"/>
            </v:shapetype>
            <v:shape id="Text Box 13" o:spid="_x0000_s1026" type="#_x0000_t202" style="position:absolute;margin-left:0;margin-top:.35pt;width:125.55pt;height:2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" fillcolor="white [3201]" stroked="f" strokeweight=".5pt">
              <v:textbox inset="0,0,0,0">
                <w:txbxContent>
                  <w:p w14:paraId="704BFACC" w14:textId="40F69B5C" w:rsidR="006C08D6" w:rsidRPr="00291015" w:rsidRDefault="006C08D6" w:rsidP="006C08D6">
                    <w:pPr>
                      <w:spacing w:line="312" w:lineRule="auto"/>
                      <w:jc w:val="left"/>
                      <w:rPr>
                        <w:sz w:val="14"/>
                        <w:szCs w:val="14"/>
                      </w:rPr>
                    </w:pPr>
                    <w:r w:rsidRPr="00291015">
                      <w:rPr>
                        <w:rFonts w:ascii="Gordita Medium" w:eastAsia="AktivGrotesk-Bold" w:hAnsi="Gordita Medium" w:cs="AktivGrotesk-Bold"/>
                        <w:sz w:val="14"/>
                        <w:szCs w:val="14"/>
                      </w:rPr>
                      <w:t>Viru Keemia Grupp AS</w:t>
                    </w:r>
                    <w:r w:rsidRPr="00291015">
                      <w:rPr>
                        <w:rFonts w:ascii="Gordita Medium" w:eastAsia="AktivGrotesk-Bold" w:hAnsi="Gordita Medium" w:cs="AktivGrotesk-Bold"/>
                        <w:sz w:val="14"/>
                        <w:szCs w:val="14"/>
                      </w:rPr>
                      <w:br/>
                    </w:r>
                    <w:r w:rsidRPr="00BE40CF">
                      <w:rPr>
                        <w:rFonts w:ascii="Gordita" w:eastAsia="AktivGrotesk-Regular" w:hAnsi="Gordita" w:cs="AktivGrotesk-Regular"/>
                        <w:sz w:val="14"/>
                        <w:szCs w:val="14"/>
                        <w:lang w:val="es-ES"/>
                      </w:rPr>
                      <w:t>www.vkg.ee</w:t>
                    </w:r>
                  </w:p>
                </w:txbxContent>
              </v:textbox>
            </v:shape>
          </w:pict>
        </mc:Fallback>
      </mc:AlternateContent>
    </w:r>
    <w:r w:rsidR="00440775" w:rsidRPr="00C95268">
      <w:rPr>
        <w:color w:val="005D00"/>
      </w:rPr>
      <w:tab/>
    </w:r>
  </w:p>
  <w:p w14:paraId="4C4FF751" w14:textId="77777777" w:rsidR="009506CE" w:rsidRPr="006C08D6" w:rsidRDefault="00440775" w:rsidP="00703185">
    <w:pPr>
      <w:pStyle w:val="Footer"/>
      <w:rPr>
        <w:rFonts w:ascii="Gordita" w:hAnsi="Gordita"/>
        <w:color w:val="000000" w:themeColor="text1"/>
        <w:sz w:val="14"/>
        <w:szCs w:val="14"/>
      </w:rPr>
    </w:pPr>
    <w:r>
      <w:rPr>
        <w:color w:val="005D00"/>
      </w:rPr>
      <w:tab/>
    </w:r>
    <w:r>
      <w:rPr>
        <w:color w:val="005D00"/>
      </w:rPr>
      <w:tab/>
    </w:r>
    <w:r w:rsidRPr="006C08D6">
      <w:rPr>
        <w:rStyle w:val="PageNumber"/>
        <w:rFonts w:ascii="Gordita" w:hAnsi="Gordita"/>
        <w:color w:val="000000" w:themeColor="text1"/>
        <w:sz w:val="14"/>
        <w:szCs w:val="14"/>
      </w:rPr>
      <w:fldChar w:fldCharType="begin"/>
    </w:r>
    <w:r w:rsidRPr="006C08D6">
      <w:rPr>
        <w:rStyle w:val="PageNumber"/>
        <w:rFonts w:ascii="Gordita" w:hAnsi="Gordita"/>
        <w:color w:val="000000" w:themeColor="text1"/>
        <w:sz w:val="14"/>
        <w:szCs w:val="14"/>
      </w:rPr>
      <w:instrText xml:space="preserve"> PAGE </w:instrText>
    </w:r>
    <w:r w:rsidRPr="006C08D6">
      <w:rPr>
        <w:rStyle w:val="PageNumber"/>
        <w:rFonts w:ascii="Gordita" w:hAnsi="Gordita"/>
        <w:color w:val="000000" w:themeColor="text1"/>
        <w:sz w:val="14"/>
        <w:szCs w:val="14"/>
      </w:rPr>
      <w:fldChar w:fldCharType="separate"/>
    </w:r>
    <w:r w:rsidRPr="006C08D6">
      <w:rPr>
        <w:rStyle w:val="PageNumber"/>
        <w:rFonts w:ascii="Gordita" w:hAnsi="Gordita"/>
        <w:noProof/>
        <w:color w:val="000000" w:themeColor="text1"/>
        <w:sz w:val="14"/>
        <w:szCs w:val="14"/>
      </w:rPr>
      <w:t>2</w:t>
    </w:r>
    <w:r w:rsidRPr="006C08D6">
      <w:rPr>
        <w:rStyle w:val="PageNumber"/>
        <w:rFonts w:ascii="Gordita" w:hAnsi="Gordita"/>
        <w:color w:val="000000" w:themeColor="text1"/>
        <w:sz w:val="14"/>
        <w:szCs w:val="14"/>
      </w:rPr>
      <w:fldChar w:fldCharType="end"/>
    </w:r>
    <w:r w:rsidRPr="006C08D6">
      <w:rPr>
        <w:rStyle w:val="PageNumber"/>
        <w:rFonts w:ascii="Gordita" w:hAnsi="Gordita"/>
        <w:color w:val="000000" w:themeColor="text1"/>
        <w:sz w:val="14"/>
        <w:szCs w:val="14"/>
      </w:rPr>
      <w:t>/</w:t>
    </w:r>
    <w:r w:rsidRPr="006C08D6">
      <w:rPr>
        <w:rStyle w:val="PageNumber"/>
        <w:rFonts w:ascii="Gordita" w:hAnsi="Gordita"/>
        <w:color w:val="000000" w:themeColor="text1"/>
        <w:sz w:val="14"/>
        <w:szCs w:val="14"/>
      </w:rPr>
      <w:fldChar w:fldCharType="begin"/>
    </w:r>
    <w:r w:rsidRPr="006C08D6">
      <w:rPr>
        <w:rStyle w:val="PageNumber"/>
        <w:rFonts w:ascii="Gordita" w:hAnsi="Gordita"/>
        <w:color w:val="000000" w:themeColor="text1"/>
        <w:sz w:val="14"/>
        <w:szCs w:val="14"/>
      </w:rPr>
      <w:instrText xml:space="preserve"> NUMPAGES </w:instrText>
    </w:r>
    <w:r w:rsidRPr="006C08D6">
      <w:rPr>
        <w:rStyle w:val="PageNumber"/>
        <w:rFonts w:ascii="Gordita" w:hAnsi="Gordita"/>
        <w:color w:val="000000" w:themeColor="text1"/>
        <w:sz w:val="14"/>
        <w:szCs w:val="14"/>
      </w:rPr>
      <w:fldChar w:fldCharType="separate"/>
    </w:r>
    <w:r w:rsidRPr="006C08D6">
      <w:rPr>
        <w:rStyle w:val="PageNumber"/>
        <w:rFonts w:ascii="Gordita" w:hAnsi="Gordita"/>
        <w:noProof/>
        <w:color w:val="000000" w:themeColor="text1"/>
        <w:sz w:val="14"/>
        <w:szCs w:val="14"/>
      </w:rPr>
      <w:t>1</w:t>
    </w:r>
    <w:r w:rsidRPr="006C08D6">
      <w:rPr>
        <w:rStyle w:val="PageNumber"/>
        <w:rFonts w:ascii="Gordita" w:hAnsi="Gordita"/>
        <w:color w:val="000000" w:themeColor="text1"/>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D0F16" w14:textId="2537942D" w:rsidR="00CB7867" w:rsidRPr="00291015" w:rsidRDefault="00D03A88" w:rsidP="00291015">
    <w:pPr>
      <w:pStyle w:val="Footer"/>
      <w:rPr>
        <w:sz w:val="16"/>
        <w:szCs w:val="16"/>
      </w:rPr>
    </w:pPr>
    <w:r w:rsidRPr="00FE530E">
      <w:rPr>
        <w:rFonts w:ascii="Gordita" w:hAnsi="Gordita"/>
        <w:color w:val="auto"/>
        <w:sz w:val="18"/>
        <w:szCs w:val="18"/>
      </w:rPr>
      <w:tab/>
    </w:r>
    <w:r w:rsidR="00CF1326" w:rsidRPr="00FE530E">
      <w:rPr>
        <w:rFonts w:ascii="Gordita" w:hAnsi="Gordita"/>
        <w:color w:val="auto"/>
        <w:sz w:val="18"/>
        <w:szCs w:val="18"/>
      </w:rPr>
      <w:tab/>
    </w:r>
    <w:r w:rsidR="00CF1326" w:rsidRPr="00FE530E">
      <w:rPr>
        <w:rFonts w:ascii="Gordita" w:hAnsi="Gordita"/>
        <w:color w:val="auto"/>
        <w:sz w:val="18"/>
        <w:szCs w:val="18"/>
      </w:rPr>
      <w:tab/>
    </w:r>
    <w:r w:rsidR="00CF1326" w:rsidRPr="00FE530E">
      <w:rPr>
        <w:rFonts w:ascii="Gordita" w:hAnsi="Gordita"/>
        <w:color w:val="auto"/>
        <w:sz w:val="18"/>
        <w:szCs w:val="18"/>
      </w:rPr>
      <w:tab/>
    </w:r>
    <w:r w:rsidR="00CF1326" w:rsidRPr="00FE530E">
      <w:rPr>
        <w:rFonts w:ascii="Gordita" w:hAnsi="Gordita"/>
        <w:color w:val="auto"/>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4CFAC" w14:textId="77777777" w:rsidR="007A3B06" w:rsidRDefault="007A3B06" w:rsidP="00CF1326">
      <w:r>
        <w:separator/>
      </w:r>
    </w:p>
  </w:footnote>
  <w:footnote w:type="continuationSeparator" w:id="0">
    <w:p w14:paraId="7B2BF849" w14:textId="77777777" w:rsidR="007A3B06" w:rsidRDefault="007A3B06" w:rsidP="00CF1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FFA8F" w14:textId="599ABD21" w:rsidR="001E257D" w:rsidRPr="001739B5" w:rsidRDefault="000D66AD" w:rsidP="000D66AD">
    <w:pPr>
      <w:pStyle w:val="Header"/>
      <w:tabs>
        <w:tab w:val="clear" w:pos="9072"/>
      </w:tabs>
      <w:ind w:right="-144"/>
      <w:jc w:val="right"/>
      <w:rPr>
        <w:sz w:val="20"/>
        <w:szCs w:val="20"/>
      </w:rPr>
    </w:pPr>
    <w:r>
      <w:rPr>
        <w:noProof/>
      </w:rPr>
      <w:drawing>
        <wp:anchor distT="0" distB="0" distL="114300" distR="114300" simplePos="0" relativeHeight="251661312" behindDoc="0" locked="0" layoutInCell="1" allowOverlap="1" wp14:anchorId="415015D5" wp14:editId="5CC73882">
          <wp:simplePos x="0" y="0"/>
          <wp:positionH relativeFrom="column">
            <wp:posOffset>-48895</wp:posOffset>
          </wp:positionH>
          <wp:positionV relativeFrom="paragraph">
            <wp:posOffset>165735</wp:posOffset>
          </wp:positionV>
          <wp:extent cx="984250" cy="430530"/>
          <wp:effectExtent l="0" t="0" r="6350" b="762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t="19768"/>
                  <a:stretch>
                    <a:fillRect/>
                  </a:stretch>
                </pic:blipFill>
                <pic:spPr bwMode="auto">
                  <a:xfrm>
                    <a:off x="0" y="0"/>
                    <a:ext cx="984250" cy="430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5C2F5E" w14:textId="79CA1BD5" w:rsidR="001E257D" w:rsidRPr="001739B5" w:rsidRDefault="00000000" w:rsidP="00486050">
    <w:pPr>
      <w:pStyle w:val="Header"/>
      <w:tabs>
        <w:tab w:val="clear" w:pos="9072"/>
        <w:tab w:val="right" w:pos="9781"/>
      </w:tabs>
      <w:ind w:right="-144"/>
      <w:jc w:val="right"/>
      <w:rPr>
        <w:sz w:val="20"/>
        <w:szCs w:val="20"/>
      </w:rPr>
    </w:pPr>
  </w:p>
  <w:p w14:paraId="579206CF" w14:textId="2A78DBF7" w:rsidR="00915C26" w:rsidRDefault="00000000" w:rsidP="00866748">
    <w:pPr>
      <w:pStyle w:val="Header"/>
      <w:tabs>
        <w:tab w:val="clear" w:pos="9072"/>
        <w:tab w:val="left" w:pos="9354"/>
        <w:tab w:val="right" w:pos="9781"/>
      </w:tabs>
      <w:ind w:right="-144"/>
      <w:jc w:val="right"/>
      <w:rPr>
        <w:sz w:val="20"/>
        <w:szCs w:val="20"/>
      </w:rPr>
    </w:pPr>
  </w:p>
  <w:p w14:paraId="799B6BAB" w14:textId="570C8C9C" w:rsidR="00472151" w:rsidRDefault="00472151" w:rsidP="00866748">
    <w:pPr>
      <w:pStyle w:val="Header"/>
      <w:tabs>
        <w:tab w:val="clear" w:pos="9072"/>
        <w:tab w:val="left" w:pos="9354"/>
        <w:tab w:val="right" w:pos="9781"/>
      </w:tabs>
      <w:ind w:right="-144"/>
      <w:jc w:val="right"/>
      <w:rPr>
        <w:sz w:val="20"/>
        <w:szCs w:val="20"/>
      </w:rPr>
    </w:pPr>
  </w:p>
  <w:p w14:paraId="177B26EC" w14:textId="6A90F4F0" w:rsidR="0011741E" w:rsidRDefault="0011741E" w:rsidP="00866748">
    <w:pPr>
      <w:pStyle w:val="Header"/>
      <w:tabs>
        <w:tab w:val="clear" w:pos="9072"/>
        <w:tab w:val="left" w:pos="9354"/>
        <w:tab w:val="right" w:pos="9781"/>
      </w:tabs>
      <w:ind w:right="-144"/>
      <w:jc w:val="right"/>
      <w:rPr>
        <w:sz w:val="20"/>
        <w:szCs w:val="20"/>
      </w:rPr>
    </w:pPr>
  </w:p>
  <w:p w14:paraId="561186C9" w14:textId="796CA090" w:rsidR="0011741E" w:rsidRDefault="0011741E" w:rsidP="00866748">
    <w:pPr>
      <w:pStyle w:val="Header"/>
      <w:tabs>
        <w:tab w:val="clear" w:pos="9072"/>
        <w:tab w:val="left" w:pos="9354"/>
        <w:tab w:val="right" w:pos="9781"/>
      </w:tabs>
      <w:ind w:right="-144"/>
      <w:jc w:val="right"/>
      <w:rPr>
        <w:sz w:val="20"/>
        <w:szCs w:val="20"/>
      </w:rPr>
    </w:pPr>
  </w:p>
  <w:p w14:paraId="5758A275" w14:textId="7E5D3CF0" w:rsidR="0011741E" w:rsidRDefault="0011741E" w:rsidP="00866748">
    <w:pPr>
      <w:pStyle w:val="Header"/>
      <w:tabs>
        <w:tab w:val="clear" w:pos="9072"/>
        <w:tab w:val="left" w:pos="9354"/>
        <w:tab w:val="right" w:pos="9781"/>
      </w:tabs>
      <w:ind w:right="-144"/>
      <w:jc w:val="right"/>
      <w:rPr>
        <w:sz w:val="20"/>
        <w:szCs w:val="20"/>
      </w:rPr>
    </w:pPr>
  </w:p>
  <w:p w14:paraId="59F7CC9B" w14:textId="1271353F" w:rsidR="0011741E" w:rsidRDefault="0011741E" w:rsidP="00866748">
    <w:pPr>
      <w:pStyle w:val="Header"/>
      <w:tabs>
        <w:tab w:val="clear" w:pos="9072"/>
        <w:tab w:val="left" w:pos="9354"/>
        <w:tab w:val="right" w:pos="9781"/>
      </w:tabs>
      <w:ind w:right="-144"/>
      <w:jc w:val="right"/>
      <w:rPr>
        <w:sz w:val="20"/>
        <w:szCs w:val="20"/>
      </w:rPr>
    </w:pPr>
  </w:p>
  <w:p w14:paraId="77982A21" w14:textId="77777777" w:rsidR="0011741E" w:rsidRPr="0055789B" w:rsidRDefault="0011741E" w:rsidP="00866748">
    <w:pPr>
      <w:pStyle w:val="Header"/>
      <w:tabs>
        <w:tab w:val="clear" w:pos="9072"/>
        <w:tab w:val="left" w:pos="9354"/>
        <w:tab w:val="right" w:pos="9781"/>
      </w:tabs>
      <w:ind w:right="-144"/>
      <w:jc w:val="righ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845"/>
    <w:rsid w:val="000022AC"/>
    <w:rsid w:val="00015CE0"/>
    <w:rsid w:val="0003704D"/>
    <w:rsid w:val="000561DB"/>
    <w:rsid w:val="000678B9"/>
    <w:rsid w:val="00092720"/>
    <w:rsid w:val="000D66AD"/>
    <w:rsid w:val="000E3271"/>
    <w:rsid w:val="0011741E"/>
    <w:rsid w:val="00123E71"/>
    <w:rsid w:val="00135141"/>
    <w:rsid w:val="00155B45"/>
    <w:rsid w:val="001713EF"/>
    <w:rsid w:val="001C5BF8"/>
    <w:rsid w:val="001F7953"/>
    <w:rsid w:val="002203C6"/>
    <w:rsid w:val="00243845"/>
    <w:rsid w:val="002748BA"/>
    <w:rsid w:val="00277C59"/>
    <w:rsid w:val="00287960"/>
    <w:rsid w:val="00291015"/>
    <w:rsid w:val="002968D8"/>
    <w:rsid w:val="002C7DCF"/>
    <w:rsid w:val="003113EF"/>
    <w:rsid w:val="00375D0A"/>
    <w:rsid w:val="003A5733"/>
    <w:rsid w:val="00410B1C"/>
    <w:rsid w:val="00435958"/>
    <w:rsid w:val="00440775"/>
    <w:rsid w:val="004421CC"/>
    <w:rsid w:val="00467E71"/>
    <w:rsid w:val="00472151"/>
    <w:rsid w:val="004C266C"/>
    <w:rsid w:val="005810A2"/>
    <w:rsid w:val="00630395"/>
    <w:rsid w:val="0065684A"/>
    <w:rsid w:val="00677885"/>
    <w:rsid w:val="006C08D6"/>
    <w:rsid w:val="00710246"/>
    <w:rsid w:val="007779C8"/>
    <w:rsid w:val="00782A58"/>
    <w:rsid w:val="007A39A7"/>
    <w:rsid w:val="007A3B06"/>
    <w:rsid w:val="0085696C"/>
    <w:rsid w:val="0086188C"/>
    <w:rsid w:val="00867452"/>
    <w:rsid w:val="008A0DDC"/>
    <w:rsid w:val="008D2124"/>
    <w:rsid w:val="00931E86"/>
    <w:rsid w:val="00980F28"/>
    <w:rsid w:val="009C7655"/>
    <w:rsid w:val="00A13894"/>
    <w:rsid w:val="00AB0293"/>
    <w:rsid w:val="00AB18FF"/>
    <w:rsid w:val="00AC594A"/>
    <w:rsid w:val="00AE3DF5"/>
    <w:rsid w:val="00B048B9"/>
    <w:rsid w:val="00B31005"/>
    <w:rsid w:val="00B7740A"/>
    <w:rsid w:val="00B83522"/>
    <w:rsid w:val="00BE40CF"/>
    <w:rsid w:val="00C44AAB"/>
    <w:rsid w:val="00C96414"/>
    <w:rsid w:val="00C96FFA"/>
    <w:rsid w:val="00CF1326"/>
    <w:rsid w:val="00D03A88"/>
    <w:rsid w:val="00DA0294"/>
    <w:rsid w:val="00DA030A"/>
    <w:rsid w:val="00DB59D1"/>
    <w:rsid w:val="00E403A9"/>
    <w:rsid w:val="00E409FB"/>
    <w:rsid w:val="00E56CBB"/>
    <w:rsid w:val="00E65EE3"/>
    <w:rsid w:val="00E92333"/>
    <w:rsid w:val="00E95B6F"/>
    <w:rsid w:val="00EA7725"/>
    <w:rsid w:val="00EC0536"/>
    <w:rsid w:val="00EE6A23"/>
    <w:rsid w:val="00F34D44"/>
    <w:rsid w:val="00F351D4"/>
    <w:rsid w:val="00FE530E"/>
    <w:rsid w:val="00FF20BF"/>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0C027"/>
  <w15:chartTrackingRefBased/>
  <w15:docId w15:val="{7D28901D-D82F-4240-8936-03BE26E5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845"/>
    <w:pPr>
      <w:spacing w:after="0" w:line="240" w:lineRule="auto"/>
      <w:jc w:val="both"/>
    </w:pPr>
    <w:rPr>
      <w:rFonts w:ascii="Arial" w:eastAsia="Times New Roman" w:hAnsi="Arial" w:cs="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243845"/>
    <w:pPr>
      <w:tabs>
        <w:tab w:val="center" w:pos="4536"/>
        <w:tab w:val="right" w:pos="9072"/>
      </w:tabs>
      <w:spacing w:after="0" w:line="240" w:lineRule="auto"/>
    </w:pPr>
    <w:rPr>
      <w:rFonts w:ascii="Arial" w:eastAsia="Times New Roman" w:hAnsi="Arial" w:cs="Times New Roman"/>
      <w:szCs w:val="24"/>
    </w:rPr>
  </w:style>
  <w:style w:type="character" w:customStyle="1" w:styleId="HeaderChar">
    <w:name w:val="Header Char"/>
    <w:basedOn w:val="DefaultParagraphFont"/>
    <w:link w:val="Header"/>
    <w:rsid w:val="00243845"/>
    <w:rPr>
      <w:rFonts w:ascii="Arial" w:eastAsia="Times New Roman" w:hAnsi="Arial" w:cs="Times New Roman"/>
      <w:szCs w:val="24"/>
    </w:rPr>
  </w:style>
  <w:style w:type="paragraph" w:styleId="Footer">
    <w:name w:val="footer"/>
    <w:link w:val="FooterChar"/>
    <w:rsid w:val="00243845"/>
    <w:pPr>
      <w:tabs>
        <w:tab w:val="center" w:pos="4536"/>
        <w:tab w:val="right" w:pos="9356"/>
      </w:tabs>
      <w:spacing w:after="0" w:line="240" w:lineRule="auto"/>
    </w:pPr>
    <w:rPr>
      <w:rFonts w:ascii="Arial" w:eastAsia="Times New Roman" w:hAnsi="Arial" w:cs="Arial"/>
      <w:color w:val="215B33"/>
      <w:sz w:val="20"/>
      <w:szCs w:val="20"/>
    </w:rPr>
  </w:style>
  <w:style w:type="character" w:customStyle="1" w:styleId="FooterChar">
    <w:name w:val="Footer Char"/>
    <w:basedOn w:val="DefaultParagraphFont"/>
    <w:link w:val="Footer"/>
    <w:rsid w:val="00243845"/>
    <w:rPr>
      <w:rFonts w:ascii="Arial" w:eastAsia="Times New Roman" w:hAnsi="Arial" w:cs="Arial"/>
      <w:color w:val="215B33"/>
      <w:sz w:val="20"/>
      <w:szCs w:val="20"/>
    </w:rPr>
  </w:style>
  <w:style w:type="character" w:styleId="PageNumber">
    <w:name w:val="page number"/>
    <w:basedOn w:val="DefaultParagraphFont"/>
    <w:rsid w:val="00243845"/>
  </w:style>
  <w:style w:type="table" w:styleId="TableGrid">
    <w:name w:val="Table Grid"/>
    <w:basedOn w:val="TableNormal"/>
    <w:uiPriority w:val="39"/>
    <w:rsid w:val="00243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1326"/>
    <w:rPr>
      <w:color w:val="0563C1" w:themeColor="hyperlink"/>
      <w:u w:val="single"/>
    </w:rPr>
  </w:style>
  <w:style w:type="character" w:styleId="UnresolvedMention">
    <w:name w:val="Unresolved Mention"/>
    <w:basedOn w:val="DefaultParagraphFont"/>
    <w:uiPriority w:val="99"/>
    <w:semiHidden/>
    <w:unhideWhenUsed/>
    <w:rsid w:val="00CF1326"/>
    <w:rPr>
      <w:color w:val="605E5C"/>
      <w:shd w:val="clear" w:color="auto" w:fill="E1DFDD"/>
    </w:rPr>
  </w:style>
  <w:style w:type="paragraph" w:styleId="NoSpacing">
    <w:name w:val="No Spacing"/>
    <w:basedOn w:val="Normal"/>
    <w:uiPriority w:val="1"/>
    <w:qFormat/>
    <w:rsid w:val="00E92333"/>
    <w:pPr>
      <w:jc w:val="left"/>
    </w:pPr>
    <w:rPr>
      <w:rFonts w:asciiTheme="minorHAnsi" w:eastAsiaTheme="minorHAnsi" w:hAnsiTheme="minorHAnsi" w:cstheme="minorBidi"/>
      <w:szCs w:val="22"/>
      <w:lang w:val="en-US"/>
    </w:rPr>
  </w:style>
  <w:style w:type="character" w:styleId="FollowedHyperlink">
    <w:name w:val="FollowedHyperlink"/>
    <w:basedOn w:val="DefaultParagraphFont"/>
    <w:uiPriority w:val="99"/>
    <w:semiHidden/>
    <w:unhideWhenUsed/>
    <w:rsid w:val="00291015"/>
    <w:rPr>
      <w:color w:val="954F72" w:themeColor="followedHyperlink"/>
      <w:u w:val="single"/>
    </w:rPr>
  </w:style>
  <w:style w:type="paragraph" w:styleId="NormalWeb">
    <w:name w:val="Normal (Web)"/>
    <w:basedOn w:val="Normal"/>
    <w:uiPriority w:val="99"/>
    <w:unhideWhenUsed/>
    <w:rsid w:val="00AE3DF5"/>
    <w:pPr>
      <w:spacing w:before="100" w:beforeAutospacing="1" w:after="100" w:afterAutospacing="1"/>
      <w:jc w:val="left"/>
    </w:pPr>
    <w:rPr>
      <w:rFonts w:ascii="Times New Roman" w:hAnsi="Times New Roman"/>
      <w:sz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09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92CB8-6761-4A73-8BFE-8A5A7C34F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679</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Aliide.Hindreus</dc:creator>
  <cp:keywords/>
  <dc:description/>
  <cp:lastModifiedBy>onnePilvet</cp:lastModifiedBy>
  <cp:revision>2</cp:revision>
  <cp:lastPrinted>2021-03-16T07:29:00Z</cp:lastPrinted>
  <dcterms:created xsi:type="dcterms:W3CDTF">2022-09-15T05:50:00Z</dcterms:created>
  <dcterms:modified xsi:type="dcterms:W3CDTF">2022-09-15T05:50:00Z</dcterms:modified>
</cp:coreProperties>
</file>