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EC2E"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Sotsiaalministeerium </w:t>
      </w:r>
    </w:p>
    <w:p w14:paraId="0F089228" w14:textId="44FD5129" w:rsidR="0074214F" w:rsidRPr="0074214F" w:rsidRDefault="0074214F" w:rsidP="0074214F">
      <w:pPr>
        <w:spacing w:after="160" w:line="259" w:lineRule="auto"/>
        <w:jc w:val="both"/>
        <w:rPr>
          <w:rFonts w:eastAsia="Calibri" w:cstheme="minorHAnsi"/>
          <w:sz w:val="22"/>
          <w:szCs w:val="22"/>
          <w:lang w:val="et-EE"/>
        </w:rPr>
      </w:pPr>
      <w:hyperlink r:id="rId7" w:history="1">
        <w:r w:rsidRPr="0074214F">
          <w:rPr>
            <w:rFonts w:eastAsia="Calibri" w:cstheme="minorHAnsi"/>
            <w:color w:val="0563C1"/>
            <w:sz w:val="22"/>
            <w:szCs w:val="22"/>
            <w:u w:val="single"/>
            <w:lang w:val="et-EE"/>
          </w:rPr>
          <w:t>Aive.Telling@sm.ee</w:t>
        </w:r>
      </w:hyperlink>
      <w:r w:rsidRPr="0074214F">
        <w:rPr>
          <w:rFonts w:eastAsia="Calibri" w:cstheme="minorHAnsi"/>
          <w:sz w:val="22"/>
          <w:szCs w:val="22"/>
          <w:lang w:val="et-EE"/>
        </w:rPr>
        <w:t xml:space="preserve"> </w:t>
      </w:r>
      <w:r w:rsidRPr="0074214F">
        <w:rPr>
          <w:rFonts w:eastAsia="Calibri" w:cstheme="minorHAnsi"/>
          <w:sz w:val="22"/>
          <w:szCs w:val="22"/>
          <w:lang w:val="et-EE"/>
        </w:rPr>
        <w:t xml:space="preserve">                                                           Meie </w:t>
      </w:r>
    </w:p>
    <w:p w14:paraId="56DBBC4E"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Keskkonnaministeerium </w:t>
      </w:r>
    </w:p>
    <w:p w14:paraId="46D3E9E2" w14:textId="77777777" w:rsidR="0074214F" w:rsidRPr="0074214F" w:rsidRDefault="0074214F" w:rsidP="0074214F">
      <w:pPr>
        <w:spacing w:after="160" w:line="259" w:lineRule="auto"/>
        <w:jc w:val="both"/>
        <w:rPr>
          <w:rFonts w:eastAsia="Calibri" w:cstheme="minorHAnsi"/>
          <w:sz w:val="22"/>
          <w:szCs w:val="22"/>
          <w:lang w:val="et-EE"/>
        </w:rPr>
      </w:pPr>
      <w:hyperlink r:id="rId8" w:history="1">
        <w:r w:rsidRPr="0074214F">
          <w:rPr>
            <w:rFonts w:eastAsia="Calibri" w:cstheme="minorHAnsi"/>
            <w:color w:val="0563C1"/>
            <w:sz w:val="22"/>
            <w:szCs w:val="22"/>
            <w:u w:val="single"/>
            <w:lang w:val="et-EE"/>
          </w:rPr>
          <w:t>keskkonnaministeerium@envir.ee</w:t>
        </w:r>
      </w:hyperlink>
      <w:r w:rsidRPr="0074214F">
        <w:rPr>
          <w:rFonts w:eastAsia="Calibri" w:cstheme="minorHAnsi"/>
          <w:sz w:val="22"/>
          <w:szCs w:val="22"/>
          <w:lang w:val="et-EE"/>
        </w:rPr>
        <w:t xml:space="preserve"> </w:t>
      </w:r>
    </w:p>
    <w:p w14:paraId="4AC04C02"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Majandus- ja Kommunikatsiooniministeerium </w:t>
      </w:r>
    </w:p>
    <w:p w14:paraId="4E30B873" w14:textId="77777777" w:rsidR="0074214F" w:rsidRPr="0074214F" w:rsidRDefault="0074214F" w:rsidP="0074214F">
      <w:pPr>
        <w:spacing w:after="160" w:line="259" w:lineRule="auto"/>
        <w:jc w:val="both"/>
        <w:rPr>
          <w:rFonts w:eastAsia="Calibri" w:cstheme="minorHAnsi"/>
          <w:sz w:val="22"/>
          <w:szCs w:val="22"/>
          <w:lang w:val="et-EE"/>
        </w:rPr>
      </w:pPr>
      <w:hyperlink r:id="rId9" w:history="1">
        <w:r w:rsidRPr="0074214F">
          <w:rPr>
            <w:rFonts w:eastAsia="Calibri" w:cstheme="minorHAnsi"/>
            <w:color w:val="0563C1"/>
            <w:sz w:val="22"/>
            <w:szCs w:val="22"/>
            <w:u w:val="single"/>
            <w:lang w:val="et-EE"/>
          </w:rPr>
          <w:t>info@mkm.ee</w:t>
        </w:r>
      </w:hyperlink>
    </w:p>
    <w:p w14:paraId="3E20F7CF"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Terviseamet</w:t>
      </w:r>
    </w:p>
    <w:p w14:paraId="11CF867C" w14:textId="77777777" w:rsidR="0074214F" w:rsidRPr="0074214F" w:rsidRDefault="0074214F" w:rsidP="0074214F">
      <w:pPr>
        <w:spacing w:after="160" w:line="259" w:lineRule="auto"/>
        <w:jc w:val="both"/>
        <w:rPr>
          <w:rFonts w:eastAsia="Calibri" w:cstheme="minorHAnsi"/>
          <w:sz w:val="22"/>
          <w:szCs w:val="22"/>
          <w:lang w:val="et-EE"/>
        </w:rPr>
      </w:pPr>
      <w:hyperlink r:id="rId10" w:history="1">
        <w:r w:rsidRPr="0074214F">
          <w:rPr>
            <w:rFonts w:eastAsia="Calibri" w:cstheme="minorHAnsi"/>
            <w:color w:val="0563C1"/>
            <w:sz w:val="22"/>
            <w:szCs w:val="22"/>
            <w:u w:val="single"/>
            <w:lang w:val="et-EE"/>
          </w:rPr>
          <w:t>info@terviseamet.ee</w:t>
        </w:r>
      </w:hyperlink>
      <w:r w:rsidRPr="0074214F">
        <w:rPr>
          <w:rFonts w:eastAsia="Calibri" w:cstheme="minorHAnsi"/>
          <w:sz w:val="22"/>
          <w:szCs w:val="22"/>
          <w:lang w:val="et-EE"/>
        </w:rPr>
        <w:t xml:space="preserve"> </w:t>
      </w:r>
    </w:p>
    <w:p w14:paraId="6167050F" w14:textId="77777777" w:rsidR="0074214F" w:rsidRPr="0074214F" w:rsidRDefault="0074214F" w:rsidP="0074214F">
      <w:pPr>
        <w:spacing w:after="160" w:line="259" w:lineRule="auto"/>
        <w:jc w:val="both"/>
        <w:rPr>
          <w:rFonts w:eastAsia="Calibri" w:cstheme="minorHAnsi"/>
          <w:sz w:val="22"/>
          <w:szCs w:val="22"/>
          <w:lang w:val="et-EE"/>
        </w:rPr>
      </w:pPr>
    </w:p>
    <w:p w14:paraId="4839EB43" w14:textId="77777777" w:rsidR="0074214F" w:rsidRPr="0074214F" w:rsidRDefault="0074214F" w:rsidP="0074214F">
      <w:pPr>
        <w:spacing w:after="160" w:line="259" w:lineRule="auto"/>
        <w:jc w:val="both"/>
        <w:rPr>
          <w:rFonts w:eastAsia="Calibri" w:cstheme="minorHAnsi"/>
          <w:i/>
          <w:iCs/>
          <w:sz w:val="22"/>
          <w:szCs w:val="22"/>
          <w:lang w:val="et-EE"/>
        </w:rPr>
      </w:pPr>
      <w:r w:rsidRPr="0074214F">
        <w:rPr>
          <w:rFonts w:eastAsia="Calibri" w:cstheme="minorHAnsi"/>
          <w:i/>
          <w:iCs/>
          <w:sz w:val="22"/>
          <w:szCs w:val="22"/>
          <w:lang w:val="et-EE"/>
        </w:rPr>
        <w:t>Komisjoni määrus ,millega muudetakse Euroopa Parlamendi ja nõukogu määruse (EÜ) nr 1907/2006, mis käsitleb kemikaalide registreerimist, hindamist, autoriseerimist ja piiramist (REACH) XVII lisa seoses sünteetiliste polümeeride mikroosakestega.</w:t>
      </w:r>
    </w:p>
    <w:p w14:paraId="710348DF" w14:textId="77777777" w:rsidR="0074214F" w:rsidRPr="0074214F" w:rsidRDefault="0074214F" w:rsidP="0074214F">
      <w:pPr>
        <w:spacing w:after="160" w:line="259" w:lineRule="auto"/>
        <w:jc w:val="both"/>
        <w:rPr>
          <w:rFonts w:eastAsia="Calibri" w:cstheme="minorHAnsi"/>
          <w:b/>
          <w:bCs/>
          <w:sz w:val="22"/>
          <w:szCs w:val="22"/>
          <w:lang w:val="et-EE"/>
        </w:rPr>
      </w:pPr>
    </w:p>
    <w:p w14:paraId="260F838E"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 xml:space="preserve">Eesti Keemiatööstuse Liidu seisukoht </w:t>
      </w:r>
      <w:bookmarkStart w:id="0" w:name="_Hlk117760658"/>
      <w:r w:rsidRPr="0074214F">
        <w:rPr>
          <w:rFonts w:eastAsia="Calibri" w:cstheme="minorHAnsi"/>
          <w:b/>
          <w:bCs/>
          <w:sz w:val="22"/>
          <w:szCs w:val="22"/>
          <w:lang w:val="et-EE"/>
        </w:rPr>
        <w:t xml:space="preserve">sünteetiliste polümeerosakeste kavandatava </w:t>
      </w:r>
      <w:bookmarkEnd w:id="0"/>
      <w:r w:rsidRPr="0074214F">
        <w:rPr>
          <w:rFonts w:eastAsia="Calibri" w:cstheme="minorHAnsi"/>
          <w:b/>
          <w:bCs/>
          <w:sz w:val="22"/>
          <w:szCs w:val="22"/>
          <w:lang w:val="et-EE"/>
        </w:rPr>
        <w:t xml:space="preserve">piirangu kohta. </w:t>
      </w:r>
    </w:p>
    <w:p w14:paraId="3C36B1D5"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Eesti Keemiatööstuse Liit (EKTL) tunnistab ELi plastistrateegia raames tehtud tööd (mikro)plastist põhjustatud merekeskkonna saastamise probleemi lahendamiseks. Antud kontekstis soovime loota, et kõik ettevõetavad  meetmed peaksid täitma kolme eesmärki:</w:t>
      </w:r>
    </w:p>
    <w:p w14:paraId="19510AA7" w14:textId="77777777" w:rsidR="0074214F" w:rsidRPr="0074214F" w:rsidRDefault="0074214F" w:rsidP="0074214F">
      <w:pPr>
        <w:numPr>
          <w:ilvl w:val="0"/>
          <w:numId w:val="8"/>
        </w:numPr>
        <w:spacing w:after="160" w:line="259" w:lineRule="auto"/>
        <w:contextualSpacing/>
        <w:jc w:val="both"/>
        <w:rPr>
          <w:rFonts w:eastAsia="Calibri" w:cstheme="minorHAnsi"/>
          <w:sz w:val="22"/>
          <w:szCs w:val="22"/>
          <w:lang w:val="et-EE"/>
        </w:rPr>
      </w:pPr>
      <w:r w:rsidRPr="0074214F">
        <w:rPr>
          <w:rFonts w:eastAsia="Calibri" w:cstheme="minorHAnsi"/>
          <w:sz w:val="22"/>
          <w:szCs w:val="22"/>
          <w:lang w:val="et-EE"/>
        </w:rPr>
        <w:t>tagama, et kõik võetud regulatiivsed meetmed on proportsionaalsed, tõhusad ja teaduspõhised;</w:t>
      </w:r>
    </w:p>
    <w:p w14:paraId="55126D14" w14:textId="77777777" w:rsidR="0074214F" w:rsidRPr="0074214F" w:rsidRDefault="0074214F" w:rsidP="0074214F">
      <w:pPr>
        <w:numPr>
          <w:ilvl w:val="0"/>
          <w:numId w:val="8"/>
        </w:numPr>
        <w:spacing w:after="160" w:line="259" w:lineRule="auto"/>
        <w:contextualSpacing/>
        <w:jc w:val="both"/>
        <w:rPr>
          <w:rFonts w:eastAsia="Calibri" w:cstheme="minorHAnsi"/>
          <w:sz w:val="22"/>
          <w:szCs w:val="22"/>
          <w:lang w:val="et-EE"/>
        </w:rPr>
      </w:pPr>
      <w:r w:rsidRPr="0074214F">
        <w:rPr>
          <w:rFonts w:eastAsia="Calibri" w:cstheme="minorHAnsi"/>
          <w:sz w:val="22"/>
          <w:szCs w:val="22"/>
          <w:lang w:val="et-EE"/>
        </w:rPr>
        <w:t xml:space="preserve">edendada meetmeid ELi tasandil, et vältida liikmesriikide erinevat lähenemisviisi, mis takistab ELi ühtset turgu; </w:t>
      </w:r>
    </w:p>
    <w:p w14:paraId="3EEF6BE3" w14:textId="451F72ED" w:rsidR="0074214F" w:rsidRPr="0074214F" w:rsidRDefault="0074214F" w:rsidP="0074214F">
      <w:pPr>
        <w:numPr>
          <w:ilvl w:val="0"/>
          <w:numId w:val="8"/>
        </w:numPr>
        <w:spacing w:after="160" w:line="259" w:lineRule="auto"/>
        <w:contextualSpacing/>
        <w:jc w:val="both"/>
        <w:rPr>
          <w:rFonts w:eastAsia="Calibri" w:cstheme="minorHAnsi"/>
          <w:sz w:val="22"/>
          <w:szCs w:val="22"/>
          <w:lang w:val="et-EE"/>
        </w:rPr>
      </w:pPr>
      <w:r w:rsidRPr="0074214F">
        <w:rPr>
          <w:rFonts w:eastAsia="Calibri" w:cstheme="minorHAnsi"/>
          <w:sz w:val="22"/>
          <w:szCs w:val="22"/>
          <w:lang w:val="et-EE"/>
        </w:rPr>
        <w:t>viia eesmärgid ja tegevusala vastavusse teiste ülemaailmsete jurisdiktsioonidega.</w:t>
      </w:r>
    </w:p>
    <w:p w14:paraId="6288D08D" w14:textId="77777777" w:rsidR="0074214F" w:rsidRPr="0074214F" w:rsidRDefault="0074214F" w:rsidP="0074214F">
      <w:pPr>
        <w:spacing w:after="160" w:line="259" w:lineRule="auto"/>
        <w:ind w:left="770"/>
        <w:contextualSpacing/>
        <w:jc w:val="both"/>
        <w:rPr>
          <w:rFonts w:eastAsia="Calibri" w:cstheme="minorHAnsi"/>
          <w:sz w:val="22"/>
          <w:szCs w:val="22"/>
          <w:lang w:val="et-EE"/>
        </w:rPr>
      </w:pPr>
    </w:p>
    <w:p w14:paraId="020AB238"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Rõhutame veelkord, et kõik REACH-määruse alusel vastuvõetud piirangud peaksid olema riskipõhised ja teaduslikult põhjendatud. Kavandatav piirang tahtlikult lisatud mikroplastile on juba erandlik oma ulatuselt, seega loodame,  et ei loodaks  pretsedenti tulevastele piirangutele. EKTL toetab kavandatud piirangu mõningaid aspekte, mis on sätestatud komisjoni määruse eelnõus ja selle 11. oktoobri 2022. aasta lisas, kuigi mõned olulised  piirangute aspektid vajavad veel selgitamist.</w:t>
      </w:r>
    </w:p>
    <w:p w14:paraId="6F63BE25" w14:textId="77777777" w:rsidR="0074214F" w:rsidRPr="0074214F" w:rsidRDefault="0074214F" w:rsidP="0074214F">
      <w:pPr>
        <w:jc w:val="both"/>
        <w:rPr>
          <w:rFonts w:eastAsia="Calibri" w:cstheme="minorHAnsi"/>
          <w:sz w:val="22"/>
          <w:szCs w:val="22"/>
          <w:lang w:val="et-EE"/>
        </w:rPr>
      </w:pPr>
    </w:p>
    <w:p w14:paraId="60828D4C"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EKTL seisukoha sünteetiliste polümeerosakeste kavandatava piirangu ettepaneku kohta võib kokku võtta alljärgnevalt:</w:t>
      </w:r>
    </w:p>
    <w:p w14:paraId="0B73971F" w14:textId="77777777" w:rsidR="0074214F" w:rsidRPr="0074214F" w:rsidRDefault="0074214F" w:rsidP="0074214F">
      <w:pPr>
        <w:jc w:val="both"/>
        <w:rPr>
          <w:rFonts w:eastAsia="Calibri" w:cstheme="minorHAnsi"/>
          <w:sz w:val="22"/>
          <w:szCs w:val="22"/>
          <w:lang w:val="et-EE"/>
        </w:rPr>
      </w:pPr>
    </w:p>
    <w:p w14:paraId="6C793310"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1. Ulatus ja määratlus</w:t>
      </w:r>
    </w:p>
    <w:p w14:paraId="00A8CC80" w14:textId="148749BE"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On oluline, et piirangus kasutatutav määratlus käsitleks tegelikku muret keskkonna pärast. Kavandatavas määruses defineeritud täpsustatav sünteetiliste polümeeri mikroosakeste määratlus –  „tahked polümeerid, mis … sisalduvad osakestes … või moodustavad osakestele pideva pinnakatte”</w:t>
      </w:r>
      <w:r w:rsidRPr="0074214F">
        <w:rPr>
          <w:rFonts w:eastAsia="Calibri" w:cstheme="minorHAnsi"/>
          <w:sz w:val="22"/>
          <w:szCs w:val="22"/>
          <w:lang w:val="et-EE"/>
        </w:rPr>
        <w:t xml:space="preserve"> </w:t>
      </w:r>
      <w:r w:rsidRPr="0074214F">
        <w:rPr>
          <w:rFonts w:eastAsia="Calibri" w:cstheme="minorHAnsi"/>
          <w:sz w:val="22"/>
          <w:szCs w:val="22"/>
          <w:lang w:val="et-EE"/>
        </w:rPr>
        <w:lastRenderedPageBreak/>
        <w:t>selgitab piirangu algset eesmärki</w:t>
      </w:r>
      <w:r w:rsidRPr="0074214F">
        <w:rPr>
          <w:rFonts w:eastAsia="Calibri" w:cstheme="minorHAnsi"/>
          <w:i/>
          <w:iCs/>
          <w:sz w:val="22"/>
          <w:szCs w:val="22"/>
          <w:lang w:val="et-EE"/>
        </w:rPr>
        <w:t>.  "Mitte reguleerida polümeeride kasutamist üldiselt, vaid ainult siis, kui need vastavad konkreetsetele tingimustele, mille kohaselt need on mikroplastid".</w:t>
      </w:r>
    </w:p>
    <w:p w14:paraId="66B9FC53"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xml:space="preserve">Leiame, et sünteetiliste polümeersete mikroosakeste määramise ja analüüsi ühtlustatud meetodite puudumise tõttu on nii  ettevõtetel kui ka  ametiasutustel  raske jõustada piirangu järgimist. Meetodite väljatöötamisel tuleks  eelistada  teadusuuringuid, samuti et piirangud vaadataks läbi ja muudetaks vastavalt tehnika arengule.(nt. viis aastat pärast jõustumist). </w:t>
      </w:r>
    </w:p>
    <w:p w14:paraId="0811F458"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u w:val="single"/>
          <w:lang w:val="et-EE"/>
        </w:rPr>
        <w:t xml:space="preserve"> Analüütilised meetodid mikroplasti tuvastamiseks toodetes on alles kokku leppimata, mis on piirangu jõustamiseks hädavajalik. Mikroplasti tuvastamise standardid  on endiselt väljatöötamisel ja seega pole  tööstusele kättesaadavad</w:t>
      </w:r>
      <w:r w:rsidRPr="0074214F">
        <w:rPr>
          <w:rFonts w:eastAsia="Calibri" w:cstheme="minorHAnsi"/>
          <w:sz w:val="22"/>
          <w:szCs w:val="22"/>
          <w:lang w:val="et-EE"/>
        </w:rPr>
        <w:t>.</w:t>
      </w:r>
    </w:p>
    <w:p w14:paraId="33D77A09"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2. Üleminekuperioodid</w:t>
      </w:r>
    </w:p>
    <w:p w14:paraId="795C2BB4" w14:textId="60058928" w:rsidR="00862A52"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Erinevad tooted vajavad </w:t>
      </w:r>
      <w:r w:rsidRPr="0074214F">
        <w:rPr>
          <w:rFonts w:eastAsia="Calibri" w:cstheme="minorHAnsi"/>
          <w:b/>
          <w:bCs/>
          <w:sz w:val="22"/>
          <w:szCs w:val="22"/>
          <w:lang w:val="et-EE"/>
        </w:rPr>
        <w:t>erinevaid üleminekuperioode</w:t>
      </w:r>
      <w:r w:rsidRPr="0074214F">
        <w:rPr>
          <w:rFonts w:eastAsia="Calibri" w:cstheme="minorHAnsi"/>
          <w:sz w:val="22"/>
          <w:szCs w:val="22"/>
          <w:lang w:val="et-EE"/>
        </w:rPr>
        <w:t xml:space="preserve">. Arvestades detergentide-, hooldustoodete- ja kosmeetikatööstuste majandusliku konkurentsivõime üliolulisust, on </w:t>
      </w:r>
      <w:r w:rsidRPr="0074214F">
        <w:rPr>
          <w:rFonts w:eastAsia="Calibri" w:cstheme="minorHAnsi"/>
          <w:b/>
          <w:bCs/>
          <w:sz w:val="22"/>
          <w:szCs w:val="22"/>
          <w:lang w:val="et-EE"/>
        </w:rPr>
        <w:t xml:space="preserve">pikendatud üleminekuajad  teatud tootegruppidele üliolulised. </w:t>
      </w:r>
      <w:r w:rsidRPr="0074214F">
        <w:rPr>
          <w:rFonts w:eastAsia="Calibri" w:cstheme="minorHAnsi"/>
          <w:sz w:val="22"/>
          <w:szCs w:val="22"/>
          <w:lang w:val="et-EE"/>
        </w:rPr>
        <w:t xml:space="preserve">Polümeerid annavad kriitilise tähtsusega eeliseid sellistele (kosmeetika)toodetele, mida tarbijad väga hindavad (nt pikaajaline kulumine, siledus, veekindlus, loomulik välimus). Ilma nende materjalideta on toote toimivus oluliselt mõjutatud. </w:t>
      </w:r>
    </w:p>
    <w:p w14:paraId="55DF04F4" w14:textId="3650CBF6" w:rsidR="0074214F" w:rsidRPr="0074214F" w:rsidRDefault="00862A52" w:rsidP="0074214F">
      <w:pPr>
        <w:spacing w:after="160" w:line="259" w:lineRule="auto"/>
        <w:jc w:val="both"/>
        <w:rPr>
          <w:rFonts w:eastAsia="Calibri" w:cstheme="minorHAnsi"/>
          <w:sz w:val="22"/>
          <w:szCs w:val="22"/>
          <w:lang w:val="et-EE"/>
        </w:rPr>
      </w:pPr>
      <w:r>
        <w:rPr>
          <w:rFonts w:eastAsia="Calibri" w:cstheme="minorHAnsi"/>
          <w:sz w:val="22"/>
          <w:szCs w:val="22"/>
          <w:lang w:val="et-EE"/>
        </w:rPr>
        <w:t>Toome  välja, et k</w:t>
      </w:r>
      <w:r w:rsidR="0074214F" w:rsidRPr="0074214F">
        <w:rPr>
          <w:rFonts w:eastAsia="Calibri" w:cstheme="minorHAnsi"/>
          <w:sz w:val="22"/>
          <w:szCs w:val="22"/>
          <w:lang w:val="et-EE"/>
        </w:rPr>
        <w:t xml:space="preserve">uueaastane üleminekuperioodi  kapseldatud lõhnaainete  piirangu jõustumisest on miinimum, kuna puuduvad sobivad alternatiivid, mis ei vasta mikroplasti määratlusele.  Üleminekuperiood on vajalik ka  selleks, et võimaldada piisavalt aega potentsiaalsete alternatiivide uurimiseks, arendamiseks ja katsetamiseks, vältimaks  negatiivseid mõjusid keskkonnale ja tarbijate rahulolule ning  muutustule tarbijate käitumises. </w:t>
      </w:r>
      <w:bookmarkStart w:id="1" w:name="_Hlk117697766"/>
      <w:r w:rsidR="0074214F" w:rsidRPr="0074214F">
        <w:rPr>
          <w:rFonts w:eastAsia="Calibri" w:cstheme="minorHAnsi"/>
          <w:sz w:val="22"/>
          <w:szCs w:val="22"/>
          <w:lang w:val="et-EE"/>
        </w:rPr>
        <w:t>Sagedasem pesemine  suurendab vee- ja energiatarbimist ning omakorda tahtmatut mikroplasti eraldumise suurendamist  tekstiilidest (</w:t>
      </w:r>
      <w:proofErr w:type="spellStart"/>
      <w:r w:rsidR="0074214F" w:rsidRPr="0074214F">
        <w:rPr>
          <w:rFonts w:eastAsia="Calibri" w:cstheme="minorHAnsi"/>
          <w:sz w:val="22"/>
          <w:szCs w:val="22"/>
          <w:lang w:val="et-EE"/>
        </w:rPr>
        <w:t>nt.fliisid</w:t>
      </w:r>
      <w:proofErr w:type="spellEnd"/>
      <w:r w:rsidR="0074214F" w:rsidRPr="0074214F">
        <w:rPr>
          <w:rFonts w:eastAsia="Calibri" w:cstheme="minorHAnsi"/>
          <w:sz w:val="22"/>
          <w:szCs w:val="22"/>
          <w:lang w:val="et-EE"/>
        </w:rPr>
        <w:t>). Võimalik on oht, et piirang sunnib tarbijaid otsima alternatiivseid tooteid e-kaubanduse/hallide turgude kaudu, et täita oma tulemuslikkuse ootusi.</w:t>
      </w:r>
      <w:bookmarkEnd w:id="1"/>
    </w:p>
    <w:p w14:paraId="67CDDCAE"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Peame piirangu läbivaatamist oluliseks ka selles kontekstis, et määrata kindlaks asendamise protsess ja alternatiivide kättesaadavus. </w:t>
      </w:r>
    </w:p>
    <w:p w14:paraId="5F97E975"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xml:space="preserve">Juhime tähelepanu , </w:t>
      </w:r>
      <w:r w:rsidRPr="0074214F">
        <w:rPr>
          <w:rFonts w:eastAsia="Calibri" w:cstheme="minorHAnsi"/>
          <w:sz w:val="22"/>
          <w:szCs w:val="22"/>
          <w:u w:val="single"/>
          <w:lang w:val="et-EE"/>
        </w:rPr>
        <w:t xml:space="preserve">et tarbekeemia- ja kosmeetikasektoris on väga palju VKE-d, enamikul neist on piiratud teadus- ja arendustegevuse suutlikkus. </w:t>
      </w:r>
    </w:p>
    <w:p w14:paraId="07925567" w14:textId="77777777" w:rsidR="00862A52" w:rsidRDefault="0074214F" w:rsidP="00862A52">
      <w:pPr>
        <w:spacing w:after="160" w:line="259" w:lineRule="auto"/>
        <w:rPr>
          <w:rFonts w:eastAsia="Calibri" w:cstheme="minorHAnsi"/>
          <w:sz w:val="22"/>
          <w:szCs w:val="22"/>
          <w:lang w:val="et-EE"/>
        </w:rPr>
      </w:pPr>
      <w:r w:rsidRPr="0074214F">
        <w:rPr>
          <w:rFonts w:eastAsia="Calibri" w:cstheme="minorHAnsi"/>
          <w:b/>
          <w:bCs/>
          <w:sz w:val="22"/>
          <w:szCs w:val="22"/>
          <w:u w:val="single"/>
          <w:lang w:val="et-EE"/>
        </w:rPr>
        <w:t>Kavandatav</w:t>
      </w:r>
      <w:r w:rsidR="00862A52" w:rsidRPr="00862A52">
        <w:rPr>
          <w:rFonts w:eastAsia="Calibri" w:cstheme="minorHAnsi"/>
          <w:b/>
          <w:bCs/>
          <w:sz w:val="22"/>
          <w:szCs w:val="22"/>
          <w:u w:val="single"/>
          <w:lang w:val="et-EE"/>
        </w:rPr>
        <w:t xml:space="preserve"> </w:t>
      </w:r>
      <w:r w:rsidRPr="0074214F">
        <w:rPr>
          <w:rFonts w:eastAsia="Calibri" w:cstheme="minorHAnsi"/>
          <w:b/>
          <w:bCs/>
          <w:sz w:val="22"/>
          <w:szCs w:val="22"/>
          <w:u w:val="single"/>
          <w:lang w:val="et-EE"/>
        </w:rPr>
        <w:t>viieaastane üleminekuperiood muude detergentide ja hooldustoodete ümberformuleerimise  jaoks on väga  keeruline.</w:t>
      </w:r>
      <w:r w:rsidRPr="0074214F">
        <w:rPr>
          <w:rFonts w:eastAsia="Calibri" w:cstheme="minorHAnsi"/>
          <w:sz w:val="22"/>
          <w:szCs w:val="22"/>
          <w:lang w:val="et-EE"/>
        </w:rPr>
        <w:t xml:space="preserve"> </w:t>
      </w:r>
    </w:p>
    <w:p w14:paraId="61E41D12" w14:textId="05C59283" w:rsidR="0074214F" w:rsidRPr="0074214F" w:rsidRDefault="0074214F" w:rsidP="00862A52">
      <w:pPr>
        <w:spacing w:after="160" w:line="259" w:lineRule="auto"/>
        <w:rPr>
          <w:rFonts w:eastAsia="Calibri" w:cstheme="minorHAnsi"/>
          <w:b/>
          <w:bCs/>
          <w:sz w:val="22"/>
          <w:szCs w:val="22"/>
          <w:lang w:val="et-EE"/>
        </w:rPr>
      </w:pPr>
      <w:r w:rsidRPr="0074214F">
        <w:rPr>
          <w:rFonts w:eastAsia="Calibri" w:cstheme="minorHAnsi"/>
          <w:sz w:val="22"/>
          <w:szCs w:val="22"/>
          <w:lang w:val="et-EE"/>
        </w:rPr>
        <w:t xml:space="preserve">Mikroplasti asendamine nimetatud  aja jooksul on teostatav ainult siis, kui ümberformuleerimine on lihtne ja on leitud  sobivad alternatiivid. Enamiku piiranguga hõlmatud polümeeride jaoks </w:t>
      </w:r>
      <w:r w:rsidRPr="0074214F">
        <w:rPr>
          <w:rFonts w:eastAsia="Calibri" w:cstheme="minorHAnsi"/>
          <w:b/>
          <w:bCs/>
          <w:sz w:val="22"/>
          <w:szCs w:val="22"/>
          <w:lang w:val="et-EE"/>
        </w:rPr>
        <w:t>pole käesoleval hetkel alternatiive.</w:t>
      </w:r>
    </w:p>
    <w:p w14:paraId="073C2724" w14:textId="7FE29CB2"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b/>
          <w:bCs/>
          <w:sz w:val="22"/>
          <w:szCs w:val="22"/>
          <w:lang w:val="et-EE"/>
        </w:rPr>
        <w:t xml:space="preserve"> Üldiselt loetakse vii</w:t>
      </w:r>
      <w:r w:rsidR="00862A52">
        <w:rPr>
          <w:rFonts w:eastAsia="Calibri" w:cstheme="minorHAnsi"/>
          <w:b/>
          <w:bCs/>
          <w:sz w:val="22"/>
          <w:szCs w:val="22"/>
          <w:lang w:val="et-EE"/>
        </w:rPr>
        <w:t xml:space="preserve">es </w:t>
      </w:r>
      <w:r w:rsidRPr="0074214F">
        <w:rPr>
          <w:rFonts w:eastAsia="Calibri" w:cstheme="minorHAnsi"/>
          <w:b/>
          <w:bCs/>
          <w:sz w:val="22"/>
          <w:szCs w:val="22"/>
          <w:lang w:val="et-EE"/>
        </w:rPr>
        <w:t>aasta</w:t>
      </w:r>
      <w:r w:rsidR="00862A52">
        <w:rPr>
          <w:rFonts w:eastAsia="Calibri" w:cstheme="minorHAnsi"/>
          <w:b/>
          <w:bCs/>
          <w:sz w:val="22"/>
          <w:szCs w:val="22"/>
          <w:lang w:val="et-EE"/>
        </w:rPr>
        <w:t>s</w:t>
      </w:r>
      <w:r w:rsidRPr="0074214F">
        <w:rPr>
          <w:rFonts w:eastAsia="Calibri" w:cstheme="minorHAnsi"/>
          <w:b/>
          <w:bCs/>
          <w:sz w:val="22"/>
          <w:szCs w:val="22"/>
          <w:lang w:val="et-EE"/>
        </w:rPr>
        <w:t xml:space="preserve">t </w:t>
      </w:r>
      <w:r w:rsidRPr="0074214F">
        <w:rPr>
          <w:rFonts w:eastAsia="Calibri" w:cstheme="minorHAnsi"/>
          <w:sz w:val="22"/>
          <w:szCs w:val="22"/>
          <w:lang w:val="et-EE"/>
        </w:rPr>
        <w:t>minimaalseks perioodiks toote ümberformuleerimiseks alates ulatuse määramisest kuni</w:t>
      </w:r>
      <w:r w:rsidR="00862A52">
        <w:rPr>
          <w:rFonts w:eastAsia="Calibri" w:cstheme="minorHAnsi"/>
          <w:sz w:val="22"/>
          <w:szCs w:val="22"/>
          <w:lang w:val="et-EE"/>
        </w:rPr>
        <w:t xml:space="preserve"> </w:t>
      </w:r>
      <w:r w:rsidRPr="0074214F">
        <w:rPr>
          <w:rFonts w:eastAsia="Calibri" w:cstheme="minorHAnsi"/>
          <w:sz w:val="22"/>
          <w:szCs w:val="22"/>
          <w:lang w:val="et-EE"/>
        </w:rPr>
        <w:t xml:space="preserve">toote turule toomiseni. Selle läbivaatamise põhjal võiks lõikes 6 sätestatud üleminekuperioode vastavalt vajadusele muuta. Erinevate  toodete </w:t>
      </w:r>
      <w:r w:rsidRPr="0074214F">
        <w:rPr>
          <w:rFonts w:eastAsia="Calibri" w:cstheme="minorHAnsi"/>
          <w:b/>
          <w:bCs/>
          <w:sz w:val="22"/>
          <w:szCs w:val="22"/>
          <w:lang w:val="et-EE"/>
        </w:rPr>
        <w:t>erinevaid üleminekuperioodid</w:t>
      </w:r>
      <w:r w:rsidRPr="0074214F">
        <w:rPr>
          <w:rFonts w:eastAsia="Calibri" w:cstheme="minorHAnsi"/>
          <w:sz w:val="22"/>
          <w:szCs w:val="22"/>
          <w:lang w:val="et-EE"/>
        </w:rPr>
        <w:t xml:space="preserve"> olenevad mõjutatud polümeeridest, säilivusaja testimise ajast, jne. Näiteks</w:t>
      </w:r>
      <w:r w:rsidR="00862A52">
        <w:rPr>
          <w:rFonts w:eastAsia="Calibri" w:cstheme="minorHAnsi"/>
          <w:sz w:val="22"/>
          <w:szCs w:val="22"/>
          <w:lang w:val="et-EE"/>
        </w:rPr>
        <w:t xml:space="preserve"> on vajalikud üleminekuperioodid</w:t>
      </w:r>
      <w:r w:rsidRPr="0074214F">
        <w:rPr>
          <w:rFonts w:eastAsia="Calibri" w:cstheme="minorHAnsi"/>
          <w:sz w:val="22"/>
          <w:szCs w:val="22"/>
          <w:lang w:val="et-EE"/>
        </w:rPr>
        <w:t xml:space="preserve">:  </w:t>
      </w:r>
    </w:p>
    <w:p w14:paraId="29B63D43"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   - Päikesehooldustoode puhul  8 aastat; </w:t>
      </w:r>
    </w:p>
    <w:p w14:paraId="4F58FB1F"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   - nahahooldustoodete puhul  12 aastat</w:t>
      </w:r>
    </w:p>
    <w:p w14:paraId="23A6AE8D"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   - Kõigi teiste</w:t>
      </w:r>
      <w:r w:rsidRPr="0074214F">
        <w:rPr>
          <w:rFonts w:eastAsia="Calibri" w:cstheme="minorHAnsi"/>
          <w:b/>
          <w:bCs/>
          <w:sz w:val="22"/>
          <w:szCs w:val="22"/>
          <w:lang w:val="et-EE"/>
        </w:rPr>
        <w:t xml:space="preserve"> </w:t>
      </w:r>
      <w:r w:rsidRPr="0074214F">
        <w:rPr>
          <w:rFonts w:eastAsia="Calibri" w:cstheme="minorHAnsi"/>
          <w:sz w:val="22"/>
          <w:szCs w:val="22"/>
          <w:lang w:val="et-EE"/>
        </w:rPr>
        <w:t>peale jäetavate toodete puhul 10 aastat;</w:t>
      </w:r>
    </w:p>
    <w:p w14:paraId="4C832C57"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  -  kapseldatud lõhnaainete puhul  6 aastat </w:t>
      </w:r>
    </w:p>
    <w:p w14:paraId="5F48ECA1"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lastRenderedPageBreak/>
        <w:t xml:space="preserve">   - pesu- ja hooldustoodete ning vahade  puhul 5 aastat</w:t>
      </w:r>
    </w:p>
    <w:p w14:paraId="0BAAD354"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   - meditsiiniseadmete puhul 6 aastat (v.a. juhul, kui need seadmed sisaldavad mikrohelmeid);</w:t>
      </w:r>
    </w:p>
    <w:p w14:paraId="3379F424" w14:textId="33A24337" w:rsid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   - biotsiidide ja taimekaitsevahendite puhul  on vaja 8 aastat. </w:t>
      </w:r>
    </w:p>
    <w:p w14:paraId="72F953D8" w14:textId="77777777" w:rsidR="00862A52" w:rsidRPr="0074214F" w:rsidRDefault="00862A52" w:rsidP="0074214F">
      <w:pPr>
        <w:jc w:val="both"/>
        <w:rPr>
          <w:rFonts w:eastAsia="Calibri" w:cstheme="minorHAnsi"/>
          <w:sz w:val="22"/>
          <w:szCs w:val="22"/>
          <w:lang w:val="et-EE"/>
        </w:rPr>
      </w:pPr>
    </w:p>
    <w:p w14:paraId="6897CC83"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Kui erandit ei tehta, on ülimalt oluline säilitada meigi-, huule- ja küünetoodete pikendatud üleminekuaeg ning </w:t>
      </w:r>
      <w:r w:rsidRPr="0074214F">
        <w:rPr>
          <w:rFonts w:eastAsia="Calibri" w:cstheme="minorHAnsi"/>
          <w:b/>
          <w:bCs/>
          <w:sz w:val="22"/>
          <w:szCs w:val="22"/>
          <w:lang w:val="et-EE"/>
        </w:rPr>
        <w:t>täiendav märgistamiskohustus kaotada või kohandada</w:t>
      </w:r>
      <w:r w:rsidRPr="0074214F">
        <w:rPr>
          <w:rFonts w:eastAsia="Calibri" w:cstheme="minorHAnsi"/>
          <w:sz w:val="22"/>
          <w:szCs w:val="22"/>
          <w:lang w:val="et-EE"/>
        </w:rPr>
        <w:t>.</w:t>
      </w:r>
    </w:p>
    <w:p w14:paraId="228DA9B7" w14:textId="77777777" w:rsidR="0074214F" w:rsidRPr="0074214F" w:rsidRDefault="0074214F" w:rsidP="0074214F">
      <w:pPr>
        <w:spacing w:after="160" w:line="259" w:lineRule="auto"/>
        <w:jc w:val="both"/>
        <w:rPr>
          <w:rFonts w:eastAsia="Calibri" w:cstheme="minorHAnsi"/>
          <w:sz w:val="22"/>
          <w:szCs w:val="22"/>
          <w:lang w:val="et-EE"/>
        </w:rPr>
      </w:pPr>
    </w:p>
    <w:p w14:paraId="2FB48914"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3. Erandid piirangust</w:t>
      </w:r>
    </w:p>
    <w:p w14:paraId="3BFB9590"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 xml:space="preserve">Toetame piirangu ettepanekus  looduslike, biolagunevate ja vees lahustuvate polümeeride väljajätmist sünteetiliste polümeeri mikroosakeste määratlusest. See on oluline, et piirangu kohaldamisalast on </w:t>
      </w:r>
      <w:r w:rsidRPr="0074214F">
        <w:rPr>
          <w:rFonts w:eastAsia="Calibri" w:cstheme="minorHAnsi"/>
          <w:sz w:val="22"/>
          <w:szCs w:val="22"/>
          <w:u w:val="single"/>
          <w:lang w:val="et-EE"/>
        </w:rPr>
        <w:t>täielikult välja jätta paljud polümeerid, mis ei ole plastid.</w:t>
      </w:r>
      <w:r w:rsidRPr="0074214F">
        <w:rPr>
          <w:rFonts w:eastAsia="Calibri" w:cstheme="minorHAnsi"/>
          <w:sz w:val="22"/>
          <w:szCs w:val="22"/>
          <w:lang w:val="et-EE"/>
        </w:rPr>
        <w:t xml:space="preserve"> </w:t>
      </w:r>
    </w:p>
    <w:p w14:paraId="3DA59239"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xml:space="preserve">Eelnõuga sätestavad  </w:t>
      </w:r>
      <w:proofErr w:type="spellStart"/>
      <w:r w:rsidRPr="0074214F">
        <w:rPr>
          <w:rFonts w:eastAsia="Calibri" w:cstheme="minorHAnsi"/>
          <w:sz w:val="22"/>
          <w:szCs w:val="22"/>
          <w:lang w:val="et-EE"/>
        </w:rPr>
        <w:t>biolagundavuse</w:t>
      </w:r>
      <w:proofErr w:type="spellEnd"/>
      <w:r w:rsidRPr="0074214F">
        <w:rPr>
          <w:rFonts w:eastAsia="Calibri" w:cstheme="minorHAnsi"/>
          <w:sz w:val="22"/>
          <w:szCs w:val="22"/>
          <w:lang w:val="et-EE"/>
        </w:rPr>
        <w:t xml:space="preserve">  välistamise kriteeriumid on siiski suhteliselt keerulised, seega  esmajärjekorras tuleks läbi viia uuringud, et parandada teaduslikult  teadmiste baasi ja võimaldada katsetest loobumist piirangu hilisemal läbivaatamisel.  </w:t>
      </w:r>
    </w:p>
    <w:p w14:paraId="13E7778A"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(Bio)lagunemine:</w:t>
      </w:r>
    </w:p>
    <w:p w14:paraId="31E1B303"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a) Püsivuse otsene seotus keskkonnatingimustega.</w:t>
      </w:r>
    </w:p>
    <w:p w14:paraId="3A9D57AD"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(Bio)lagunemise kriteeriumid peavad olema realistlikud, keskendudes selgelt kõige olulisematele komponentidele  ( (vesi, pinnas või setted) ja lagunemisteedele kohandatud polümeeridele, tehniliselt teostatavad ja järjepidevad.</w:t>
      </w:r>
    </w:p>
    <w:p w14:paraId="41395CAB"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Lagunemine on oluline protsess, mille tulemuseks võib olla keemilise aine/materjali kadu või muutumine keskkonnas, mis  mängib olulist rolli keskkonnas püsivuse mõistmisel. Kuid lagunemise puudumine ühes komponendis ei tähenda, et kemikaal oleks püsiv ja koguneb üldisesse keskkonda. Selle püsivuse hindamiseks on oluline terviklik hindamine, mis hõlmab kemikaalide lagunemist eri sektsioonide/komponentide  vahel.</w:t>
      </w:r>
    </w:p>
    <w:p w14:paraId="50A4D746"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ECHA (bio)lagunemise katsekava nõuded on juba nõudlikud. Need ületavad lagunemiskiirust, mille saavutavad paljud looduslikud materjalid, mida üldiselt ei peeta probleemseteks ja seega piirangust välja jäetud.</w:t>
      </w:r>
    </w:p>
    <w:p w14:paraId="5EE37963"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xml:space="preserve">- </w:t>
      </w:r>
      <w:r w:rsidRPr="0074214F">
        <w:rPr>
          <w:rFonts w:eastAsia="Calibri" w:cstheme="minorHAnsi"/>
          <w:i/>
          <w:iCs/>
          <w:sz w:val="22"/>
          <w:szCs w:val="22"/>
          <w:lang w:val="et-EE"/>
        </w:rPr>
        <w:t>Abiootiline</w:t>
      </w:r>
      <w:r w:rsidRPr="0074214F">
        <w:rPr>
          <w:rFonts w:eastAsia="Calibri" w:cstheme="minorHAnsi"/>
          <w:sz w:val="22"/>
          <w:szCs w:val="22"/>
          <w:lang w:val="et-EE"/>
        </w:rPr>
        <w:t xml:space="preserve"> UV-indutseeritud lagunemine ja </w:t>
      </w:r>
      <w:r w:rsidRPr="0074214F">
        <w:rPr>
          <w:rFonts w:eastAsia="Calibri" w:cstheme="minorHAnsi"/>
          <w:i/>
          <w:iCs/>
          <w:sz w:val="22"/>
          <w:szCs w:val="22"/>
          <w:lang w:val="et-EE"/>
        </w:rPr>
        <w:t>oksüdatiivne</w:t>
      </w:r>
      <w:r w:rsidRPr="0074214F">
        <w:rPr>
          <w:rFonts w:eastAsia="Calibri" w:cstheme="minorHAnsi"/>
          <w:sz w:val="22"/>
          <w:szCs w:val="22"/>
          <w:lang w:val="et-EE"/>
        </w:rPr>
        <w:t xml:space="preserve"> lagunemine on tõenäoliselt olulised paljude piirangu kohaldamisalasse kuuluvate polümeeride loodusliku lagunemise </w:t>
      </w:r>
      <w:proofErr w:type="spellStart"/>
      <w:r w:rsidRPr="0074214F">
        <w:rPr>
          <w:rFonts w:eastAsia="Calibri" w:cstheme="minorHAnsi"/>
          <w:sz w:val="22"/>
          <w:szCs w:val="22"/>
          <w:lang w:val="et-EE"/>
        </w:rPr>
        <w:t>soodustajad</w:t>
      </w:r>
      <w:proofErr w:type="spellEnd"/>
      <w:r w:rsidRPr="0074214F">
        <w:rPr>
          <w:rFonts w:eastAsia="Calibri" w:cstheme="minorHAnsi"/>
          <w:sz w:val="22"/>
          <w:szCs w:val="22"/>
          <w:lang w:val="et-EE"/>
        </w:rPr>
        <w:t>, mida tuleb vajaduse korral ka lagunemistestides kajastada.</w:t>
      </w:r>
    </w:p>
    <w:p w14:paraId="57B4A673"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OECD suunised töötati omal ajal välja ainult mittepolümeersete ainete jaoks ja seetõttu tuleb nende suuniste kohaldatavus polümeeride puhul kinnitada ja suuniseid ajakohastada.</w:t>
      </w:r>
    </w:p>
    <w:p w14:paraId="486281AA"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Ranged kriteeriumid mõjutavad negatiivselt elujõuliste alternatiivide uurimist ja takistavad innovatsiooni.  Innovatsiooniprotsess on juba omaette väljakutse,  kuna alternatiivid peavad ka funktsionaalsuselt vastama praeguste toodetele.</w:t>
      </w:r>
    </w:p>
    <w:p w14:paraId="06152237"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b) (bio)lagunemise kriteeriumid:</w:t>
      </w:r>
    </w:p>
    <w:p w14:paraId="73CE4815"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(bio)</w:t>
      </w:r>
      <w:proofErr w:type="spellStart"/>
      <w:r w:rsidRPr="0074214F">
        <w:rPr>
          <w:rFonts w:eastAsia="Calibri" w:cstheme="minorHAnsi"/>
          <w:sz w:val="22"/>
          <w:szCs w:val="22"/>
          <w:lang w:val="et-EE"/>
        </w:rPr>
        <w:t>lagunevuse</w:t>
      </w:r>
      <w:proofErr w:type="spellEnd"/>
      <w:r w:rsidRPr="0074214F">
        <w:rPr>
          <w:rFonts w:eastAsia="Calibri" w:cstheme="minorHAnsi"/>
          <w:sz w:val="22"/>
          <w:szCs w:val="22"/>
          <w:lang w:val="et-EE"/>
        </w:rPr>
        <w:t xml:space="preserve"> kriteeriumid peavad vastama järgmistele punktidele, et täita erandi eesmärki, milleks on välistada need materjalid, mis ei aita kaasa selle piiranguga seotud probleemidele:</w:t>
      </w:r>
    </w:p>
    <w:p w14:paraId="4BB03EFF" w14:textId="77777777" w:rsidR="0074214F" w:rsidRPr="0074214F" w:rsidRDefault="0074214F" w:rsidP="0074214F">
      <w:pPr>
        <w:numPr>
          <w:ilvl w:val="0"/>
          <w:numId w:val="8"/>
        </w:numPr>
        <w:spacing w:after="160" w:line="259" w:lineRule="auto"/>
        <w:contextualSpacing/>
        <w:jc w:val="both"/>
        <w:rPr>
          <w:rFonts w:eastAsia="Calibri" w:cstheme="minorHAnsi"/>
          <w:sz w:val="22"/>
          <w:szCs w:val="22"/>
          <w:lang w:val="et-EE"/>
        </w:rPr>
      </w:pPr>
      <w:r w:rsidRPr="0074214F">
        <w:rPr>
          <w:rFonts w:eastAsia="Calibri" w:cstheme="minorHAnsi"/>
          <w:sz w:val="22"/>
          <w:szCs w:val="22"/>
          <w:lang w:val="et-EE"/>
        </w:rPr>
        <w:lastRenderedPageBreak/>
        <w:t>Kriteeriumid peavad olema realistlikud: võimalike (bio)lagunevate alternatiivide lisandväärtust tuleb tunnistada.</w:t>
      </w:r>
    </w:p>
    <w:p w14:paraId="436D8FBB" w14:textId="77777777" w:rsidR="0074214F" w:rsidRPr="0074214F" w:rsidRDefault="0074214F" w:rsidP="0074214F">
      <w:pPr>
        <w:numPr>
          <w:ilvl w:val="0"/>
          <w:numId w:val="8"/>
        </w:numPr>
        <w:spacing w:after="160" w:line="259" w:lineRule="auto"/>
        <w:contextualSpacing/>
        <w:jc w:val="both"/>
        <w:rPr>
          <w:rFonts w:eastAsia="Calibri" w:cstheme="minorHAnsi"/>
          <w:sz w:val="22"/>
          <w:szCs w:val="22"/>
          <w:lang w:val="et-EE"/>
        </w:rPr>
      </w:pPr>
      <w:r w:rsidRPr="0074214F">
        <w:rPr>
          <w:rFonts w:eastAsia="Calibri" w:cstheme="minorHAnsi"/>
          <w:sz w:val="22"/>
          <w:szCs w:val="22"/>
          <w:lang w:val="et-EE"/>
        </w:rPr>
        <w:t>Metoodika peaks olema tehniliselt teostatav: kaasatud katsejuhised ja -meetodid peaksid olema antud katsematerjaliga tehniliselt teostatavad. Olemasolevates testimisjuhistes on vaja muudatusi, et võtta arvesse konkreetseid katsetingimusi polümeeride või tahkete osakeste (nt mikroplasti) testimisel.</w:t>
      </w:r>
    </w:p>
    <w:p w14:paraId="5D2FE3A1" w14:textId="77777777" w:rsidR="0074214F" w:rsidRPr="0074214F" w:rsidRDefault="0074214F" w:rsidP="0074214F">
      <w:pPr>
        <w:numPr>
          <w:ilvl w:val="0"/>
          <w:numId w:val="8"/>
        </w:numPr>
        <w:spacing w:after="160" w:line="259" w:lineRule="auto"/>
        <w:contextualSpacing/>
        <w:jc w:val="both"/>
        <w:rPr>
          <w:rFonts w:eastAsia="Calibri" w:cstheme="minorHAnsi"/>
          <w:sz w:val="22"/>
          <w:szCs w:val="22"/>
          <w:lang w:val="et-EE"/>
        </w:rPr>
      </w:pPr>
      <w:r w:rsidRPr="0074214F">
        <w:rPr>
          <w:rFonts w:eastAsia="Calibri" w:cstheme="minorHAnsi"/>
          <w:sz w:val="22"/>
          <w:szCs w:val="22"/>
          <w:lang w:val="et-EE"/>
        </w:rPr>
        <w:t>Kriteeriumid peavad olema järjepidevad: (bio)lagunevate alternatiivide väljatöötamine mikroplastile on tööstuse ja teiste sidusrühmade jaoks aega ja ressursse nõudev protsess. Innovatsiooni toetamiseks on kriitilise tähtsusega testimisskeemid, mis näevad ette ühtseid kriteeriume. Samuti peab iga testimiskava puhul arvestama osakeste analüüsimisel ja testimisel sobivate katsemeetodite kättesaadavust ja tehnika taset.</w:t>
      </w:r>
    </w:p>
    <w:p w14:paraId="113C8A82" w14:textId="77777777" w:rsidR="0074214F" w:rsidRPr="0074214F" w:rsidRDefault="0074214F" w:rsidP="0074214F">
      <w:pPr>
        <w:spacing w:after="160" w:line="259" w:lineRule="auto"/>
        <w:jc w:val="both"/>
        <w:rPr>
          <w:rFonts w:eastAsia="Calibri" w:cstheme="minorHAnsi"/>
          <w:sz w:val="22"/>
          <w:szCs w:val="22"/>
          <w:lang w:val="et-EE"/>
        </w:rPr>
      </w:pPr>
    </w:p>
    <w:p w14:paraId="5A9A49BC"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4. Kasutus- ja utiliseerimisjuhend</w:t>
      </w:r>
    </w:p>
    <w:p w14:paraId="6C0B8716" w14:textId="77777777"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Lõike 7 punktis a) sätestatud kasutus- ja kõrvaldamisjuhiste esitamise nõuded on juba piisavalt kaetud puhastusvahendite sektoris kehtivate märgistamis- või kasutusjuhistega seotud kohustustega, nt. CLP-määrus (EL) nr 1272/2008, detergentide määrus (EÜ) nr 648/2004 või biotsiidide määrus (EÜ) nr 528/2012.</w:t>
      </w:r>
    </w:p>
    <w:p w14:paraId="114A5660" w14:textId="77777777" w:rsidR="0074214F" w:rsidRPr="0074214F" w:rsidRDefault="0074214F" w:rsidP="0074214F">
      <w:pPr>
        <w:spacing w:after="160" w:line="259" w:lineRule="auto"/>
        <w:jc w:val="both"/>
        <w:rPr>
          <w:rFonts w:eastAsia="Calibri" w:cstheme="minorHAnsi"/>
          <w:b/>
          <w:bCs/>
          <w:sz w:val="22"/>
          <w:szCs w:val="22"/>
          <w:lang w:val="et-EE"/>
        </w:rPr>
      </w:pPr>
      <w:r w:rsidRPr="0074214F">
        <w:rPr>
          <w:rFonts w:eastAsia="Calibri" w:cstheme="minorHAnsi"/>
          <w:b/>
          <w:bCs/>
          <w:sz w:val="22"/>
          <w:szCs w:val="22"/>
          <w:lang w:val="et-EE"/>
        </w:rPr>
        <w:t>5. Aruandluskohustused</w:t>
      </w:r>
    </w:p>
    <w:p w14:paraId="6BE04C42" w14:textId="77777777" w:rsidR="0074214F" w:rsidRPr="0074214F" w:rsidRDefault="0074214F" w:rsidP="0074214F">
      <w:pPr>
        <w:jc w:val="both"/>
        <w:rPr>
          <w:rFonts w:eastAsia="Calibri" w:cstheme="minorHAnsi"/>
          <w:sz w:val="22"/>
          <w:szCs w:val="22"/>
          <w:lang w:val="et-EE"/>
        </w:rPr>
      </w:pPr>
      <w:r w:rsidRPr="0074214F">
        <w:rPr>
          <w:rFonts w:eastAsia="Calibri" w:cstheme="minorHAnsi"/>
          <w:sz w:val="22"/>
          <w:szCs w:val="22"/>
          <w:lang w:val="et-EE"/>
        </w:rPr>
        <w:t>Kavandatavad  aruandlusnõuded mõjutavad väga suurt hulka erandiga kasutusalasid, tekitades märkimisväärse täiendava halduskoormuse. Usaldusväärsete ja väärtuslike numbrite saavutamine peab seega olema lihtne, selge ja teostatav.</w:t>
      </w:r>
    </w:p>
    <w:p w14:paraId="16DA6056" w14:textId="77777777" w:rsidR="0074214F" w:rsidRPr="0074214F" w:rsidRDefault="0074214F" w:rsidP="0074214F">
      <w:pPr>
        <w:jc w:val="both"/>
        <w:rPr>
          <w:rFonts w:eastAsia="Calibri" w:cstheme="minorHAnsi"/>
          <w:sz w:val="22"/>
          <w:szCs w:val="22"/>
          <w:lang w:val="et-EE"/>
        </w:rPr>
      </w:pPr>
    </w:p>
    <w:p w14:paraId="7826B144" w14:textId="77777777" w:rsidR="00862A52"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xml:space="preserve">Iga sektori heitkoguste hindamiseks on vaja spetsiaalseid aruandlusjuhiseid ja metoodikat, mis loovad samal ajal võrdsed võimalused erinevate sektorite vahel. Juhend peaks sisaldama selliseid aspekte nagu kahju määratlused, millest tuleb aru anda, samuti  kellele rakenduvad  kohustused väärtusahelas. </w:t>
      </w:r>
    </w:p>
    <w:p w14:paraId="572C3D3C" w14:textId="77777777" w:rsidR="00862A52"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xml:space="preserve">Aruandlus peaks põhinema sünteetilise polümeeri mikroosakeses sisalduval tahkel polümeeril, mitte mikroosakesel endal. Samuti tuleks välistada  nõue esitada iga kasutusala kohta üldteavet polümeeride identifitseerimise kohta. Turule lastud tooted võivad sisaldada mitut erinevat tüüpi polümeere ning hinnangulise eraldumise jälgimine kasutuse ja polümeeritüübi kohta oleks ebaproportsionaalselt õigustamata suur koormus, kuna piirang puudutab sünteetilisi polümeerseid mikroosakesi. Piirangu tõhususe jälgimiseks piisaks mikroosakeste heidete koguhinnangust kasutuse või tööstusliku kasutaja kohta. </w:t>
      </w:r>
    </w:p>
    <w:p w14:paraId="52AE8D7F" w14:textId="7F6B6C72"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ECHA plaanib teha esitatud teabe liikmesriikidele kättesaadavaks, kuid seda teavet  ei tohiks avalikult levitada  vältimaks  võimalikku musta nimekirja kandmise mõju. Aruandes tuleks esitada ainult koondmahud, mis ei tuvasta üksikuid ettevõtjaid.</w:t>
      </w:r>
    </w:p>
    <w:p w14:paraId="0D771B34" w14:textId="57360F52" w:rsidR="0074214F" w:rsidRDefault="0074214F" w:rsidP="0074214F">
      <w:pPr>
        <w:jc w:val="both"/>
        <w:rPr>
          <w:rFonts w:eastAsia="Calibri" w:cstheme="minorHAnsi"/>
          <w:sz w:val="22"/>
          <w:szCs w:val="22"/>
          <w:lang w:val="et-EE"/>
        </w:rPr>
      </w:pPr>
      <w:r w:rsidRPr="0074214F">
        <w:rPr>
          <w:rFonts w:eastAsia="Calibri" w:cstheme="minorHAnsi"/>
          <w:sz w:val="22"/>
          <w:szCs w:val="22"/>
          <w:lang w:val="et-EE"/>
        </w:rPr>
        <w:t>Seega seame  kahtluse alla iga-aastase aruandlusnõude kasulikkuse (lõige 8), kuna see jälgib ainult mikroplasti juhusliku eraldumise hinnanguid. Uued aruandlus- ja avalikustamiskohustused tekitavad ettevõtetele ebaproportsionaalselt suure halduskoormuse ning nõuavad uute IT-vahendite, funktsioonide ja tarneahela kommunikatsiooni kasutuselevõttu ilma nähtava kasu mikroplastireostuse vähendamisel.</w:t>
      </w:r>
    </w:p>
    <w:p w14:paraId="4FF6A58A" w14:textId="77777777" w:rsidR="0074214F" w:rsidRPr="0074214F" w:rsidRDefault="0074214F" w:rsidP="0074214F">
      <w:pPr>
        <w:jc w:val="both"/>
        <w:rPr>
          <w:rFonts w:eastAsia="Calibri" w:cstheme="minorHAnsi"/>
          <w:sz w:val="22"/>
          <w:szCs w:val="22"/>
          <w:lang w:val="et-EE"/>
        </w:rPr>
      </w:pPr>
    </w:p>
    <w:p w14:paraId="2D5B5A1B" w14:textId="399ADC54"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lastRenderedPageBreak/>
        <w:t xml:space="preserve"> Aruandluskohustust võiks piirata ainult teatud osalistega (nt lõikes 5 nimetatud sünteetiliste polümeeride mikroosakeste tarnijad, kes viivad turule esmakordselt). Aruandekohustust  võiks siduda mikroplasti eraldumisele  miinimumkoguse kehtestamisega. See vähendaks VKE-dr  koormust ja annaks tarnijatele stiimuli mikroplasti heitkoguste vähendamiseks.</w:t>
      </w:r>
    </w:p>
    <w:p w14:paraId="05034F19" w14:textId="6AFE179E" w:rsidR="0074214F" w:rsidRPr="0074214F" w:rsidRDefault="0074214F" w:rsidP="0074214F">
      <w:pPr>
        <w:spacing w:after="160" w:line="259" w:lineRule="auto"/>
        <w:jc w:val="both"/>
        <w:rPr>
          <w:rFonts w:eastAsia="Calibri" w:cstheme="minorHAnsi"/>
          <w:sz w:val="22"/>
          <w:szCs w:val="22"/>
          <w:lang w:val="et-EE"/>
        </w:rPr>
      </w:pPr>
    </w:p>
    <w:p w14:paraId="30DD08AD" w14:textId="7CF45B52"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Lugupidamisega</w:t>
      </w:r>
    </w:p>
    <w:p w14:paraId="456056F8" w14:textId="59B44F5D" w:rsidR="0074214F" w:rsidRPr="0074214F" w:rsidRDefault="0074214F" w:rsidP="0074214F">
      <w:pPr>
        <w:spacing w:after="160" w:line="259" w:lineRule="auto"/>
        <w:jc w:val="both"/>
        <w:rPr>
          <w:rFonts w:eastAsia="Calibri" w:cstheme="minorHAnsi"/>
          <w:sz w:val="22"/>
          <w:szCs w:val="22"/>
          <w:lang w:val="et-EE"/>
        </w:rPr>
      </w:pPr>
      <w:r w:rsidRPr="0074214F">
        <w:rPr>
          <w:rFonts w:eastAsia="Calibri" w:cstheme="minorHAnsi"/>
          <w:sz w:val="22"/>
          <w:szCs w:val="22"/>
          <w:lang w:val="et-EE"/>
        </w:rPr>
        <w:t xml:space="preserve">/allkirjastatud digitaalselt/ </w:t>
      </w:r>
    </w:p>
    <w:p w14:paraId="249C8AD6" w14:textId="77777777" w:rsidR="0074214F" w:rsidRPr="0074214F" w:rsidRDefault="0074214F" w:rsidP="0074214F">
      <w:pPr>
        <w:spacing w:after="160" w:line="259" w:lineRule="auto"/>
        <w:jc w:val="both"/>
        <w:rPr>
          <w:rFonts w:eastAsia="Calibri" w:cstheme="minorHAnsi"/>
          <w:sz w:val="22"/>
          <w:szCs w:val="22"/>
          <w:lang w:val="et-EE"/>
        </w:rPr>
      </w:pPr>
    </w:p>
    <w:p w14:paraId="24870318" w14:textId="77777777" w:rsidR="0074214F" w:rsidRPr="0074214F" w:rsidRDefault="0074214F" w:rsidP="0074214F">
      <w:pPr>
        <w:spacing w:after="160" w:line="259" w:lineRule="auto"/>
        <w:jc w:val="both"/>
        <w:rPr>
          <w:rFonts w:eastAsia="Calibri" w:cstheme="minorHAnsi"/>
          <w:sz w:val="22"/>
          <w:szCs w:val="22"/>
          <w:lang w:val="et-EE"/>
        </w:rPr>
      </w:pPr>
    </w:p>
    <w:p w14:paraId="6A8E70E7" w14:textId="77777777" w:rsidR="0074214F" w:rsidRPr="0074214F" w:rsidRDefault="0074214F" w:rsidP="0074214F">
      <w:pPr>
        <w:spacing w:after="160" w:line="259" w:lineRule="auto"/>
        <w:jc w:val="both"/>
        <w:rPr>
          <w:rFonts w:eastAsia="Calibri" w:cstheme="minorHAnsi"/>
          <w:sz w:val="22"/>
          <w:szCs w:val="22"/>
          <w:lang w:val="et-EE"/>
        </w:rPr>
      </w:pPr>
    </w:p>
    <w:p w14:paraId="37115641" w14:textId="77777777" w:rsidR="00865F05" w:rsidRPr="0074214F" w:rsidRDefault="00865F05" w:rsidP="0074214F">
      <w:pPr>
        <w:jc w:val="both"/>
        <w:rPr>
          <w:rFonts w:cstheme="minorHAnsi"/>
          <w:sz w:val="22"/>
          <w:szCs w:val="22"/>
          <w:lang w:val="et-EE"/>
        </w:rPr>
      </w:pPr>
    </w:p>
    <w:sectPr w:rsidR="00865F05" w:rsidRPr="0074214F" w:rsidSect="009C7DB0">
      <w:headerReference w:type="even" r:id="rId11"/>
      <w:headerReference w:type="default" r:id="rId12"/>
      <w:footerReference w:type="even" r:id="rId13"/>
      <w:footerReference w:type="default" r:id="rId14"/>
      <w:headerReference w:type="first" r:id="rId15"/>
      <w:footerReference w:type="first" r:id="rId16"/>
      <w:pgSz w:w="11900" w:h="16840"/>
      <w:pgMar w:top="2238" w:right="1440" w:bottom="1440" w:left="1440" w:header="82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5BB2" w14:textId="77777777" w:rsidR="001A6B82" w:rsidRDefault="001A6B82" w:rsidP="00931D5E">
      <w:r>
        <w:separator/>
      </w:r>
    </w:p>
  </w:endnote>
  <w:endnote w:type="continuationSeparator" w:id="0">
    <w:p w14:paraId="1A1B7C4D" w14:textId="77777777" w:rsidR="001A6B82" w:rsidRDefault="001A6B82" w:rsidP="0093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3D33" w14:textId="77777777" w:rsidR="005844F2" w:rsidRDefault="005844F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BF80" w14:textId="77777777" w:rsidR="005844F2" w:rsidRDefault="005844F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FA5D" w14:textId="77777777" w:rsidR="00656C6E" w:rsidRDefault="00656C6E"/>
  <w:p w14:paraId="39259A80" w14:textId="77777777" w:rsidR="00656C6E" w:rsidRDefault="00656C6E">
    <w:r w:rsidRPr="00146E04">
      <w:rPr>
        <w:rFonts w:ascii="Open Sans Light" w:hAnsi="Open Sans Light" w:cs="Open Sans Light"/>
        <w:noProof/>
        <w:color w:val="FFFFFF"/>
        <w:sz w:val="16"/>
        <w:szCs w:val="16"/>
      </w:rPr>
      <mc:AlternateContent>
        <mc:Choice Requires="wps">
          <w:drawing>
            <wp:anchor distT="0" distB="0" distL="114300" distR="114300" simplePos="0" relativeHeight="251659264" behindDoc="0" locked="0" layoutInCell="1" allowOverlap="1" wp14:anchorId="1FD1E511" wp14:editId="524D790B">
              <wp:simplePos x="0" y="0"/>
              <wp:positionH relativeFrom="column">
                <wp:posOffset>8005</wp:posOffset>
              </wp:positionH>
              <wp:positionV relativeFrom="paragraph">
                <wp:posOffset>118006</wp:posOffset>
              </wp:positionV>
              <wp:extent cx="5703757" cy="22486"/>
              <wp:effectExtent l="0" t="0" r="24130" b="15875"/>
              <wp:wrapNone/>
              <wp:docPr id="3" name="Straight Connector 3"/>
              <wp:cNvGraphicFramePr/>
              <a:graphic xmlns:a="http://schemas.openxmlformats.org/drawingml/2006/main">
                <a:graphicData uri="http://schemas.microsoft.com/office/word/2010/wordprocessingShape">
                  <wps:wsp>
                    <wps:cNvCnPr/>
                    <wps:spPr>
                      <a:xfrm>
                        <a:off x="0" y="0"/>
                        <a:ext cx="5703757" cy="22486"/>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9921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9.3pt" to="44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" strokecolor="#bfbfbf [2412]" strokeweight=".25pt">
              <v:stroke joinstyle="miter"/>
            </v:line>
          </w:pict>
        </mc:Fallback>
      </mc:AlternateContent>
    </w:r>
  </w:p>
  <w:tbl>
    <w:tblPr>
      <w:tblStyle w:val="Kontuurtabe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656C6E" w14:paraId="37FBB2F8" w14:textId="77777777" w:rsidTr="00656C6E">
      <w:tc>
        <w:tcPr>
          <w:tcW w:w="3003" w:type="dxa"/>
        </w:tcPr>
        <w:p w14:paraId="72A4FCBC" w14:textId="77777777" w:rsidR="00656C6E" w:rsidRPr="00146E04" w:rsidRDefault="00656C6E">
          <w:pPr>
            <w:pStyle w:val="Jalus"/>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Eesti Keemiatööstuse Liit</w:t>
          </w:r>
        </w:p>
        <w:p w14:paraId="3E80A924" w14:textId="77777777" w:rsidR="00656C6E" w:rsidRPr="00146E04" w:rsidRDefault="00656C6E">
          <w:pPr>
            <w:pStyle w:val="Jalus"/>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Peterburi tee 46, 11415 Tallinn</w:t>
          </w:r>
        </w:p>
        <w:p w14:paraId="68E592D5" w14:textId="77777777" w:rsidR="00656C6E" w:rsidRPr="00146E04" w:rsidRDefault="00656C6E">
          <w:pPr>
            <w:pStyle w:val="Jalus"/>
            <w:rPr>
              <w:rFonts w:ascii="Open Sans Light" w:hAnsi="Open Sans Light" w:cs="Open Sans Light"/>
              <w:color w:val="808080"/>
              <w:sz w:val="16"/>
              <w:szCs w:val="16"/>
              <w:lang w:val="fi-FI"/>
            </w:rPr>
          </w:pPr>
        </w:p>
      </w:tc>
      <w:tc>
        <w:tcPr>
          <w:tcW w:w="3003" w:type="dxa"/>
        </w:tcPr>
        <w:p w14:paraId="4A3EDD87" w14:textId="77777777" w:rsidR="00656C6E" w:rsidRPr="00146E04" w:rsidRDefault="00656C6E">
          <w:pPr>
            <w:pStyle w:val="Jalus"/>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+372 613 9775</w:t>
          </w:r>
        </w:p>
        <w:p w14:paraId="68C57050" w14:textId="77777777" w:rsidR="00656C6E" w:rsidRPr="00146E04" w:rsidRDefault="00000000">
          <w:pPr>
            <w:pStyle w:val="Jalus"/>
            <w:rPr>
              <w:rFonts w:ascii="Open Sans Light" w:hAnsi="Open Sans Light" w:cs="Open Sans Light"/>
              <w:color w:val="808080"/>
              <w:sz w:val="16"/>
              <w:szCs w:val="16"/>
              <w:lang w:val="fi-FI"/>
            </w:rPr>
          </w:pPr>
          <w:r>
            <w:fldChar w:fldCharType="begin"/>
          </w:r>
          <w:r w:rsidRPr="0074214F">
            <w:rPr>
              <w:lang w:val="fi-FI"/>
            </w:rPr>
            <w:instrText>HYPERLINK "mailto:info@keemia.ee"</w:instrText>
          </w:r>
          <w:r>
            <w:fldChar w:fldCharType="separate"/>
          </w:r>
          <w:r w:rsidR="00656C6E" w:rsidRPr="00146E04">
            <w:rPr>
              <w:rStyle w:val="Hperlink"/>
              <w:rFonts w:ascii="Open Sans Light" w:hAnsi="Open Sans Light" w:cs="Open Sans Light"/>
              <w:sz w:val="16"/>
              <w:szCs w:val="16"/>
              <w:lang w:val="fi-FI"/>
            </w:rPr>
            <w:t>info@keemia.ee</w:t>
          </w:r>
          <w:r>
            <w:rPr>
              <w:rStyle w:val="Hperlink"/>
              <w:rFonts w:ascii="Open Sans Light" w:hAnsi="Open Sans Light" w:cs="Open Sans Light"/>
              <w:sz w:val="16"/>
              <w:szCs w:val="16"/>
              <w:lang w:val="fi-FI"/>
            </w:rPr>
            <w:fldChar w:fldCharType="end"/>
          </w:r>
        </w:p>
        <w:p w14:paraId="797298F5" w14:textId="77777777" w:rsidR="00656C6E" w:rsidRPr="00146E04" w:rsidRDefault="00656C6E">
          <w:pPr>
            <w:pStyle w:val="Jalus"/>
            <w:rPr>
              <w:rFonts w:ascii="Open Sans Light" w:hAnsi="Open Sans Light" w:cs="Open Sans Light"/>
              <w:color w:val="808080"/>
              <w:sz w:val="16"/>
              <w:szCs w:val="16"/>
              <w:lang w:val="fi-FI"/>
            </w:rPr>
          </w:pPr>
          <w:r w:rsidRPr="00146E04">
            <w:rPr>
              <w:rFonts w:ascii="Open Sans Light" w:hAnsi="Open Sans Light" w:cs="Open Sans Light"/>
              <w:color w:val="808080"/>
              <w:sz w:val="16"/>
              <w:szCs w:val="16"/>
              <w:lang w:val="fi-FI"/>
            </w:rPr>
            <w:t>www.keemia.ee</w:t>
          </w:r>
        </w:p>
      </w:tc>
      <w:tc>
        <w:tcPr>
          <w:tcW w:w="3004" w:type="dxa"/>
        </w:tcPr>
        <w:p w14:paraId="3C62DE6C" w14:textId="77777777" w:rsidR="00656C6E" w:rsidRPr="00146E04" w:rsidRDefault="00656C6E" w:rsidP="00656C6E">
          <w:pPr>
            <w:pStyle w:val="Jalus"/>
            <w:jc w:val="right"/>
            <w:rPr>
              <w:rFonts w:ascii="Open Sans Light" w:hAnsi="Open Sans Light" w:cs="Open Sans Light"/>
              <w:color w:val="808080"/>
              <w:sz w:val="16"/>
              <w:szCs w:val="16"/>
            </w:rPr>
          </w:pPr>
          <w:r w:rsidRPr="00146E04">
            <w:rPr>
              <w:rFonts w:ascii="Open Sans Light" w:hAnsi="Open Sans Light" w:cs="Open Sans Light"/>
              <w:noProof/>
              <w:color w:val="808080"/>
              <w:sz w:val="16"/>
              <w:szCs w:val="16"/>
            </w:rPr>
            <w:drawing>
              <wp:inline distT="0" distB="0" distL="0" distR="0" wp14:anchorId="012979DC" wp14:editId="2F349EC0">
                <wp:extent cx="1034322" cy="372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89.jpg"/>
                        <pic:cNvPicPr/>
                      </pic:nvPicPr>
                      <pic:blipFill>
                        <a:blip r:embed="rId1">
                          <a:extLst>
                            <a:ext uri="{28A0092B-C50C-407E-A947-70E740481C1C}">
                              <a14:useLocalDpi xmlns:a14="http://schemas.microsoft.com/office/drawing/2010/main" val="0"/>
                            </a:ext>
                          </a:extLst>
                        </a:blip>
                        <a:stretch>
                          <a:fillRect/>
                        </a:stretch>
                      </pic:blipFill>
                      <pic:spPr>
                        <a:xfrm>
                          <a:off x="0" y="0"/>
                          <a:ext cx="1137810" cy="409857"/>
                        </a:xfrm>
                        <a:prstGeom prst="rect">
                          <a:avLst/>
                        </a:prstGeom>
                      </pic:spPr>
                    </pic:pic>
                  </a:graphicData>
                </a:graphic>
              </wp:inline>
            </w:drawing>
          </w:r>
        </w:p>
      </w:tc>
    </w:tr>
  </w:tbl>
  <w:p w14:paraId="4E0DB6D9" w14:textId="77777777" w:rsidR="00FB653B" w:rsidRPr="00146E04" w:rsidRDefault="00656C6E">
    <w:pPr>
      <w:pStyle w:val="Jalus"/>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r w:rsidRPr="00146E04">
      <w:rPr>
        <w:rFonts w:ascii="Open Sans Light" w:hAnsi="Open Sans Light" w:cs="Open Sans Light"/>
        <w:color w:val="808080"/>
        <w:sz w:val="16"/>
        <w:szCs w:val="16"/>
      </w:rPr>
      <w:tab/>
    </w:r>
    <w:r w:rsidRPr="00146E04">
      <w:rPr>
        <w:rFonts w:ascii="Open Sans Light" w:hAnsi="Open Sans Light" w:cs="Open Sans Light"/>
        <w:color w:val="808080"/>
        <w:sz w:val="16"/>
        <w:szCs w:val="16"/>
      </w:rPr>
      <w:tab/>
    </w:r>
  </w:p>
  <w:p w14:paraId="7F2C8C1A" w14:textId="77777777" w:rsidR="00656C6E" w:rsidRPr="00146E04" w:rsidRDefault="00656C6E">
    <w:pPr>
      <w:pStyle w:val="Jalus"/>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p>
  <w:p w14:paraId="6B07C983" w14:textId="77777777" w:rsidR="00865F05" w:rsidRPr="00146E04" w:rsidRDefault="00656C6E">
    <w:pPr>
      <w:pStyle w:val="Jalus"/>
      <w:rPr>
        <w:rFonts w:ascii="Open Sans Light" w:hAnsi="Open Sans Light" w:cs="Open Sans Light"/>
        <w:color w:val="808080"/>
        <w:sz w:val="16"/>
        <w:szCs w:val="16"/>
      </w:rPr>
    </w:pPr>
    <w:r w:rsidRPr="00146E04">
      <w:rPr>
        <w:rFonts w:ascii="Open Sans Light" w:hAnsi="Open Sans Light" w:cs="Open Sans Light"/>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39F2" w14:textId="77777777" w:rsidR="001A6B82" w:rsidRDefault="001A6B82" w:rsidP="00931D5E">
      <w:r>
        <w:separator/>
      </w:r>
    </w:p>
  </w:footnote>
  <w:footnote w:type="continuationSeparator" w:id="0">
    <w:p w14:paraId="09098B69" w14:textId="77777777" w:rsidR="001A6B82" w:rsidRDefault="001A6B82" w:rsidP="0093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D220" w14:textId="77777777" w:rsidR="005844F2" w:rsidRDefault="005844F2">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651A" w14:textId="77777777" w:rsidR="00931D5E" w:rsidRDefault="00931D5E" w:rsidP="00931D5E">
    <w:pPr>
      <w:pStyle w:val="Pis"/>
      <w:ind w:right="-1440"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58BD" w14:textId="77777777" w:rsidR="00865F05" w:rsidRDefault="009C7DB0" w:rsidP="009C7DB0">
    <w:pPr>
      <w:pStyle w:val="Pis"/>
    </w:pPr>
    <w:r>
      <w:rPr>
        <w:noProof/>
      </w:rPr>
      <w:drawing>
        <wp:inline distT="0" distB="0" distL="0" distR="0" wp14:anchorId="3ABF7901" wp14:editId="5E91F0DB">
          <wp:extent cx="6635931" cy="494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6837777" cy="509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2BE8"/>
    <w:multiLevelType w:val="hybridMultilevel"/>
    <w:tmpl w:val="5672E0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44716D3"/>
    <w:multiLevelType w:val="hybridMultilevel"/>
    <w:tmpl w:val="C38448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731330D"/>
    <w:multiLevelType w:val="hybridMultilevel"/>
    <w:tmpl w:val="604EF8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8535357"/>
    <w:multiLevelType w:val="hybridMultilevel"/>
    <w:tmpl w:val="E7C28CEC"/>
    <w:lvl w:ilvl="0" w:tplc="04250001">
      <w:start w:val="1"/>
      <w:numFmt w:val="bullet"/>
      <w:lvlText w:val=""/>
      <w:lvlJc w:val="left"/>
      <w:pPr>
        <w:ind w:left="1130" w:hanging="360"/>
      </w:pPr>
      <w:rPr>
        <w:rFonts w:ascii="Symbol" w:hAnsi="Symbol" w:hint="default"/>
      </w:rPr>
    </w:lvl>
    <w:lvl w:ilvl="1" w:tplc="04250003" w:tentative="1">
      <w:start w:val="1"/>
      <w:numFmt w:val="bullet"/>
      <w:lvlText w:val="o"/>
      <w:lvlJc w:val="left"/>
      <w:pPr>
        <w:ind w:left="1850" w:hanging="360"/>
      </w:pPr>
      <w:rPr>
        <w:rFonts w:ascii="Courier New" w:hAnsi="Courier New" w:cs="Courier New" w:hint="default"/>
      </w:rPr>
    </w:lvl>
    <w:lvl w:ilvl="2" w:tplc="04250005" w:tentative="1">
      <w:start w:val="1"/>
      <w:numFmt w:val="bullet"/>
      <w:lvlText w:val=""/>
      <w:lvlJc w:val="left"/>
      <w:pPr>
        <w:ind w:left="2570" w:hanging="360"/>
      </w:pPr>
      <w:rPr>
        <w:rFonts w:ascii="Wingdings" w:hAnsi="Wingdings" w:hint="default"/>
      </w:rPr>
    </w:lvl>
    <w:lvl w:ilvl="3" w:tplc="04250001" w:tentative="1">
      <w:start w:val="1"/>
      <w:numFmt w:val="bullet"/>
      <w:lvlText w:val=""/>
      <w:lvlJc w:val="left"/>
      <w:pPr>
        <w:ind w:left="3290" w:hanging="360"/>
      </w:pPr>
      <w:rPr>
        <w:rFonts w:ascii="Symbol" w:hAnsi="Symbol" w:hint="default"/>
      </w:rPr>
    </w:lvl>
    <w:lvl w:ilvl="4" w:tplc="04250003" w:tentative="1">
      <w:start w:val="1"/>
      <w:numFmt w:val="bullet"/>
      <w:lvlText w:val="o"/>
      <w:lvlJc w:val="left"/>
      <w:pPr>
        <w:ind w:left="4010" w:hanging="360"/>
      </w:pPr>
      <w:rPr>
        <w:rFonts w:ascii="Courier New" w:hAnsi="Courier New" w:cs="Courier New" w:hint="default"/>
      </w:rPr>
    </w:lvl>
    <w:lvl w:ilvl="5" w:tplc="04250005" w:tentative="1">
      <w:start w:val="1"/>
      <w:numFmt w:val="bullet"/>
      <w:lvlText w:val=""/>
      <w:lvlJc w:val="left"/>
      <w:pPr>
        <w:ind w:left="4730" w:hanging="360"/>
      </w:pPr>
      <w:rPr>
        <w:rFonts w:ascii="Wingdings" w:hAnsi="Wingdings" w:hint="default"/>
      </w:rPr>
    </w:lvl>
    <w:lvl w:ilvl="6" w:tplc="04250001" w:tentative="1">
      <w:start w:val="1"/>
      <w:numFmt w:val="bullet"/>
      <w:lvlText w:val=""/>
      <w:lvlJc w:val="left"/>
      <w:pPr>
        <w:ind w:left="5450" w:hanging="360"/>
      </w:pPr>
      <w:rPr>
        <w:rFonts w:ascii="Symbol" w:hAnsi="Symbol" w:hint="default"/>
      </w:rPr>
    </w:lvl>
    <w:lvl w:ilvl="7" w:tplc="04250003" w:tentative="1">
      <w:start w:val="1"/>
      <w:numFmt w:val="bullet"/>
      <w:lvlText w:val="o"/>
      <w:lvlJc w:val="left"/>
      <w:pPr>
        <w:ind w:left="6170" w:hanging="360"/>
      </w:pPr>
      <w:rPr>
        <w:rFonts w:ascii="Courier New" w:hAnsi="Courier New" w:cs="Courier New" w:hint="default"/>
      </w:rPr>
    </w:lvl>
    <w:lvl w:ilvl="8" w:tplc="04250005" w:tentative="1">
      <w:start w:val="1"/>
      <w:numFmt w:val="bullet"/>
      <w:lvlText w:val=""/>
      <w:lvlJc w:val="left"/>
      <w:pPr>
        <w:ind w:left="6890" w:hanging="360"/>
      </w:pPr>
      <w:rPr>
        <w:rFonts w:ascii="Wingdings" w:hAnsi="Wingdings" w:hint="default"/>
      </w:rPr>
    </w:lvl>
  </w:abstractNum>
  <w:abstractNum w:abstractNumId="4" w15:restartNumberingAfterBreak="0">
    <w:nsid w:val="4EC52550"/>
    <w:multiLevelType w:val="hybridMultilevel"/>
    <w:tmpl w:val="88ACC8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17A58C1"/>
    <w:multiLevelType w:val="hybridMultilevel"/>
    <w:tmpl w:val="921E33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4361D2F"/>
    <w:multiLevelType w:val="hybridMultilevel"/>
    <w:tmpl w:val="8E84E93E"/>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7" w15:restartNumberingAfterBreak="0">
    <w:nsid w:val="7CD416DC"/>
    <w:multiLevelType w:val="hybridMultilevel"/>
    <w:tmpl w:val="5BF68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067416137">
    <w:abstractNumId w:val="4"/>
  </w:num>
  <w:num w:numId="2" w16cid:durableId="638194905">
    <w:abstractNumId w:val="3"/>
  </w:num>
  <w:num w:numId="3" w16cid:durableId="1749225916">
    <w:abstractNumId w:val="5"/>
  </w:num>
  <w:num w:numId="4" w16cid:durableId="1614442242">
    <w:abstractNumId w:val="2"/>
  </w:num>
  <w:num w:numId="5" w16cid:durableId="1882134771">
    <w:abstractNumId w:val="1"/>
  </w:num>
  <w:num w:numId="6" w16cid:durableId="1783960306">
    <w:abstractNumId w:val="0"/>
  </w:num>
  <w:num w:numId="7" w16cid:durableId="164168754">
    <w:abstractNumId w:val="7"/>
  </w:num>
  <w:num w:numId="8" w16cid:durableId="2064518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5E"/>
    <w:rsid w:val="00036AF1"/>
    <w:rsid w:val="00146E04"/>
    <w:rsid w:val="001A6B82"/>
    <w:rsid w:val="001D4960"/>
    <w:rsid w:val="00240150"/>
    <w:rsid w:val="002B5717"/>
    <w:rsid w:val="0044109D"/>
    <w:rsid w:val="00490358"/>
    <w:rsid w:val="00573644"/>
    <w:rsid w:val="005844F2"/>
    <w:rsid w:val="005E5B34"/>
    <w:rsid w:val="005E7C1F"/>
    <w:rsid w:val="00620E4C"/>
    <w:rsid w:val="00656C6E"/>
    <w:rsid w:val="0074214F"/>
    <w:rsid w:val="00852AB6"/>
    <w:rsid w:val="00862A52"/>
    <w:rsid w:val="00865F05"/>
    <w:rsid w:val="008A1DAA"/>
    <w:rsid w:val="008B0251"/>
    <w:rsid w:val="008B5899"/>
    <w:rsid w:val="008C012E"/>
    <w:rsid w:val="00931D5E"/>
    <w:rsid w:val="009C7DB0"/>
    <w:rsid w:val="009F22E4"/>
    <w:rsid w:val="00A02C6D"/>
    <w:rsid w:val="00B83BC5"/>
    <w:rsid w:val="00C11359"/>
    <w:rsid w:val="00C56F75"/>
    <w:rsid w:val="00D74DE6"/>
    <w:rsid w:val="00DD503B"/>
    <w:rsid w:val="00DF21A1"/>
    <w:rsid w:val="00E63E50"/>
    <w:rsid w:val="00EA5844"/>
    <w:rsid w:val="00EC763A"/>
    <w:rsid w:val="00F21567"/>
    <w:rsid w:val="00F415BD"/>
    <w:rsid w:val="00F46F91"/>
    <w:rsid w:val="00F47FFD"/>
    <w:rsid w:val="00F73ADB"/>
    <w:rsid w:val="00FB653B"/>
    <w:rsid w:val="00FD4C44"/>
    <w:rsid w:val="00FF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BCDD"/>
  <w14:defaultImageDpi w14:val="32767"/>
  <w15:chartTrackingRefBased/>
  <w15:docId w15:val="{DA80E4C3-8202-224C-90B3-D5815CC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31D5E"/>
    <w:pPr>
      <w:tabs>
        <w:tab w:val="center" w:pos="4680"/>
        <w:tab w:val="right" w:pos="9360"/>
      </w:tabs>
    </w:pPr>
  </w:style>
  <w:style w:type="character" w:customStyle="1" w:styleId="PisMrk">
    <w:name w:val="Päis Märk"/>
    <w:basedOn w:val="Liguvaikefont"/>
    <w:link w:val="Pis"/>
    <w:uiPriority w:val="99"/>
    <w:rsid w:val="00931D5E"/>
  </w:style>
  <w:style w:type="paragraph" w:styleId="Jalus">
    <w:name w:val="footer"/>
    <w:basedOn w:val="Normaallaad"/>
    <w:link w:val="JalusMrk"/>
    <w:uiPriority w:val="99"/>
    <w:unhideWhenUsed/>
    <w:rsid w:val="00931D5E"/>
    <w:pPr>
      <w:tabs>
        <w:tab w:val="center" w:pos="4680"/>
        <w:tab w:val="right" w:pos="9360"/>
      </w:tabs>
    </w:pPr>
  </w:style>
  <w:style w:type="character" w:customStyle="1" w:styleId="JalusMrk">
    <w:name w:val="Jalus Märk"/>
    <w:basedOn w:val="Liguvaikefont"/>
    <w:link w:val="Jalus"/>
    <w:uiPriority w:val="99"/>
    <w:rsid w:val="00931D5E"/>
  </w:style>
  <w:style w:type="character" w:styleId="Hperlink">
    <w:name w:val="Hyperlink"/>
    <w:basedOn w:val="Liguvaikefont"/>
    <w:uiPriority w:val="99"/>
    <w:unhideWhenUsed/>
    <w:rsid w:val="00656C6E"/>
    <w:rPr>
      <w:color w:val="0563C1" w:themeColor="hyperlink"/>
      <w:u w:val="single"/>
    </w:rPr>
  </w:style>
  <w:style w:type="character" w:styleId="Lahendamatamainimine">
    <w:name w:val="Unresolved Mention"/>
    <w:basedOn w:val="Liguvaikefont"/>
    <w:uiPriority w:val="99"/>
    <w:rsid w:val="00656C6E"/>
    <w:rPr>
      <w:color w:val="808080"/>
      <w:shd w:val="clear" w:color="auto" w:fill="E6E6E6"/>
    </w:rPr>
  </w:style>
  <w:style w:type="table" w:styleId="Kontuurtabel">
    <w:name w:val="Table Grid"/>
    <w:basedOn w:val="Normaaltabel"/>
    <w:uiPriority w:val="39"/>
    <w:rsid w:val="0065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44109D"/>
    <w:rPr>
      <w:sz w:val="22"/>
      <w:szCs w:val="22"/>
      <w:lang w:val="et-EE"/>
    </w:rPr>
  </w:style>
  <w:style w:type="paragraph" w:customStyle="1" w:styleId="Default">
    <w:name w:val="Default"/>
    <w:rsid w:val="008C012E"/>
    <w:pPr>
      <w:autoSpaceDE w:val="0"/>
      <w:autoSpaceDN w:val="0"/>
      <w:adjustRightInd w:val="0"/>
    </w:pPr>
    <w:rPr>
      <w:rFonts w:ascii="Times New Roman" w:eastAsia="Arial Unicode MS" w:hAnsi="Times New Roman" w:cs="Times New Roman"/>
      <w:color w:val="000000"/>
      <w:bdr w:val="nil"/>
      <w:lang w:val="et-EE"/>
    </w:rPr>
  </w:style>
  <w:style w:type="paragraph" w:styleId="Loendilik">
    <w:name w:val="List Paragraph"/>
    <w:basedOn w:val="Normaallaad"/>
    <w:uiPriority w:val="34"/>
    <w:qFormat/>
    <w:rsid w:val="008C012E"/>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kkonnaministeerium@envir.e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ve.Telling@sm.e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terviseamet.ee" TargetMode="External"/><Relationship Id="rId4" Type="http://schemas.openxmlformats.org/officeDocument/2006/relationships/webSettings" Target="webSettings.xml"/><Relationship Id="rId9" Type="http://schemas.openxmlformats.org/officeDocument/2006/relationships/hyperlink" Target="mailto:info@mkm.e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1701</Words>
  <Characters>9866</Characters>
  <Application>Microsoft Office Word</Application>
  <DocSecurity>0</DocSecurity>
  <Lines>82</Lines>
  <Paragraphs>23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Kergand</dc:creator>
  <cp:keywords/>
  <dc:description/>
  <cp:lastModifiedBy>Hallar Meybaum</cp:lastModifiedBy>
  <cp:revision>3</cp:revision>
  <dcterms:created xsi:type="dcterms:W3CDTF">2022-10-27T09:22:00Z</dcterms:created>
  <dcterms:modified xsi:type="dcterms:W3CDTF">2022-10-27T09:26:00Z</dcterms:modified>
</cp:coreProperties>
</file>