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07EE" w14:textId="77777777" w:rsidR="000B1111" w:rsidRDefault="000B1111" w:rsidP="000B1111">
      <w:pPr>
        <w:rPr>
          <w:b/>
          <w:bCs/>
          <w:color w:val="0070C0"/>
          <w:sz w:val="28"/>
          <w:szCs w:val="28"/>
        </w:rPr>
      </w:pPr>
      <w:r>
        <w:rPr>
          <w:b/>
          <w:bCs/>
          <w:color w:val="0070C0"/>
          <w:sz w:val="28"/>
          <w:szCs w:val="28"/>
        </w:rPr>
        <w:t xml:space="preserve">Temaatilised teadus- ja arendustegevuse programmid </w:t>
      </w:r>
    </w:p>
    <w:p w14:paraId="4BD6DDC6" w14:textId="2F658DA3" w:rsidR="000B1111" w:rsidRPr="00C65A52" w:rsidRDefault="000B1111" w:rsidP="000B1111">
      <w:pPr>
        <w:jc w:val="both"/>
        <w:rPr>
          <w:b/>
          <w:bCs/>
          <w:i/>
          <w:iCs/>
        </w:rPr>
      </w:pPr>
      <w:r w:rsidRPr="002258E9">
        <w:rPr>
          <w:b/>
          <w:bCs/>
          <w:i/>
          <w:iCs/>
          <w:color w:val="0070C0"/>
        </w:rPr>
        <w:t>Sekkumise nimetus</w:t>
      </w:r>
      <w:r w:rsidR="00E566D4">
        <w:rPr>
          <w:b/>
          <w:bCs/>
          <w:i/>
          <w:iCs/>
          <w:color w:val="0070C0"/>
        </w:rPr>
        <w:t xml:space="preserve"> Vabariigi Valitsuse kinnitatud meetmete nimekirjas</w:t>
      </w:r>
      <w:r w:rsidRPr="002258E9">
        <w:rPr>
          <w:b/>
          <w:bCs/>
          <w:i/>
          <w:iCs/>
          <w:color w:val="0070C0"/>
        </w:rPr>
        <w:t xml:space="preserve">: </w:t>
      </w:r>
      <w:r w:rsidRPr="00C65A52">
        <w:rPr>
          <w:b/>
          <w:bCs/>
          <w:i/>
          <w:iCs/>
        </w:rPr>
        <w:t>Temaatiliste teadus- ja arendustegevuse programmide rakendamine akadeemilise, era- ja avaliku sektori koosloome ja koostöö edendamiseks nutika spetsialiseerumise valdkondades</w:t>
      </w:r>
    </w:p>
    <w:p w14:paraId="0D06C422" w14:textId="77777777" w:rsidR="000B1111" w:rsidRPr="006E47E2" w:rsidRDefault="000B1111" w:rsidP="000B1111">
      <w:pPr>
        <w:rPr>
          <w:b/>
          <w:bCs/>
          <w:color w:val="0070C0"/>
          <w:sz w:val="28"/>
          <w:szCs w:val="28"/>
        </w:rPr>
      </w:pPr>
      <w:r w:rsidRPr="006E47E2">
        <w:rPr>
          <w:b/>
          <w:bCs/>
          <w:color w:val="0070C0"/>
          <w:sz w:val="28"/>
          <w:szCs w:val="28"/>
        </w:rPr>
        <w:t>Sekkumise vajaduse põhjendus</w:t>
      </w:r>
    </w:p>
    <w:p w14:paraId="579F0DFD" w14:textId="77777777" w:rsidR="000B1111" w:rsidRDefault="000B1111" w:rsidP="000B1111">
      <w:pPr>
        <w:jc w:val="both"/>
        <w:rPr>
          <w:rFonts w:cstheme="minorHAnsi"/>
        </w:rPr>
      </w:pPr>
      <w:r w:rsidRPr="007845D9">
        <w:rPr>
          <w:rFonts w:cstheme="minorHAnsi"/>
          <w:iCs/>
        </w:rPr>
        <w:t>Eesti teadus on heal tasemel.</w:t>
      </w:r>
      <w:r w:rsidRPr="00AE6981">
        <w:rPr>
          <w:rFonts w:cstheme="minorHAnsi"/>
          <w:iCs/>
        </w:rPr>
        <w:t xml:space="preserve"> </w:t>
      </w:r>
      <w:r w:rsidRPr="00AE6981">
        <w:rPr>
          <w:rFonts w:eastAsia="Times New Roman" w:cstheme="minorHAnsi"/>
          <w:lang w:eastAsia="et-EE"/>
        </w:rPr>
        <w:t>Eesti paistab eriti heast küljest silma kõrgetasemeliste publikatsioonide poolest</w:t>
      </w:r>
      <w:r w:rsidRPr="00AE6981">
        <w:rPr>
          <w:rStyle w:val="Allmrkuseviide"/>
          <w:rFonts w:eastAsia="Times New Roman" w:cstheme="minorHAnsi"/>
          <w:lang w:eastAsia="et-EE"/>
        </w:rPr>
        <w:footnoteReference w:id="1"/>
      </w:r>
      <w:r>
        <w:rPr>
          <w:rFonts w:eastAsia="Times New Roman" w:cstheme="minorHAnsi"/>
          <w:lang w:eastAsia="et-EE"/>
        </w:rPr>
        <w:t xml:space="preserve">, samuti </w:t>
      </w:r>
      <w:bookmarkStart w:id="0" w:name="_Hlk123635860"/>
      <w:r w:rsidRPr="00AE6981">
        <w:rPr>
          <w:rFonts w:cstheme="minorHAnsi"/>
        </w:rPr>
        <w:t>E</w:t>
      </w:r>
      <w:r>
        <w:rPr>
          <w:rFonts w:cstheme="minorHAnsi"/>
        </w:rPr>
        <w:t>L</w:t>
      </w:r>
      <w:r w:rsidRPr="00AE6981">
        <w:rPr>
          <w:rFonts w:cstheme="minorHAnsi"/>
        </w:rPr>
        <w:t xml:space="preserve"> teadusuuringute ja innovatsiooni raamprogrammi </w:t>
      </w:r>
      <w:r>
        <w:rPr>
          <w:rFonts w:cstheme="minorHAnsi"/>
        </w:rPr>
        <w:t xml:space="preserve">„Euroopa Horisont“ </w:t>
      </w:r>
      <w:r w:rsidRPr="00AE6981">
        <w:rPr>
          <w:rFonts w:cstheme="minorHAnsi"/>
        </w:rPr>
        <w:t>kaudu saadud toetuste</w:t>
      </w:r>
      <w:r>
        <w:rPr>
          <w:rFonts w:cstheme="minorHAnsi"/>
        </w:rPr>
        <w:t xml:space="preserve"> osas.</w:t>
      </w:r>
      <w:r>
        <w:rPr>
          <w:rStyle w:val="Allmrkuseviide"/>
          <w:rFonts w:cstheme="minorHAnsi"/>
        </w:rPr>
        <w:footnoteReference w:id="2"/>
      </w:r>
      <w:r w:rsidRPr="00AE6981">
        <w:rPr>
          <w:rFonts w:cstheme="minorHAnsi"/>
        </w:rPr>
        <w:t xml:space="preserve"> </w:t>
      </w:r>
      <w:bookmarkEnd w:id="0"/>
      <w:r w:rsidRPr="00AE6981">
        <w:rPr>
          <w:rFonts w:cstheme="minorHAnsi"/>
          <w:iCs/>
        </w:rPr>
        <w:t>Samas on vaatamata Eesti teadustöö kõrgele kvaliteedile teadussüsteemi ning majanduse ja ühiskonna vajaduste vaheline seos nõrk. Teadustöö tulemused ei leia Eesti ühiskonnas piisavalt rakendust</w:t>
      </w:r>
      <w:r>
        <w:rPr>
          <w:rStyle w:val="Allmrkuseviide"/>
          <w:rFonts w:cstheme="minorHAnsi"/>
          <w:iCs/>
        </w:rPr>
        <w:footnoteReference w:id="3"/>
      </w:r>
      <w:r w:rsidRPr="00AE6981">
        <w:rPr>
          <w:rFonts w:cstheme="minorHAnsi"/>
          <w:iCs/>
        </w:rPr>
        <w:t xml:space="preserve">. </w:t>
      </w:r>
      <w:bookmarkStart w:id="1" w:name="_Hlk99113971"/>
      <w:r w:rsidRPr="00AE6981">
        <w:rPr>
          <w:rFonts w:cstheme="minorHAnsi"/>
        </w:rPr>
        <w:t>Erasektori poolt rahastatud avaliku sektori teadus- ja arendustegevuse kulutuste osakaal jääb alla euroala keskmist</w:t>
      </w:r>
      <w:r w:rsidRPr="00AE6981">
        <w:rPr>
          <w:rStyle w:val="Allmrkuseviide"/>
          <w:rFonts w:cstheme="minorHAnsi"/>
        </w:rPr>
        <w:footnoteReference w:id="4"/>
      </w:r>
      <w:r>
        <w:rPr>
          <w:rFonts w:cstheme="minorHAnsi"/>
        </w:rPr>
        <w:t>. T</w:t>
      </w:r>
      <w:r w:rsidRPr="00AE6981">
        <w:rPr>
          <w:rFonts w:cstheme="minorHAnsi"/>
        </w:rPr>
        <w:t>eadlaste ja inseneride arvult</w:t>
      </w:r>
      <w:r>
        <w:rPr>
          <w:rFonts w:cstheme="minorHAnsi"/>
        </w:rPr>
        <w:t xml:space="preserve"> </w:t>
      </w:r>
      <w:r w:rsidRPr="00AE6981">
        <w:rPr>
          <w:rFonts w:cstheme="minorHAnsi"/>
        </w:rPr>
        <w:t>jääme alla EL keskmisele</w:t>
      </w:r>
      <w:r>
        <w:rPr>
          <w:rFonts w:cstheme="minorHAnsi"/>
        </w:rPr>
        <w:t>, eriti erasektoris</w:t>
      </w:r>
      <w:r w:rsidRPr="00AE6981">
        <w:rPr>
          <w:rStyle w:val="Allmrkuseviide"/>
          <w:rFonts w:cstheme="minorHAnsi"/>
        </w:rPr>
        <w:footnoteReference w:id="5"/>
      </w:r>
      <w:r>
        <w:rPr>
          <w:rFonts w:cstheme="minorHAnsi"/>
        </w:rPr>
        <w:t>, samal ajal kui</w:t>
      </w:r>
      <w:r w:rsidRPr="00343B82">
        <w:t xml:space="preserve"> </w:t>
      </w:r>
      <w:r w:rsidRPr="00343B82">
        <w:rPr>
          <w:rFonts w:cstheme="minorHAnsi"/>
        </w:rPr>
        <w:t xml:space="preserve">doktoriõppe atraktiivsus </w:t>
      </w:r>
      <w:r>
        <w:rPr>
          <w:rFonts w:cstheme="minorHAnsi"/>
        </w:rPr>
        <w:t xml:space="preserve">on </w:t>
      </w:r>
      <w:r w:rsidRPr="00343B82">
        <w:rPr>
          <w:rFonts w:cstheme="minorHAnsi"/>
        </w:rPr>
        <w:t>madal ja varem sihiks seatud 300 doktorikraadi kaitsmist aastas ei ole seni saavutatud</w:t>
      </w:r>
      <w:r>
        <w:rPr>
          <w:rStyle w:val="Allmrkuseviide"/>
          <w:rFonts w:cstheme="minorHAnsi"/>
        </w:rPr>
        <w:footnoteReference w:id="6"/>
      </w:r>
      <w:r w:rsidRPr="00343B82">
        <w:rPr>
          <w:rFonts w:cstheme="minorHAnsi"/>
        </w:rPr>
        <w:t xml:space="preserve">. </w:t>
      </w:r>
      <w:r>
        <w:rPr>
          <w:rFonts w:cstheme="minorHAnsi"/>
        </w:rPr>
        <w:t xml:space="preserve"> E</w:t>
      </w:r>
      <w:r w:rsidRPr="00AE6981">
        <w:rPr>
          <w:rFonts w:cstheme="minorHAnsi"/>
        </w:rPr>
        <w:t xml:space="preserve">ra- ja avaliku sektori </w:t>
      </w:r>
      <w:proofErr w:type="spellStart"/>
      <w:r w:rsidRPr="00AE6981">
        <w:rPr>
          <w:rFonts w:cstheme="minorHAnsi"/>
        </w:rPr>
        <w:t>ühispublikatsioonide</w:t>
      </w:r>
      <w:proofErr w:type="spellEnd"/>
      <w:r w:rsidRPr="00AE6981">
        <w:rPr>
          <w:rFonts w:cstheme="minorHAnsi"/>
        </w:rPr>
        <w:t xml:space="preserve"> arv miljoni elaniku </w:t>
      </w:r>
      <w:r w:rsidRPr="000D36B4">
        <w:rPr>
          <w:rFonts w:cstheme="minorHAnsi"/>
        </w:rPr>
        <w:t>kohta on 2019. aastast kolme viimase aasta keskmisena ligi vaid 80% EL keskmisest.</w:t>
      </w:r>
      <w:r w:rsidRPr="00AE6981">
        <w:rPr>
          <w:rFonts w:cstheme="minorHAnsi"/>
        </w:rPr>
        <w:t xml:space="preserve"> </w:t>
      </w:r>
      <w:bookmarkEnd w:id="1"/>
    </w:p>
    <w:p w14:paraId="7F39110F" w14:textId="551F7963" w:rsidR="000B1111" w:rsidRPr="00545247" w:rsidRDefault="000B1111" w:rsidP="000B1111">
      <w:pPr>
        <w:jc w:val="both"/>
        <w:rPr>
          <w:rFonts w:cstheme="minorHAnsi"/>
          <w:iCs/>
        </w:rPr>
      </w:pPr>
      <w:r w:rsidRPr="00C20CFA">
        <w:rPr>
          <w:iCs/>
        </w:rPr>
        <w:t xml:space="preserve">Kuigi teadus on heal tasemel, pole see piisavalt mõjus, et toetada laiemalt ühiskonna </w:t>
      </w:r>
      <w:r w:rsidRPr="007845D9">
        <w:rPr>
          <w:rFonts w:cstheme="minorHAnsi"/>
          <w:iCs/>
        </w:rPr>
        <w:t xml:space="preserve">arenguvajaduste täitmist, probleemide lahendamist, sh majanduslike eesmärkide </w:t>
      </w:r>
      <w:r w:rsidRPr="00545247">
        <w:rPr>
          <w:rFonts w:cstheme="minorHAnsi"/>
          <w:iCs/>
        </w:rPr>
        <w:t xml:space="preserve">saavutamist. </w:t>
      </w:r>
      <w:r w:rsidRPr="00545247">
        <w:rPr>
          <w:rFonts w:cstheme="minorHAnsi"/>
        </w:rPr>
        <w:t xml:space="preserve">Seetõttu tuleb riigil leida viise ja kujundada keskkonda, mis soosiks teadusasutuste ja ettevõtete koostööd nii uurimisülesannete püstitamisel kui teadustöö tulemustele rakenduste leidmisel. </w:t>
      </w:r>
      <w:r w:rsidRPr="00545247">
        <w:rPr>
          <w:rFonts w:cstheme="minorHAnsi"/>
          <w:iCs/>
        </w:rPr>
        <w:t xml:space="preserve">Vaja on arendada </w:t>
      </w:r>
      <w:proofErr w:type="spellStart"/>
      <w:r w:rsidRPr="00545247">
        <w:rPr>
          <w:rFonts w:cstheme="minorHAnsi"/>
          <w:iCs/>
        </w:rPr>
        <w:t>TA-asutuste</w:t>
      </w:r>
      <w:proofErr w:type="spellEnd"/>
      <w:r w:rsidRPr="00545247">
        <w:rPr>
          <w:rFonts w:cstheme="minorHAnsi"/>
          <w:iCs/>
        </w:rPr>
        <w:t xml:space="preserve"> suutlikkust kohandada oma teadus- ja arendustegevust ning pakutavaid teenuseid paremini ühiskonna vajadustele.</w:t>
      </w:r>
      <w:r w:rsidR="00545247" w:rsidRPr="00545247">
        <w:rPr>
          <w:rFonts w:cstheme="minorHAnsi"/>
          <w:iCs/>
        </w:rPr>
        <w:t xml:space="preserve"> </w:t>
      </w:r>
      <w:r w:rsidRPr="00545247">
        <w:rPr>
          <w:iCs/>
        </w:rPr>
        <w:t>Välisekspertide hinnangul</w:t>
      </w:r>
      <w:r w:rsidRPr="00545247">
        <w:rPr>
          <w:rStyle w:val="Allmrkuseviide"/>
          <w:iCs/>
        </w:rPr>
        <w:footnoteReference w:id="7"/>
      </w:r>
      <w:r w:rsidRPr="00545247">
        <w:rPr>
          <w:iCs/>
        </w:rPr>
        <w:t xml:space="preserve">  tuleb Eesti TAI süsteemi arengu kindlustamiseks määratleda TAI valdkonna temaatilised prioriteedid, mis toetaksid ühiskonna arenguvajaduste lahendamist ning teisalt võimaldavad paremini ära kasutada ettevõtluse ja teaduse tugevusi. </w:t>
      </w:r>
    </w:p>
    <w:p w14:paraId="4B507797" w14:textId="77777777" w:rsidR="000B1111" w:rsidRPr="00C86C79" w:rsidRDefault="000B1111" w:rsidP="000B1111">
      <w:pPr>
        <w:spacing w:after="0"/>
        <w:jc w:val="both"/>
        <w:rPr>
          <w:b/>
          <w:bCs/>
        </w:rPr>
      </w:pPr>
      <w:r w:rsidRPr="00C86C79">
        <w:rPr>
          <w:b/>
          <w:bCs/>
        </w:rPr>
        <w:t xml:space="preserve">Sekkumine adresseerib seega järgmisi üldisi probleeme TAIE valdkonnas: </w:t>
      </w:r>
    </w:p>
    <w:p w14:paraId="6908C188" w14:textId="77777777" w:rsidR="000B1111" w:rsidRPr="00A867BB" w:rsidRDefault="000B1111" w:rsidP="000B1111">
      <w:pPr>
        <w:spacing w:after="0"/>
        <w:jc w:val="both"/>
      </w:pPr>
      <w:r w:rsidRPr="00A867BB">
        <w:t xml:space="preserve">• teadustöö tulemused ei leia ühiskonnas piisavalt rakendust; </w:t>
      </w:r>
    </w:p>
    <w:p w14:paraId="0FF56AE8" w14:textId="77777777" w:rsidR="000B1111" w:rsidRPr="00A867BB" w:rsidRDefault="000B1111" w:rsidP="000B1111">
      <w:pPr>
        <w:spacing w:after="0"/>
        <w:jc w:val="both"/>
      </w:pPr>
      <w:r w:rsidRPr="00A867BB">
        <w:t xml:space="preserve">• Eesti ettevõtete TAI mahukus ning võimekus teadustulemusi kohandada ja kasutusele võtta on väike; </w:t>
      </w:r>
    </w:p>
    <w:p w14:paraId="5512FA5B" w14:textId="40912575" w:rsidR="000B1111" w:rsidRPr="00A867BB" w:rsidRDefault="000B1111" w:rsidP="000B1111">
      <w:pPr>
        <w:spacing w:after="0"/>
        <w:jc w:val="both"/>
      </w:pPr>
      <w:r w:rsidRPr="00A867BB">
        <w:lastRenderedPageBreak/>
        <w:t>• Eestil tuleb teha valikuid ja TAIE poliitikat tulemuslikumalt suunata (temaatilised prioriteedid)</w:t>
      </w:r>
      <w:r w:rsidR="00545247">
        <w:t>, et</w:t>
      </w:r>
      <w:r w:rsidR="00545247" w:rsidRPr="00545247">
        <w:t xml:space="preserve"> ühiskonna arenguvajaduste lahendamist toeta</w:t>
      </w:r>
      <w:r w:rsidR="00545247">
        <w:t xml:space="preserve">da ja </w:t>
      </w:r>
      <w:r w:rsidR="00545247" w:rsidRPr="00545247">
        <w:t>paremini ära kasutada ettevõtluse ja teaduse tugevusi</w:t>
      </w:r>
      <w:r w:rsidRPr="00A867BB">
        <w:t xml:space="preserve">; </w:t>
      </w:r>
    </w:p>
    <w:p w14:paraId="541B581D" w14:textId="77777777" w:rsidR="000B1111" w:rsidRPr="00A867BB" w:rsidRDefault="000B1111" w:rsidP="000B1111">
      <w:pPr>
        <w:spacing w:after="0"/>
        <w:jc w:val="both"/>
        <w:rPr>
          <w:iCs/>
        </w:rPr>
      </w:pPr>
      <w:r w:rsidRPr="00A867BB">
        <w:t>• TAIE süsteemi osaliste (teadusasutused, ettevõtted jt) koostöö on nõrk.</w:t>
      </w:r>
    </w:p>
    <w:p w14:paraId="38102F52" w14:textId="77777777" w:rsidR="000B1111" w:rsidRDefault="000B1111" w:rsidP="000B1111">
      <w:pPr>
        <w:spacing w:after="0"/>
        <w:jc w:val="both"/>
        <w:rPr>
          <w:iCs/>
        </w:rPr>
      </w:pPr>
    </w:p>
    <w:p w14:paraId="5FF42E02" w14:textId="77777777" w:rsidR="000B1111" w:rsidRPr="00C65A52" w:rsidRDefault="000B1111" w:rsidP="000B1111">
      <w:pPr>
        <w:spacing w:after="0"/>
        <w:jc w:val="both"/>
        <w:rPr>
          <w:iCs/>
        </w:rPr>
      </w:pPr>
      <w:r w:rsidRPr="005A4ECF">
        <w:rPr>
          <w:iCs/>
        </w:rPr>
        <w:t>Teadus- ja arendustegevuse, innovatsiooni ning ettevõtluse (TAIE) arengukava 2021-2035 nimetab eelisarendatava</w:t>
      </w:r>
      <w:r>
        <w:rPr>
          <w:iCs/>
        </w:rPr>
        <w:t>d</w:t>
      </w:r>
      <w:r w:rsidRPr="005A4ECF">
        <w:rPr>
          <w:iCs/>
        </w:rPr>
        <w:t xml:space="preserve"> valdkon</w:t>
      </w:r>
      <w:r>
        <w:rPr>
          <w:iCs/>
        </w:rPr>
        <w:t>nad</w:t>
      </w:r>
      <w:r w:rsidRPr="005A4ECF">
        <w:rPr>
          <w:iCs/>
        </w:rPr>
        <w:t xml:space="preserve"> (TAIE fookusvaldkon</w:t>
      </w:r>
      <w:r>
        <w:rPr>
          <w:iCs/>
        </w:rPr>
        <w:t>nad</w:t>
      </w:r>
      <w:r w:rsidRPr="005A4ECF">
        <w:rPr>
          <w:iCs/>
        </w:rPr>
        <w:t>), mida riik toetab täiendavalt</w:t>
      </w:r>
      <w:r>
        <w:rPr>
          <w:rStyle w:val="Allmrkuseviide"/>
          <w:iCs/>
        </w:rPr>
        <w:footnoteReference w:id="8"/>
      </w:r>
      <w:r>
        <w:rPr>
          <w:iCs/>
        </w:rPr>
        <w:t>.</w:t>
      </w:r>
      <w:r w:rsidRPr="005A4ECF">
        <w:t xml:space="preserve"> </w:t>
      </w:r>
      <w:r>
        <w:rPr>
          <w:iCs/>
        </w:rPr>
        <w:t xml:space="preserve">Sekkumise kaudu </w:t>
      </w:r>
      <w:r w:rsidRPr="00E14D3E">
        <w:rPr>
          <w:iCs/>
        </w:rPr>
        <w:t xml:space="preserve">arendatakse </w:t>
      </w:r>
      <w:r w:rsidRPr="000B223C">
        <w:rPr>
          <w:b/>
          <w:bCs/>
          <w:iCs/>
        </w:rPr>
        <w:t xml:space="preserve">TAIE </w:t>
      </w:r>
      <w:r>
        <w:rPr>
          <w:b/>
          <w:bCs/>
          <w:iCs/>
        </w:rPr>
        <w:t xml:space="preserve">nutika spetsialiseerumise </w:t>
      </w:r>
      <w:r w:rsidRPr="000B223C">
        <w:rPr>
          <w:b/>
          <w:bCs/>
          <w:iCs/>
        </w:rPr>
        <w:t>fookusvaldkondi</w:t>
      </w:r>
      <w:r w:rsidRPr="00E14D3E">
        <w:rPr>
          <w:iCs/>
        </w:rPr>
        <w:t>:</w:t>
      </w:r>
    </w:p>
    <w:p w14:paraId="3595FF09" w14:textId="77777777" w:rsidR="000B1111" w:rsidRPr="000B223C" w:rsidRDefault="000B1111" w:rsidP="000B1111">
      <w:pPr>
        <w:pStyle w:val="Loendilik"/>
        <w:numPr>
          <w:ilvl w:val="0"/>
          <w:numId w:val="1"/>
        </w:numPr>
        <w:spacing w:after="0"/>
        <w:jc w:val="both"/>
        <w:rPr>
          <w:iCs/>
        </w:rPr>
      </w:pPr>
      <w:r w:rsidRPr="000B223C">
        <w:rPr>
          <w:iCs/>
        </w:rPr>
        <w:t>digilahendused igas eluvaldkonnas;</w:t>
      </w:r>
    </w:p>
    <w:p w14:paraId="5665BCDB" w14:textId="77777777" w:rsidR="000B1111" w:rsidRPr="000B223C" w:rsidRDefault="000B1111" w:rsidP="000B1111">
      <w:pPr>
        <w:pStyle w:val="Loendilik"/>
        <w:numPr>
          <w:ilvl w:val="0"/>
          <w:numId w:val="1"/>
        </w:numPr>
        <w:spacing w:after="0"/>
        <w:jc w:val="both"/>
        <w:rPr>
          <w:iCs/>
        </w:rPr>
      </w:pPr>
      <w:r w:rsidRPr="000B223C">
        <w:rPr>
          <w:iCs/>
        </w:rPr>
        <w:t>tervisetehnoloogiad ja -teenused;</w:t>
      </w:r>
    </w:p>
    <w:p w14:paraId="180B0D6E" w14:textId="77777777" w:rsidR="000B1111" w:rsidRPr="000B223C" w:rsidRDefault="000B1111" w:rsidP="000B1111">
      <w:pPr>
        <w:pStyle w:val="Loendilik"/>
        <w:numPr>
          <w:ilvl w:val="0"/>
          <w:numId w:val="1"/>
        </w:numPr>
        <w:spacing w:after="0"/>
        <w:jc w:val="both"/>
        <w:rPr>
          <w:iCs/>
        </w:rPr>
      </w:pPr>
      <w:r w:rsidRPr="000B223C">
        <w:rPr>
          <w:iCs/>
        </w:rPr>
        <w:t xml:space="preserve">kohalike ressursside </w:t>
      </w:r>
      <w:proofErr w:type="spellStart"/>
      <w:r w:rsidRPr="000B223C">
        <w:rPr>
          <w:iCs/>
        </w:rPr>
        <w:t>väärindamine</w:t>
      </w:r>
      <w:proofErr w:type="spellEnd"/>
      <w:r w:rsidRPr="000B223C">
        <w:rPr>
          <w:iCs/>
        </w:rPr>
        <w:t>;</w:t>
      </w:r>
    </w:p>
    <w:p w14:paraId="7B0EEFB4" w14:textId="77777777" w:rsidR="000B1111" w:rsidRPr="000B223C" w:rsidRDefault="000B1111" w:rsidP="000B1111">
      <w:pPr>
        <w:pStyle w:val="Loendilik"/>
        <w:numPr>
          <w:ilvl w:val="0"/>
          <w:numId w:val="1"/>
        </w:numPr>
        <w:spacing w:after="0"/>
        <w:jc w:val="both"/>
        <w:rPr>
          <w:b/>
          <w:bCs/>
        </w:rPr>
      </w:pPr>
      <w:r w:rsidRPr="000B223C">
        <w:rPr>
          <w:iCs/>
        </w:rPr>
        <w:t>nutikad ja kestlikud energialahendused.</w:t>
      </w:r>
    </w:p>
    <w:p w14:paraId="070EB5D2" w14:textId="77777777" w:rsidR="000B1111" w:rsidRDefault="000B1111" w:rsidP="000B1111">
      <w:pPr>
        <w:spacing w:after="0"/>
        <w:jc w:val="both"/>
        <w:rPr>
          <w:color w:val="FF0000"/>
        </w:rPr>
      </w:pPr>
    </w:p>
    <w:p w14:paraId="3C7E3282" w14:textId="5DF5B353" w:rsidR="0019351C" w:rsidRPr="00545247" w:rsidRDefault="0019351C" w:rsidP="0019351C">
      <w:pPr>
        <w:spacing w:after="0"/>
        <w:jc w:val="both"/>
      </w:pPr>
      <w:r w:rsidRPr="00545247">
        <w:rPr>
          <w:iCs/>
        </w:rPr>
        <w:t xml:space="preserve">TAT eesmärk on </w:t>
      </w:r>
      <w:r w:rsidRPr="00545247">
        <w:rPr>
          <w:b/>
          <w:bCs/>
          <w:iCs/>
        </w:rPr>
        <w:t xml:space="preserve">ühiskonna ja majanduse vajadustele vastava teadus- ja arendustegevuse </w:t>
      </w:r>
      <w:r>
        <w:rPr>
          <w:b/>
          <w:bCs/>
          <w:iCs/>
        </w:rPr>
        <w:t xml:space="preserve">pakkumise </w:t>
      </w:r>
      <w:r w:rsidRPr="00545247">
        <w:rPr>
          <w:b/>
          <w:bCs/>
          <w:iCs/>
        </w:rPr>
        <w:t>võimekuse suurendamine</w:t>
      </w:r>
      <w:r>
        <w:rPr>
          <w:b/>
          <w:bCs/>
          <w:iCs/>
        </w:rPr>
        <w:t xml:space="preserve"> kõrgkoolides ja positiivselt </w:t>
      </w:r>
      <w:proofErr w:type="spellStart"/>
      <w:r>
        <w:rPr>
          <w:b/>
          <w:bCs/>
          <w:iCs/>
        </w:rPr>
        <w:t>evalveeritud</w:t>
      </w:r>
      <w:proofErr w:type="spellEnd"/>
      <w:r>
        <w:rPr>
          <w:b/>
          <w:bCs/>
          <w:iCs/>
        </w:rPr>
        <w:t xml:space="preserve"> teadus- ja arendusasutustes</w:t>
      </w:r>
      <w:r w:rsidRPr="00545247">
        <w:rPr>
          <w:iCs/>
        </w:rPr>
        <w:t xml:space="preserve">, </w:t>
      </w:r>
      <w:proofErr w:type="spellStart"/>
      <w:r w:rsidRPr="00545247">
        <w:rPr>
          <w:iCs/>
        </w:rPr>
        <w:t>et</w:t>
      </w:r>
      <w:r>
        <w:rPr>
          <w:iCs/>
        </w:rPr>
        <w:t>avalikus</w:t>
      </w:r>
      <w:proofErr w:type="spellEnd"/>
      <w:r>
        <w:rPr>
          <w:iCs/>
        </w:rPr>
        <w:t xml:space="preserve"> sektoris tehtav  teadustöö ja tehnoloogiaarendus oleksid senisest paremini seotud </w:t>
      </w:r>
      <w:r w:rsidRPr="00545247">
        <w:rPr>
          <w:iCs/>
        </w:rPr>
        <w:t xml:space="preserve">kestliku ühiskonna ja majanduse </w:t>
      </w:r>
      <w:r>
        <w:rPr>
          <w:iCs/>
        </w:rPr>
        <w:t>arenguga Eestis</w:t>
      </w:r>
      <w:r w:rsidRPr="00545247">
        <w:rPr>
          <w:iCs/>
        </w:rPr>
        <w:t xml:space="preserve">. </w:t>
      </w:r>
      <w:r w:rsidRPr="00545247">
        <w:t>Tegevused keskenduvad teadus</w:t>
      </w:r>
      <w:r>
        <w:t xml:space="preserve">võimekuse </w:t>
      </w:r>
      <w:r w:rsidRPr="00545247">
        <w:t xml:space="preserve">kasvatamisele TAIE nutika spetsialiseerumise fookusvaldkondades, kus </w:t>
      </w:r>
      <w:r>
        <w:t xml:space="preserve">teadussüsteemi ja ettevõtluse koostööl </w:t>
      </w:r>
      <w:r w:rsidRPr="00545247">
        <w:t xml:space="preserve">on selge majanduslik või sotsiaalne potentsiaal. </w:t>
      </w:r>
      <w:r w:rsidRPr="00545247">
        <w:rPr>
          <w:b/>
          <w:bCs/>
        </w:rPr>
        <w:t>Selleks käivitatakse kokku seitse temaatilist programmi:</w:t>
      </w:r>
    </w:p>
    <w:p w14:paraId="774C8953" w14:textId="77777777" w:rsidR="000B1111" w:rsidRDefault="000B1111" w:rsidP="000B1111">
      <w:pPr>
        <w:pStyle w:val="Loendilik"/>
        <w:numPr>
          <w:ilvl w:val="0"/>
          <w:numId w:val="4"/>
        </w:numPr>
        <w:jc w:val="both"/>
      </w:pPr>
      <w:r>
        <w:t>programm valdkonnas „Digilahendused igas eluvaldkonnas“</w:t>
      </w:r>
    </w:p>
    <w:p w14:paraId="4E3D26D1" w14:textId="77777777" w:rsidR="000B1111" w:rsidRDefault="000B1111" w:rsidP="000B1111">
      <w:pPr>
        <w:pStyle w:val="Loendilik"/>
        <w:numPr>
          <w:ilvl w:val="0"/>
          <w:numId w:val="4"/>
        </w:numPr>
        <w:jc w:val="both"/>
      </w:pPr>
      <w:r>
        <w:t>programm valdkonnas „Tervisetehnoloogiad ja -teenused“</w:t>
      </w:r>
    </w:p>
    <w:p w14:paraId="1B070EE6" w14:textId="77777777" w:rsidR="000B1111" w:rsidRDefault="000B1111" w:rsidP="000B1111">
      <w:pPr>
        <w:pStyle w:val="Loendilik"/>
        <w:numPr>
          <w:ilvl w:val="0"/>
          <w:numId w:val="4"/>
        </w:numPr>
        <w:jc w:val="both"/>
      </w:pPr>
      <w:r>
        <w:t xml:space="preserve">programm valdkonnas „Kohalike ressursside </w:t>
      </w:r>
      <w:proofErr w:type="spellStart"/>
      <w:r>
        <w:t>väärindamine</w:t>
      </w:r>
      <w:proofErr w:type="spellEnd"/>
      <w:r>
        <w:t>: toit“</w:t>
      </w:r>
    </w:p>
    <w:p w14:paraId="78D34167" w14:textId="77777777" w:rsidR="000B1111" w:rsidRDefault="000B1111" w:rsidP="000B1111">
      <w:pPr>
        <w:pStyle w:val="Loendilik"/>
        <w:numPr>
          <w:ilvl w:val="0"/>
          <w:numId w:val="4"/>
        </w:numPr>
        <w:jc w:val="both"/>
      </w:pPr>
      <w:r>
        <w:t xml:space="preserve">programm valdkonnas „Kohalike ressursside </w:t>
      </w:r>
      <w:proofErr w:type="spellStart"/>
      <w:r>
        <w:t>väärindamine</w:t>
      </w:r>
      <w:proofErr w:type="spellEnd"/>
      <w:r>
        <w:t>: puit“</w:t>
      </w:r>
    </w:p>
    <w:p w14:paraId="5B8100EE" w14:textId="77777777" w:rsidR="000B1111" w:rsidRDefault="000B1111" w:rsidP="000B1111">
      <w:pPr>
        <w:pStyle w:val="Loendilik"/>
        <w:numPr>
          <w:ilvl w:val="0"/>
          <w:numId w:val="4"/>
        </w:numPr>
        <w:jc w:val="both"/>
      </w:pPr>
      <w:r>
        <w:t xml:space="preserve">programm valdkonnas „Kohalike ressursside </w:t>
      </w:r>
      <w:proofErr w:type="spellStart"/>
      <w:r>
        <w:t>väärindamine</w:t>
      </w:r>
      <w:proofErr w:type="spellEnd"/>
      <w:r>
        <w:t>: maapõueressursid“</w:t>
      </w:r>
    </w:p>
    <w:p w14:paraId="7F0D95AE" w14:textId="77777777" w:rsidR="000B1111" w:rsidRDefault="000B1111" w:rsidP="000B1111">
      <w:pPr>
        <w:pStyle w:val="Loendilik"/>
        <w:numPr>
          <w:ilvl w:val="0"/>
          <w:numId w:val="4"/>
        </w:numPr>
        <w:jc w:val="both"/>
      </w:pPr>
      <w:r>
        <w:t xml:space="preserve">programm valdkonnas „Kohalike ressursside </w:t>
      </w:r>
      <w:proofErr w:type="spellStart"/>
      <w:r>
        <w:t>väärindamine</w:t>
      </w:r>
      <w:proofErr w:type="spellEnd"/>
      <w:r>
        <w:t>: teisene toore ja jäätmed“</w:t>
      </w:r>
    </w:p>
    <w:p w14:paraId="473431A4" w14:textId="77777777" w:rsidR="000B1111" w:rsidRDefault="000B1111" w:rsidP="000B1111">
      <w:pPr>
        <w:pStyle w:val="Loendilik"/>
        <w:numPr>
          <w:ilvl w:val="0"/>
          <w:numId w:val="4"/>
        </w:numPr>
        <w:jc w:val="both"/>
      </w:pPr>
      <w:r>
        <w:t>programm valdkonnas „Nutikad ja kestlikud energialahendused“</w:t>
      </w:r>
    </w:p>
    <w:p w14:paraId="5B519A2B" w14:textId="77777777" w:rsidR="00DD6380" w:rsidRDefault="00DD6380" w:rsidP="000B1111">
      <w:pPr>
        <w:jc w:val="both"/>
        <w:rPr>
          <w:b/>
          <w:bCs/>
          <w:color w:val="0070C0"/>
          <w:sz w:val="28"/>
          <w:szCs w:val="28"/>
        </w:rPr>
      </w:pPr>
    </w:p>
    <w:p w14:paraId="057267E4" w14:textId="2FA89F5B" w:rsidR="000B1111" w:rsidRDefault="000B1111" w:rsidP="000B1111">
      <w:pPr>
        <w:jc w:val="both"/>
        <w:rPr>
          <w:b/>
          <w:bCs/>
          <w:color w:val="0070C0"/>
          <w:sz w:val="28"/>
          <w:szCs w:val="28"/>
        </w:rPr>
      </w:pPr>
      <w:r>
        <w:rPr>
          <w:b/>
          <w:bCs/>
          <w:color w:val="0070C0"/>
          <w:sz w:val="28"/>
          <w:szCs w:val="28"/>
        </w:rPr>
        <w:t>Üldised põhimõtted ja ootused</w:t>
      </w:r>
      <w:r w:rsidR="00C43F19">
        <w:rPr>
          <w:b/>
          <w:bCs/>
          <w:color w:val="0070C0"/>
          <w:sz w:val="28"/>
          <w:szCs w:val="28"/>
        </w:rPr>
        <w:t>, sh Euroopa Komisjoni raamtingimused</w:t>
      </w:r>
      <w:r w:rsidR="00DD6380">
        <w:rPr>
          <w:b/>
          <w:bCs/>
          <w:color w:val="0070C0"/>
          <w:sz w:val="28"/>
          <w:szCs w:val="28"/>
        </w:rPr>
        <w:t>, mida arvestada toetuse andmise tingimuste väljatöötamisel</w:t>
      </w:r>
    </w:p>
    <w:p w14:paraId="59F611DD" w14:textId="2C22C72B" w:rsidR="000B1111" w:rsidRPr="00745BD7" w:rsidRDefault="008877A3" w:rsidP="00C43F19">
      <w:pPr>
        <w:pStyle w:val="Loendilik"/>
        <w:numPr>
          <w:ilvl w:val="0"/>
          <w:numId w:val="5"/>
        </w:numPr>
        <w:jc w:val="both"/>
        <w:rPr>
          <w:rFonts w:cstheme="minorHAnsi"/>
        </w:rPr>
      </w:pPr>
      <w:r w:rsidRPr="00745BD7">
        <w:rPr>
          <w:rFonts w:cstheme="minorHAnsi"/>
        </w:rPr>
        <w:t>Meetme f</w:t>
      </w:r>
      <w:r w:rsidR="00F86C9D" w:rsidRPr="00745BD7">
        <w:rPr>
          <w:rFonts w:cstheme="minorHAnsi"/>
        </w:rPr>
        <w:t xml:space="preserve">ookuses on </w:t>
      </w:r>
      <w:r w:rsidR="0019351C" w:rsidRPr="0019351C">
        <w:rPr>
          <w:rFonts w:cstheme="minorHAnsi"/>
        </w:rPr>
        <w:t xml:space="preserve">positiivselt </w:t>
      </w:r>
      <w:proofErr w:type="spellStart"/>
      <w:r w:rsidR="0019351C" w:rsidRPr="0019351C">
        <w:rPr>
          <w:rFonts w:cstheme="minorHAnsi"/>
        </w:rPr>
        <w:t>evalveeritud</w:t>
      </w:r>
      <w:proofErr w:type="spellEnd"/>
      <w:r w:rsidR="0019351C" w:rsidRPr="0019351C">
        <w:rPr>
          <w:rFonts w:cstheme="minorHAnsi"/>
        </w:rPr>
        <w:t xml:space="preserve"> teadus</w:t>
      </w:r>
      <w:r w:rsidR="0019351C">
        <w:rPr>
          <w:rFonts w:cstheme="minorHAnsi"/>
        </w:rPr>
        <w:t>- ja arendus</w:t>
      </w:r>
      <w:r w:rsidR="0019351C" w:rsidRPr="0019351C">
        <w:rPr>
          <w:rFonts w:cstheme="minorHAnsi"/>
        </w:rPr>
        <w:t>asutustes toimuv</w:t>
      </w:r>
      <w:r w:rsidR="0019351C">
        <w:rPr>
          <w:rFonts w:cstheme="minorHAnsi"/>
        </w:rPr>
        <w:t xml:space="preserve"> </w:t>
      </w:r>
      <w:r w:rsidR="00EF32D1" w:rsidRPr="00745BD7">
        <w:rPr>
          <w:rFonts w:cstheme="minorHAnsi"/>
        </w:rPr>
        <w:t xml:space="preserve">teadus- ja arendustegevus, </w:t>
      </w:r>
      <w:r w:rsidR="00F86C9D" w:rsidRPr="00745BD7">
        <w:rPr>
          <w:rFonts w:cstheme="minorHAnsi"/>
          <w:b/>
          <w:bCs/>
        </w:rPr>
        <w:t>t</w:t>
      </w:r>
      <w:r w:rsidR="000B1111" w:rsidRPr="00745BD7">
        <w:rPr>
          <w:rFonts w:cstheme="minorHAnsi"/>
          <w:b/>
          <w:bCs/>
        </w:rPr>
        <w:t>eadmus- ja tehnoloogiasiire,</w:t>
      </w:r>
      <w:r w:rsidR="00F86C9D" w:rsidRPr="00745BD7">
        <w:rPr>
          <w:rFonts w:cstheme="minorHAnsi"/>
          <w:b/>
          <w:bCs/>
        </w:rPr>
        <w:t xml:space="preserve"> </w:t>
      </w:r>
      <w:r w:rsidR="00EF32D1" w:rsidRPr="00745BD7">
        <w:rPr>
          <w:rFonts w:cstheme="minorHAnsi"/>
          <w:b/>
          <w:bCs/>
        </w:rPr>
        <w:t xml:space="preserve">teaduspõhise </w:t>
      </w:r>
      <w:r w:rsidR="00F86C9D" w:rsidRPr="00745BD7">
        <w:rPr>
          <w:rFonts w:cstheme="minorHAnsi"/>
          <w:b/>
          <w:bCs/>
        </w:rPr>
        <w:t>innovatsiooni toetamine,</w:t>
      </w:r>
      <w:r w:rsidR="000B1111" w:rsidRPr="00745BD7">
        <w:rPr>
          <w:rFonts w:cstheme="minorHAnsi"/>
          <w:b/>
          <w:bCs/>
        </w:rPr>
        <w:t xml:space="preserve"> </w:t>
      </w:r>
      <w:r w:rsidR="005C30DB" w:rsidRPr="00745BD7">
        <w:rPr>
          <w:rFonts w:cstheme="minorHAnsi"/>
          <w:b/>
          <w:bCs/>
        </w:rPr>
        <w:t xml:space="preserve">teadusasutuste ja </w:t>
      </w:r>
      <w:r w:rsidR="000B1111" w:rsidRPr="00745BD7">
        <w:rPr>
          <w:rFonts w:cstheme="minorHAnsi"/>
          <w:b/>
          <w:bCs/>
        </w:rPr>
        <w:t>ettevõt</w:t>
      </w:r>
      <w:r w:rsidR="005C30DB" w:rsidRPr="00745BD7">
        <w:rPr>
          <w:rFonts w:cstheme="minorHAnsi"/>
          <w:b/>
          <w:bCs/>
        </w:rPr>
        <w:t xml:space="preserve">ete </w:t>
      </w:r>
      <w:r w:rsidR="000B1111" w:rsidRPr="00745BD7">
        <w:rPr>
          <w:rFonts w:cstheme="minorHAnsi"/>
          <w:b/>
          <w:bCs/>
        </w:rPr>
        <w:t>koostöö, ettevõtete ja ühiskonna vajadustest lähtuv</w:t>
      </w:r>
      <w:r w:rsidR="00F86C9D" w:rsidRPr="00745BD7">
        <w:rPr>
          <w:rFonts w:cstheme="minorHAnsi"/>
          <w:b/>
          <w:bCs/>
        </w:rPr>
        <w:t>a</w:t>
      </w:r>
      <w:r w:rsidR="000B1111" w:rsidRPr="00745BD7">
        <w:rPr>
          <w:rFonts w:cstheme="minorHAnsi"/>
          <w:b/>
          <w:bCs/>
        </w:rPr>
        <w:t xml:space="preserve"> TA</w:t>
      </w:r>
      <w:r w:rsidR="00F86C9D" w:rsidRPr="00745BD7">
        <w:rPr>
          <w:rFonts w:cstheme="minorHAnsi"/>
          <w:b/>
          <w:bCs/>
        </w:rPr>
        <w:t>-võimekuse kasvatamine</w:t>
      </w:r>
      <w:r w:rsidR="00286CBB" w:rsidRPr="00745BD7">
        <w:rPr>
          <w:rFonts w:cstheme="minorHAnsi"/>
          <w:b/>
          <w:bCs/>
        </w:rPr>
        <w:t xml:space="preserve"> ja</w:t>
      </w:r>
      <w:r w:rsidR="000B1111" w:rsidRPr="00745BD7">
        <w:rPr>
          <w:rFonts w:cstheme="minorHAnsi"/>
          <w:b/>
          <w:bCs/>
        </w:rPr>
        <w:t xml:space="preserve"> ettevõtlik</w:t>
      </w:r>
      <w:r w:rsidR="00F86C9D" w:rsidRPr="00745BD7">
        <w:rPr>
          <w:rFonts w:cstheme="minorHAnsi"/>
          <w:b/>
          <w:bCs/>
        </w:rPr>
        <w:t>u</w:t>
      </w:r>
      <w:r w:rsidR="000B1111" w:rsidRPr="00745BD7">
        <w:rPr>
          <w:rFonts w:cstheme="minorHAnsi"/>
          <w:b/>
          <w:bCs/>
        </w:rPr>
        <w:t xml:space="preserve"> avastusprotsess</w:t>
      </w:r>
      <w:r w:rsidR="00F86C9D" w:rsidRPr="00745BD7">
        <w:rPr>
          <w:rFonts w:cstheme="minorHAnsi"/>
          <w:b/>
          <w:bCs/>
        </w:rPr>
        <w:t>i põhimõtete rakendamine</w:t>
      </w:r>
      <w:r w:rsidR="00F86C9D" w:rsidRPr="00745BD7">
        <w:rPr>
          <w:rFonts w:cstheme="minorHAnsi"/>
        </w:rPr>
        <w:t xml:space="preserve"> </w:t>
      </w:r>
      <w:r w:rsidR="00F86C9D" w:rsidRPr="00745BD7">
        <w:rPr>
          <w:rFonts w:cstheme="minorHAnsi"/>
          <w:b/>
          <w:bCs/>
        </w:rPr>
        <w:t>TA nõudlusele vastavuse tagamiseks</w:t>
      </w:r>
      <w:r w:rsidR="00F86C9D" w:rsidRPr="00745BD7">
        <w:rPr>
          <w:rFonts w:cstheme="minorHAnsi"/>
        </w:rPr>
        <w:t>.</w:t>
      </w:r>
      <w:r w:rsidR="003F43F3" w:rsidRPr="00745BD7">
        <w:rPr>
          <w:rFonts w:cstheme="minorHAnsi"/>
        </w:rPr>
        <w:t xml:space="preserve"> </w:t>
      </w:r>
    </w:p>
    <w:p w14:paraId="7EC83005" w14:textId="79E5DA7D" w:rsidR="000B1111" w:rsidRPr="00C43F19" w:rsidRDefault="008877A3" w:rsidP="00C43F19">
      <w:pPr>
        <w:pStyle w:val="Loendilik"/>
        <w:numPr>
          <w:ilvl w:val="0"/>
          <w:numId w:val="5"/>
        </w:numPr>
        <w:jc w:val="both"/>
        <w:rPr>
          <w:rFonts w:cstheme="minorHAnsi"/>
        </w:rPr>
      </w:pPr>
      <w:r w:rsidRPr="00745BD7">
        <w:rPr>
          <w:rFonts w:cstheme="minorHAnsi"/>
        </w:rPr>
        <w:t>Vastavalt Euroopa Regionaalarengu Fondi (millest saab toetust ka temaatiliste TA</w:t>
      </w:r>
      <w:r w:rsidR="005C30DB" w:rsidRPr="00745BD7">
        <w:rPr>
          <w:rFonts w:cstheme="minorHAnsi"/>
        </w:rPr>
        <w:t>-</w:t>
      </w:r>
      <w:r w:rsidRPr="00745BD7">
        <w:rPr>
          <w:rFonts w:cstheme="minorHAnsi"/>
        </w:rPr>
        <w:t>programmide</w:t>
      </w:r>
      <w:r>
        <w:rPr>
          <w:rFonts w:cstheme="minorHAnsi"/>
        </w:rPr>
        <w:t xml:space="preserve"> meede) rakendumise tingimustele </w:t>
      </w:r>
      <w:r w:rsidR="000B1111" w:rsidRPr="00286CBB">
        <w:rPr>
          <w:rFonts w:cstheme="minorHAnsi"/>
          <w:b/>
          <w:bCs/>
        </w:rPr>
        <w:t>kõrgharidus</w:t>
      </w:r>
      <w:r w:rsidR="000F763C">
        <w:rPr>
          <w:rFonts w:cstheme="minorHAnsi"/>
          <w:b/>
          <w:bCs/>
        </w:rPr>
        <w:t>ega seotud tegevusi</w:t>
      </w:r>
      <w:r w:rsidR="000B1111" w:rsidRPr="00286CBB">
        <w:rPr>
          <w:rFonts w:cstheme="minorHAnsi"/>
          <w:b/>
          <w:bCs/>
        </w:rPr>
        <w:t>, õpe</w:t>
      </w:r>
      <w:r w:rsidR="00C80CE0">
        <w:rPr>
          <w:rFonts w:cstheme="minorHAnsi"/>
          <w:b/>
          <w:bCs/>
        </w:rPr>
        <w:t>t</w:t>
      </w:r>
      <w:r w:rsidR="000B1111" w:rsidRPr="00286CBB">
        <w:rPr>
          <w:rFonts w:cstheme="minorHAnsi"/>
          <w:b/>
          <w:bCs/>
        </w:rPr>
        <w:t xml:space="preserve"> ja õppekavade arendami</w:t>
      </w:r>
      <w:r w:rsidR="00C80CE0">
        <w:rPr>
          <w:rFonts w:cstheme="minorHAnsi"/>
          <w:b/>
          <w:bCs/>
        </w:rPr>
        <w:t>st</w:t>
      </w:r>
      <w:r w:rsidR="000B1111" w:rsidRPr="00286CBB">
        <w:rPr>
          <w:rFonts w:cstheme="minorHAnsi"/>
          <w:b/>
          <w:bCs/>
        </w:rPr>
        <w:t>, õppejõudude toetami</w:t>
      </w:r>
      <w:r w:rsidR="00C80CE0">
        <w:rPr>
          <w:rFonts w:cstheme="minorHAnsi"/>
          <w:b/>
          <w:bCs/>
        </w:rPr>
        <w:t>st</w:t>
      </w:r>
      <w:r w:rsidR="000B1111" w:rsidRPr="00286CBB">
        <w:rPr>
          <w:rFonts w:cstheme="minorHAnsi"/>
          <w:b/>
          <w:bCs/>
        </w:rPr>
        <w:t>, kõrghariduse seire</w:t>
      </w:r>
      <w:r w:rsidR="00C80CE0">
        <w:rPr>
          <w:rFonts w:cstheme="minorHAnsi"/>
          <w:b/>
          <w:bCs/>
        </w:rPr>
        <w:t>t</w:t>
      </w:r>
      <w:r w:rsidR="000B1111" w:rsidRPr="00286CBB">
        <w:rPr>
          <w:rFonts w:cstheme="minorHAnsi"/>
          <w:b/>
          <w:bCs/>
        </w:rPr>
        <w:t xml:space="preserve"> jms</w:t>
      </w:r>
      <w:r w:rsidR="00C80CE0">
        <w:rPr>
          <w:rFonts w:cstheme="minorHAnsi"/>
          <w:b/>
          <w:bCs/>
        </w:rPr>
        <w:t xml:space="preserve"> </w:t>
      </w:r>
      <w:r w:rsidR="00BC61C2">
        <w:rPr>
          <w:rFonts w:cstheme="minorHAnsi"/>
          <w:b/>
          <w:bCs/>
        </w:rPr>
        <w:t>ei rahastata</w:t>
      </w:r>
      <w:r w:rsidR="000B1111" w:rsidRPr="00C43F19">
        <w:rPr>
          <w:rFonts w:cstheme="minorHAnsi"/>
        </w:rPr>
        <w:t>. Erandiks on</w:t>
      </w:r>
      <w:r w:rsidR="00286CBB">
        <w:rPr>
          <w:rFonts w:cstheme="minorHAnsi"/>
        </w:rPr>
        <w:t xml:space="preserve"> siin</w:t>
      </w:r>
      <w:r w:rsidR="000B1111" w:rsidRPr="00C43F19">
        <w:rPr>
          <w:rFonts w:cstheme="minorHAnsi"/>
        </w:rPr>
        <w:t xml:space="preserve"> doktorandid-noor</w:t>
      </w:r>
      <w:r w:rsidR="0019351C">
        <w:rPr>
          <w:rFonts w:cstheme="minorHAnsi"/>
        </w:rPr>
        <w:t xml:space="preserve">emteadurid </w:t>
      </w:r>
      <w:r w:rsidR="00286CBB">
        <w:rPr>
          <w:rFonts w:cstheme="minorHAnsi"/>
        </w:rPr>
        <w:t>ja nende kaasamine teadus- ja arendustöösse</w:t>
      </w:r>
      <w:r w:rsidR="000B1111" w:rsidRPr="00C43F19">
        <w:rPr>
          <w:rFonts w:cstheme="minorHAnsi"/>
        </w:rPr>
        <w:t>.</w:t>
      </w:r>
    </w:p>
    <w:p w14:paraId="01402FC3" w14:textId="4F589D2B" w:rsidR="00A30E4B" w:rsidRPr="00A30E4B" w:rsidRDefault="008877A3" w:rsidP="00A30E4B">
      <w:pPr>
        <w:pStyle w:val="Loendilik"/>
        <w:numPr>
          <w:ilvl w:val="0"/>
          <w:numId w:val="5"/>
        </w:numPr>
        <w:jc w:val="both"/>
        <w:rPr>
          <w:rFonts w:cstheme="minorHAnsi"/>
        </w:rPr>
      </w:pPr>
      <w:r>
        <w:rPr>
          <w:rFonts w:cstheme="minorHAnsi"/>
        </w:rPr>
        <w:lastRenderedPageBreak/>
        <w:t>Tagatakse k</w:t>
      </w:r>
      <w:r w:rsidR="00A30E4B" w:rsidRPr="00C43F19">
        <w:rPr>
          <w:rFonts w:cstheme="minorHAnsi"/>
        </w:rPr>
        <w:t xml:space="preserve">ooskõla TAIE nutika spetsialiseerumise fookusvaldkondade teekaartidega – </w:t>
      </w:r>
      <w:r w:rsidR="00286CBB" w:rsidRPr="00286CBB">
        <w:rPr>
          <w:rFonts w:cstheme="minorHAnsi"/>
          <w:b/>
          <w:bCs/>
        </w:rPr>
        <w:t xml:space="preserve">teekaardil kokku lepitud </w:t>
      </w:r>
      <w:r w:rsidR="00A30E4B" w:rsidRPr="00286CBB">
        <w:rPr>
          <w:rFonts w:cstheme="minorHAnsi"/>
          <w:b/>
          <w:bCs/>
        </w:rPr>
        <w:t>prioriteetsed TA</w:t>
      </w:r>
      <w:r w:rsidR="00286CBB" w:rsidRPr="00286CBB">
        <w:rPr>
          <w:rFonts w:cstheme="minorHAnsi"/>
          <w:b/>
          <w:bCs/>
        </w:rPr>
        <w:t>-</w:t>
      </w:r>
      <w:r w:rsidR="00A30E4B" w:rsidRPr="00286CBB">
        <w:rPr>
          <w:rFonts w:cstheme="minorHAnsi"/>
          <w:b/>
          <w:bCs/>
        </w:rPr>
        <w:t xml:space="preserve">suunad kirjutatakse temaatiliste programmide meetmesse otseselt </w:t>
      </w:r>
      <w:r w:rsidR="000F763C">
        <w:rPr>
          <w:rFonts w:cstheme="minorHAnsi"/>
          <w:b/>
          <w:bCs/>
        </w:rPr>
        <w:t xml:space="preserve">toetatavate </w:t>
      </w:r>
      <w:r w:rsidR="00EF32D1">
        <w:rPr>
          <w:rFonts w:cstheme="minorHAnsi"/>
          <w:b/>
          <w:bCs/>
        </w:rPr>
        <w:t>uurimis</w:t>
      </w:r>
      <w:r w:rsidR="000F763C">
        <w:rPr>
          <w:rFonts w:cstheme="minorHAnsi"/>
          <w:b/>
          <w:bCs/>
        </w:rPr>
        <w:t xml:space="preserve">suundadena </w:t>
      </w:r>
      <w:r w:rsidR="00A30E4B" w:rsidRPr="00286CBB">
        <w:rPr>
          <w:rFonts w:cstheme="minorHAnsi"/>
          <w:b/>
          <w:bCs/>
        </w:rPr>
        <w:t>sisse</w:t>
      </w:r>
      <w:r w:rsidR="00A30E4B" w:rsidRPr="00C43F19">
        <w:rPr>
          <w:rFonts w:cstheme="minorHAnsi"/>
        </w:rPr>
        <w:t xml:space="preserve">. </w:t>
      </w:r>
    </w:p>
    <w:p w14:paraId="18CB0DFC" w14:textId="5D7264C8" w:rsidR="008D6614" w:rsidRPr="008D6614" w:rsidRDefault="000B1111" w:rsidP="00C43F19">
      <w:pPr>
        <w:pStyle w:val="Loendilik"/>
        <w:numPr>
          <w:ilvl w:val="0"/>
          <w:numId w:val="5"/>
        </w:numPr>
        <w:jc w:val="both"/>
        <w:rPr>
          <w:rFonts w:cstheme="minorHAnsi"/>
        </w:rPr>
      </w:pPr>
      <w:r w:rsidRPr="008D6614">
        <w:rPr>
          <w:rFonts w:cstheme="minorHAnsi"/>
        </w:rPr>
        <w:t xml:space="preserve">Toetatavad tegevused </w:t>
      </w:r>
      <w:r w:rsidR="00F86C9D">
        <w:rPr>
          <w:rFonts w:cstheme="minorHAnsi"/>
        </w:rPr>
        <w:t xml:space="preserve">sõltumata temaatilisest programmist </w:t>
      </w:r>
      <w:r w:rsidRPr="00286CBB">
        <w:rPr>
          <w:rFonts w:cstheme="minorHAnsi"/>
          <w:b/>
          <w:bCs/>
        </w:rPr>
        <w:t>peavad panustama kahte mõõdikusse</w:t>
      </w:r>
      <w:r w:rsidRPr="008D6614">
        <w:rPr>
          <w:rFonts w:cstheme="minorHAnsi"/>
        </w:rPr>
        <w:t>, mis on fikseeritud partnerlusleppe rakenduskavas</w:t>
      </w:r>
      <w:r w:rsidR="008D6614" w:rsidRPr="008D6614">
        <w:rPr>
          <w:rFonts w:cstheme="minorHAnsi"/>
        </w:rPr>
        <w:t xml:space="preserve"> ja seda peab arvestama ka meetme toetusskeem:</w:t>
      </w:r>
    </w:p>
    <w:p w14:paraId="30FD3288" w14:textId="274FBB12" w:rsidR="008D6614" w:rsidRPr="008D6614" w:rsidRDefault="008D6614" w:rsidP="008D6614">
      <w:pPr>
        <w:pStyle w:val="Loendilik"/>
        <w:numPr>
          <w:ilvl w:val="0"/>
          <w:numId w:val="10"/>
        </w:numPr>
        <w:jc w:val="both"/>
        <w:rPr>
          <w:rFonts w:cstheme="minorHAnsi"/>
        </w:rPr>
      </w:pPr>
      <w:r>
        <w:rPr>
          <w:rFonts w:cstheme="minorHAnsi"/>
        </w:rPr>
        <w:t>k</w:t>
      </w:r>
      <w:r w:rsidRPr="008D6614">
        <w:rPr>
          <w:rFonts w:cstheme="minorHAnsi"/>
        </w:rPr>
        <w:t>oostööprojektides osalevate teadusasutuste arv</w:t>
      </w:r>
      <w:r w:rsidRPr="008D6614">
        <w:rPr>
          <w:rStyle w:val="Allmrkuseviide"/>
          <w:rFonts w:cstheme="minorHAnsi"/>
        </w:rPr>
        <w:footnoteReference w:id="9"/>
      </w:r>
      <w:r>
        <w:rPr>
          <w:rFonts w:cstheme="minorHAnsi"/>
        </w:rPr>
        <w:t>;</w:t>
      </w:r>
    </w:p>
    <w:p w14:paraId="183BD23A" w14:textId="7A66759E" w:rsidR="000B1111" w:rsidRPr="008D6614" w:rsidRDefault="008D6614" w:rsidP="008D6614">
      <w:pPr>
        <w:pStyle w:val="Loendilik"/>
        <w:numPr>
          <w:ilvl w:val="0"/>
          <w:numId w:val="10"/>
        </w:numPr>
        <w:jc w:val="both"/>
        <w:rPr>
          <w:rFonts w:cstheme="minorHAnsi"/>
        </w:rPr>
      </w:pPr>
      <w:r>
        <w:rPr>
          <w:rFonts w:cstheme="minorHAnsi"/>
        </w:rPr>
        <w:t>t</w:t>
      </w:r>
      <w:r w:rsidRPr="008D6614">
        <w:rPr>
          <w:rFonts w:cstheme="minorHAnsi"/>
        </w:rPr>
        <w:t>oetatud projektide publikatsioonid</w:t>
      </w:r>
      <w:r w:rsidRPr="008D6614">
        <w:rPr>
          <w:rStyle w:val="Allmrkuseviide"/>
          <w:rFonts w:cstheme="minorHAnsi"/>
        </w:rPr>
        <w:footnoteReference w:id="10"/>
      </w:r>
      <w:r w:rsidR="000B1111" w:rsidRPr="008D6614">
        <w:rPr>
          <w:rFonts w:cstheme="minorHAnsi"/>
        </w:rPr>
        <w:t>.</w:t>
      </w:r>
    </w:p>
    <w:p w14:paraId="658BE1C7" w14:textId="3582E1C6" w:rsidR="008D6614" w:rsidRDefault="00774199" w:rsidP="008D6614">
      <w:pPr>
        <w:pStyle w:val="Loendilik"/>
        <w:ind w:left="360"/>
        <w:jc w:val="both"/>
        <w:rPr>
          <w:rFonts w:cstheme="minorHAnsi"/>
        </w:rPr>
      </w:pPr>
      <w:r>
        <w:rPr>
          <w:rFonts w:cstheme="minorHAnsi"/>
        </w:rPr>
        <w:t>Lisaks nendel</w:t>
      </w:r>
      <w:r w:rsidR="00B46D8D">
        <w:rPr>
          <w:rFonts w:cstheme="minorHAnsi"/>
        </w:rPr>
        <w:t>e</w:t>
      </w:r>
      <w:r>
        <w:rPr>
          <w:rFonts w:cstheme="minorHAnsi"/>
        </w:rPr>
        <w:t xml:space="preserve"> mõõdikutele on võimalik seada meetmesse lisamõõdikuid (nt kaitstud doktorikraadide arv jms). </w:t>
      </w:r>
      <w:r w:rsidRPr="003F43F3">
        <w:rPr>
          <w:rFonts w:cstheme="minorHAnsi"/>
        </w:rPr>
        <w:t xml:space="preserve">Toetatavad tegevused peavad nendesse mõõdikutesse panustama, aga </w:t>
      </w:r>
      <w:r w:rsidR="00B46D8D">
        <w:rPr>
          <w:rFonts w:cstheme="minorHAnsi"/>
        </w:rPr>
        <w:t>ei eeldata ega nõuta</w:t>
      </w:r>
      <w:r w:rsidRPr="003F43F3">
        <w:rPr>
          <w:rFonts w:cstheme="minorHAnsi"/>
        </w:rPr>
        <w:t xml:space="preserve">, et kõik toetatavad projektid </w:t>
      </w:r>
      <w:r w:rsidR="003F5B93">
        <w:rPr>
          <w:rFonts w:cstheme="minorHAnsi"/>
        </w:rPr>
        <w:t>peavad olema</w:t>
      </w:r>
      <w:r w:rsidRPr="003F43F3">
        <w:rPr>
          <w:rFonts w:cstheme="minorHAnsi"/>
        </w:rPr>
        <w:t xml:space="preserve"> koostööprojektid, kus peale </w:t>
      </w:r>
      <w:proofErr w:type="spellStart"/>
      <w:r w:rsidRPr="003F43F3">
        <w:rPr>
          <w:rFonts w:cstheme="minorHAnsi"/>
        </w:rPr>
        <w:t>TA-asutuse</w:t>
      </w:r>
      <w:proofErr w:type="spellEnd"/>
      <w:r w:rsidRPr="003F43F3">
        <w:rPr>
          <w:rFonts w:cstheme="minorHAnsi"/>
        </w:rPr>
        <w:t xml:space="preserve"> on </w:t>
      </w:r>
      <w:r w:rsidR="003F5B93">
        <w:rPr>
          <w:rFonts w:cstheme="minorHAnsi"/>
        </w:rPr>
        <w:t xml:space="preserve">meeskonnas </w:t>
      </w:r>
      <w:r w:rsidRPr="003F43F3">
        <w:rPr>
          <w:rFonts w:cstheme="minorHAnsi"/>
        </w:rPr>
        <w:t>veel vähemalt üks asutus/partner</w:t>
      </w:r>
      <w:r w:rsidR="000D230A">
        <w:rPr>
          <w:rFonts w:cstheme="minorHAnsi"/>
        </w:rPr>
        <w:t>, kuid</w:t>
      </w:r>
      <w:r w:rsidR="003F5B93">
        <w:rPr>
          <w:rFonts w:cstheme="minorHAnsi"/>
        </w:rPr>
        <w:t xml:space="preserve"> </w:t>
      </w:r>
      <w:r w:rsidR="00C32638" w:rsidRPr="00C32638">
        <w:rPr>
          <w:rFonts w:cstheme="minorHAnsi"/>
          <w:b/>
          <w:bCs/>
        </w:rPr>
        <w:t>eri asutuste</w:t>
      </w:r>
      <w:r w:rsidR="00C32638">
        <w:rPr>
          <w:rFonts w:cstheme="minorHAnsi"/>
        </w:rPr>
        <w:t xml:space="preserve"> </w:t>
      </w:r>
      <w:r w:rsidR="00D0726C" w:rsidRPr="00886BE6">
        <w:rPr>
          <w:rFonts w:cstheme="minorHAnsi"/>
          <w:b/>
          <w:bCs/>
        </w:rPr>
        <w:t>koost</w:t>
      </w:r>
      <w:r w:rsidR="00C32638">
        <w:rPr>
          <w:rFonts w:cstheme="minorHAnsi"/>
          <w:b/>
          <w:bCs/>
        </w:rPr>
        <w:t>ööd</w:t>
      </w:r>
      <w:r w:rsidR="003F5B93" w:rsidRPr="00886BE6">
        <w:rPr>
          <w:rFonts w:cstheme="minorHAnsi"/>
          <w:b/>
          <w:bCs/>
        </w:rPr>
        <w:t xml:space="preserve"> </w:t>
      </w:r>
      <w:r w:rsidR="000D230A" w:rsidRPr="00886BE6">
        <w:rPr>
          <w:rFonts w:cstheme="minorHAnsi"/>
          <w:b/>
          <w:bCs/>
        </w:rPr>
        <w:t xml:space="preserve">arvestatakse </w:t>
      </w:r>
      <w:r w:rsidR="003F5B93" w:rsidRPr="00886BE6">
        <w:rPr>
          <w:rFonts w:cstheme="minorHAnsi"/>
          <w:b/>
          <w:bCs/>
        </w:rPr>
        <w:t>hindamisel ja valikul</w:t>
      </w:r>
      <w:r w:rsidR="000D230A" w:rsidRPr="00886BE6">
        <w:rPr>
          <w:rFonts w:cstheme="minorHAnsi"/>
          <w:b/>
          <w:bCs/>
        </w:rPr>
        <w:t xml:space="preserve"> eelisena</w:t>
      </w:r>
      <w:r w:rsidRPr="003F43F3">
        <w:rPr>
          <w:rFonts w:cstheme="minorHAnsi"/>
        </w:rPr>
        <w:t>.</w:t>
      </w:r>
      <w:r>
        <w:rPr>
          <w:rFonts w:cstheme="minorHAnsi"/>
        </w:rPr>
        <w:t xml:space="preserve"> </w:t>
      </w:r>
    </w:p>
    <w:p w14:paraId="026B3D87" w14:textId="2F61F623" w:rsidR="0019351C" w:rsidRPr="00B46D8D" w:rsidRDefault="0019351C" w:rsidP="00B46D8D">
      <w:pPr>
        <w:pStyle w:val="Loendilik"/>
        <w:numPr>
          <w:ilvl w:val="0"/>
          <w:numId w:val="5"/>
        </w:numPr>
        <w:jc w:val="both"/>
        <w:rPr>
          <w:rFonts w:cstheme="minorHAnsi"/>
        </w:rPr>
      </w:pPr>
      <w:r>
        <w:rPr>
          <w:rFonts w:cstheme="minorHAnsi"/>
        </w:rPr>
        <w:t>OECD analüüsid näitavad, et mõõdukas konkurents teadus- ja arendustegevuse rahastamisel viib paremate tulemusteni</w:t>
      </w:r>
      <w:r w:rsidR="00874107">
        <w:rPr>
          <w:rStyle w:val="Allmrkuseviide"/>
          <w:rFonts w:cstheme="minorHAnsi"/>
        </w:rPr>
        <w:footnoteReference w:id="11"/>
      </w:r>
      <w:r>
        <w:rPr>
          <w:rFonts w:cstheme="minorHAnsi"/>
        </w:rPr>
        <w:t>.</w:t>
      </w:r>
      <w:r w:rsidR="00645DEA">
        <w:rPr>
          <w:rFonts w:cstheme="minorHAnsi"/>
        </w:rPr>
        <w:t xml:space="preserve"> </w:t>
      </w:r>
      <w:r w:rsidRPr="005C30DB">
        <w:rPr>
          <w:rFonts w:cstheme="minorHAnsi"/>
        </w:rPr>
        <w:t>Selleks, et kindlustada</w:t>
      </w:r>
      <w:r w:rsidRPr="005C30DB">
        <w:rPr>
          <w:rFonts w:cstheme="minorHAnsi"/>
          <w:b/>
          <w:bCs/>
        </w:rPr>
        <w:t xml:space="preserve"> </w:t>
      </w:r>
      <w:r w:rsidRPr="00387C56">
        <w:rPr>
          <w:rFonts w:cstheme="minorHAnsi"/>
        </w:rPr>
        <w:t>Eestis</w:t>
      </w:r>
      <w:r w:rsidRPr="005C30DB">
        <w:rPr>
          <w:rFonts w:cstheme="minorHAnsi"/>
          <w:b/>
          <w:bCs/>
        </w:rPr>
        <w:t xml:space="preserve"> </w:t>
      </w:r>
      <w:r w:rsidRPr="005C30DB">
        <w:rPr>
          <w:rFonts w:cstheme="minorHAnsi"/>
        </w:rPr>
        <w:t>parimat fookusvaldkondade teadus- ja arendustegevust, teadusalast kompetentsi ning teadlaste ja inseneride järelkasvu</w:t>
      </w:r>
      <w:r w:rsidRPr="005C30DB">
        <w:rPr>
          <w:rFonts w:cstheme="minorHAnsi"/>
          <w:b/>
          <w:bCs/>
        </w:rPr>
        <w:t xml:space="preserve"> </w:t>
      </w:r>
      <w:r w:rsidRPr="005C30DB">
        <w:rPr>
          <w:rFonts w:cstheme="minorHAnsi"/>
        </w:rPr>
        <w:t>(seda ka väljaspool akadeemilist sektorit) TAIE fookusvaldkondade teekaartides sõnastatud prioriteetsetes TA-suundades,</w:t>
      </w:r>
      <w:r w:rsidRPr="005C30DB">
        <w:rPr>
          <w:rFonts w:cstheme="minorHAnsi"/>
          <w:b/>
          <w:bCs/>
        </w:rPr>
        <w:t xml:space="preserve"> rakendatakse konkurentsipõhist lähenemist.</w:t>
      </w:r>
      <w:r w:rsidR="00B46D8D">
        <w:rPr>
          <w:rFonts w:cstheme="minorHAnsi"/>
          <w:b/>
          <w:bCs/>
        </w:rPr>
        <w:t xml:space="preserve"> Aluseks on</w:t>
      </w:r>
      <w:r w:rsidRPr="00B46D8D">
        <w:rPr>
          <w:rFonts w:cstheme="minorHAnsi"/>
          <w:b/>
          <w:bCs/>
        </w:rPr>
        <w:t xml:space="preserve"> grandipõhine lähenemine.</w:t>
      </w:r>
      <w:r w:rsidRPr="00B46D8D">
        <w:rPr>
          <w:rFonts w:cstheme="minorHAnsi"/>
        </w:rPr>
        <w:t xml:space="preserve"> Tulemused saavutatakse läbi uurimisteemade arendamise, seejuures on erilisel kohal uurimisprojektides </w:t>
      </w:r>
      <w:r w:rsidRPr="00B46D8D">
        <w:rPr>
          <w:rFonts w:cstheme="minorHAnsi"/>
          <w:b/>
          <w:bCs/>
        </w:rPr>
        <w:t xml:space="preserve">loodava teadmise jõudmine valdkonna teadlaste ja inseneride järel- ja juurdekasvu ettevalmistamisse (loodud teadmise edasikandumine väljapoole konkreetset uurimisrühma ja projekti). </w:t>
      </w:r>
      <w:r w:rsidRPr="00B46D8D">
        <w:rPr>
          <w:rFonts w:cstheme="minorHAnsi"/>
        </w:rPr>
        <w:t>Kuidas see täpsemalt toimub, saame arutada toetuse andmise tingimuste koostamise käigus.</w:t>
      </w:r>
    </w:p>
    <w:p w14:paraId="108FE35E" w14:textId="4087D3B8" w:rsidR="00B46D8D" w:rsidRPr="00387C56" w:rsidRDefault="00B46D8D" w:rsidP="00B46D8D">
      <w:pPr>
        <w:pStyle w:val="Loendilik"/>
        <w:numPr>
          <w:ilvl w:val="0"/>
          <w:numId w:val="5"/>
        </w:numPr>
        <w:jc w:val="both"/>
        <w:rPr>
          <w:rFonts w:cstheme="minorHAnsi"/>
        </w:rPr>
      </w:pPr>
      <w:r w:rsidRPr="00387C56">
        <w:rPr>
          <w:rFonts w:cstheme="minorHAnsi"/>
          <w:b/>
          <w:bCs/>
        </w:rPr>
        <w:t xml:space="preserve">Sihtrühm on positiivselt </w:t>
      </w:r>
      <w:proofErr w:type="spellStart"/>
      <w:r w:rsidRPr="00387C56">
        <w:rPr>
          <w:rFonts w:cstheme="minorHAnsi"/>
          <w:b/>
          <w:bCs/>
        </w:rPr>
        <w:t>evalveeritud</w:t>
      </w:r>
      <w:proofErr w:type="spellEnd"/>
      <w:r w:rsidRPr="00387C56">
        <w:rPr>
          <w:rFonts w:cstheme="minorHAnsi"/>
          <w:b/>
          <w:bCs/>
        </w:rPr>
        <w:t xml:space="preserve"> avalik-õiguslikud ja riigi </w:t>
      </w:r>
      <w:proofErr w:type="spellStart"/>
      <w:r w:rsidRPr="00387C56">
        <w:rPr>
          <w:rFonts w:cstheme="minorHAnsi"/>
          <w:b/>
          <w:bCs/>
        </w:rPr>
        <w:t>TA-asutused</w:t>
      </w:r>
      <w:proofErr w:type="spellEnd"/>
      <w:r w:rsidRPr="00387C56">
        <w:rPr>
          <w:rFonts w:cstheme="minorHAnsi"/>
          <w:b/>
          <w:bCs/>
        </w:rPr>
        <w:t xml:space="preserve"> ning kõrgkoolid, </w:t>
      </w:r>
      <w:r w:rsidRPr="00387C56">
        <w:rPr>
          <w:rFonts w:cstheme="minorHAnsi"/>
        </w:rPr>
        <w:t xml:space="preserve">kellele on seadusega pandud ülesanne </w:t>
      </w:r>
      <w:r w:rsidRPr="00387C56">
        <w:rPr>
          <w:rFonts w:cstheme="minorHAnsi"/>
          <w:color w:val="202020"/>
          <w:shd w:val="clear" w:color="auto" w:fill="FFFFFF"/>
        </w:rPr>
        <w:t>edendada teadusi ja kultuuri ning elukestvat õpet, osutada ühiskonnale vajalikke õppe-, teadus- ja loometegevusel põhinevaid teenuseid ning toetada õppurites vastutustundlike ja algatusvõimeliste kodanike kujunemist. </w:t>
      </w:r>
      <w:r w:rsidRPr="00387C56">
        <w:rPr>
          <w:rFonts w:cstheme="minorHAnsi"/>
        </w:rPr>
        <w:t xml:space="preserve">Partneritena saavad osaleda </w:t>
      </w:r>
      <w:r w:rsidR="00387C56" w:rsidRPr="00387C56">
        <w:rPr>
          <w:rFonts w:cstheme="minorHAnsi"/>
        </w:rPr>
        <w:t xml:space="preserve">eraõiguslikud </w:t>
      </w:r>
      <w:proofErr w:type="spellStart"/>
      <w:r w:rsidR="00387C56" w:rsidRPr="00387C56">
        <w:rPr>
          <w:rFonts w:cstheme="minorHAnsi"/>
        </w:rPr>
        <w:t>TA-asutused</w:t>
      </w:r>
      <w:proofErr w:type="spellEnd"/>
      <w:r w:rsidR="00387C56" w:rsidRPr="00387C56">
        <w:rPr>
          <w:rFonts w:cstheme="minorHAnsi"/>
        </w:rPr>
        <w:t xml:space="preserve">, </w:t>
      </w:r>
      <w:r w:rsidRPr="00387C56">
        <w:rPr>
          <w:rFonts w:cstheme="minorHAnsi"/>
        </w:rPr>
        <w:t xml:space="preserve">rakenduskõrgkoolid, ettevõtted, avaliku sektori asutused jt võimalikud osalised. Partnerite sisuline kaasamine on üks taotluse edukuse kriteeriumitest.  </w:t>
      </w:r>
    </w:p>
    <w:p w14:paraId="5B2710FD" w14:textId="06E6EE59" w:rsidR="00B46D8D" w:rsidRPr="00387C56" w:rsidRDefault="00387C56" w:rsidP="002B2713">
      <w:pPr>
        <w:pStyle w:val="Loendilik"/>
        <w:numPr>
          <w:ilvl w:val="0"/>
          <w:numId w:val="5"/>
        </w:numPr>
        <w:jc w:val="both"/>
        <w:rPr>
          <w:rFonts w:cstheme="minorHAnsi"/>
        </w:rPr>
      </w:pPr>
      <w:r w:rsidRPr="00387C56">
        <w:rPr>
          <w:rFonts w:cstheme="minorHAnsi"/>
          <w:b/>
          <w:bCs/>
        </w:rPr>
        <w:t>E</w:t>
      </w:r>
      <w:r w:rsidR="00B46D8D" w:rsidRPr="00387C56">
        <w:rPr>
          <w:rFonts w:cstheme="minorHAnsi"/>
          <w:b/>
          <w:bCs/>
        </w:rPr>
        <w:t>raõiguslik</w:t>
      </w:r>
      <w:r w:rsidRPr="00387C56">
        <w:rPr>
          <w:rFonts w:cstheme="minorHAnsi"/>
          <w:b/>
          <w:bCs/>
        </w:rPr>
        <w:t>e</w:t>
      </w:r>
      <w:r w:rsidR="00B46D8D" w:rsidRPr="00387C56">
        <w:rPr>
          <w:rFonts w:cstheme="minorHAnsi"/>
          <w:b/>
          <w:bCs/>
        </w:rPr>
        <w:t xml:space="preserve"> teadus- ja arendusasutuste teadusvõimekuse arendami</w:t>
      </w:r>
      <w:r w:rsidRPr="00387C56">
        <w:rPr>
          <w:rFonts w:cstheme="minorHAnsi"/>
          <w:b/>
          <w:bCs/>
        </w:rPr>
        <w:t>ne on võimalik partnerluse kaudu</w:t>
      </w:r>
      <w:r w:rsidR="00B46D8D" w:rsidRPr="00387C56">
        <w:rPr>
          <w:rFonts w:cstheme="minorHAnsi"/>
          <w:b/>
          <w:bCs/>
        </w:rPr>
        <w:t xml:space="preserve">. </w:t>
      </w:r>
      <w:r w:rsidR="00B46D8D" w:rsidRPr="00387C56">
        <w:rPr>
          <w:rFonts w:cstheme="minorHAnsi"/>
        </w:rPr>
        <w:t xml:space="preserve">Positiivselt evaveeritud eraõiguslike </w:t>
      </w:r>
      <w:proofErr w:type="spellStart"/>
      <w:r w:rsidR="00B46D8D" w:rsidRPr="00387C56">
        <w:rPr>
          <w:rFonts w:cstheme="minorHAnsi"/>
        </w:rPr>
        <w:t>TA-asutuste</w:t>
      </w:r>
      <w:proofErr w:type="spellEnd"/>
      <w:r w:rsidR="00B46D8D" w:rsidRPr="00387C56">
        <w:rPr>
          <w:rFonts w:cstheme="minorHAnsi"/>
        </w:rPr>
        <w:t xml:space="preserve"> puhul on näha ettevõtluslepingute järjepidev ja kiire kasv ning ettevõtluslepingud moodustavad nendes asutustes suurima osakaalu  baasfinantseerimise eraldamise koefitsientidest. Seega on nende asutuste puhul kooskõla ettevõtlussektori vajadustega suurem kui avalik-õiguslikes ja riigi teadus- ja arendusasutustes. </w:t>
      </w:r>
      <w:r w:rsidR="00B46D8D" w:rsidRPr="00387C56">
        <w:rPr>
          <w:rFonts w:cstheme="minorHAnsi"/>
        </w:rPr>
        <w:lastRenderedPageBreak/>
        <w:t xml:space="preserve">Lisaks toetab Majandus- ja Kommunikatsiooniministeerium eraõiguslike </w:t>
      </w:r>
      <w:proofErr w:type="spellStart"/>
      <w:r w:rsidR="00B46D8D" w:rsidRPr="00387C56">
        <w:rPr>
          <w:rFonts w:cstheme="minorHAnsi"/>
        </w:rPr>
        <w:t>TA-asutuste</w:t>
      </w:r>
      <w:proofErr w:type="spellEnd"/>
      <w:r w:rsidR="00B46D8D" w:rsidRPr="00387C56">
        <w:rPr>
          <w:rFonts w:cstheme="minorHAnsi"/>
        </w:rPr>
        <w:t xml:space="preserve"> tegevust oma meetmetest (nt rakendusuuringute programm).   </w:t>
      </w:r>
    </w:p>
    <w:p w14:paraId="534B3293" w14:textId="7A3EED6B" w:rsidR="002B2713" w:rsidRPr="00B46D8D" w:rsidRDefault="002B2713" w:rsidP="002B2713">
      <w:pPr>
        <w:pStyle w:val="Loendilik"/>
        <w:numPr>
          <w:ilvl w:val="0"/>
          <w:numId w:val="5"/>
        </w:numPr>
        <w:jc w:val="both"/>
        <w:rPr>
          <w:rFonts w:cstheme="minorHAnsi"/>
        </w:rPr>
      </w:pPr>
      <w:r w:rsidRPr="00387C56">
        <w:rPr>
          <w:rFonts w:cstheme="minorHAnsi"/>
          <w:b/>
          <w:bCs/>
        </w:rPr>
        <w:t>Programme soovime kujundada ja ellu viia sarnaste põhimõtete</w:t>
      </w:r>
      <w:r w:rsidRPr="00B46D8D">
        <w:rPr>
          <w:rFonts w:cstheme="minorHAnsi"/>
          <w:b/>
          <w:bCs/>
        </w:rPr>
        <w:t xml:space="preserve"> ja rakendusskeemi alusel, et tagada valdkondade võrdne kohtlemine ja selgus.</w:t>
      </w:r>
      <w:r w:rsidRPr="00B46D8D">
        <w:rPr>
          <w:rFonts w:cstheme="minorHAnsi"/>
        </w:rPr>
        <w:t xml:space="preserve"> Siiski on võimalik teatud detailides eripärasid arvestada (nt taotlusvoorude tingimuste kujundamisel). </w:t>
      </w:r>
    </w:p>
    <w:p w14:paraId="06E01150" w14:textId="77777777" w:rsidR="002B2713" w:rsidRPr="0047467A" w:rsidRDefault="002B2713" w:rsidP="002B2713">
      <w:pPr>
        <w:pStyle w:val="Loendilik"/>
        <w:numPr>
          <w:ilvl w:val="0"/>
          <w:numId w:val="5"/>
        </w:numPr>
        <w:jc w:val="both"/>
        <w:rPr>
          <w:rFonts w:cstheme="minorHAnsi"/>
        </w:rPr>
      </w:pPr>
      <w:r w:rsidRPr="0047467A">
        <w:rPr>
          <w:rFonts w:cstheme="minorHAnsi"/>
          <w:b/>
          <w:bCs/>
        </w:rPr>
        <w:t>Programmide juhtimisel</w:t>
      </w:r>
      <w:r w:rsidRPr="0047467A">
        <w:rPr>
          <w:rFonts w:cstheme="minorHAnsi"/>
        </w:rPr>
        <w:t xml:space="preserve"> toetatakse ettevõtlikku avastusprotsessi, st töötavad ekspertkogud, kes esindavad „tellija“ huvisid (</w:t>
      </w:r>
      <w:r>
        <w:rPr>
          <w:rFonts w:cstheme="minorHAnsi"/>
        </w:rPr>
        <w:t>TA</w:t>
      </w:r>
      <w:r w:rsidRPr="0047467A">
        <w:rPr>
          <w:rFonts w:cstheme="minorHAnsi"/>
        </w:rPr>
        <w:t xml:space="preserve"> nõudluse rahuldamise vaade</w:t>
      </w:r>
      <w:r>
        <w:rPr>
          <w:rFonts w:cstheme="minorHAnsi"/>
        </w:rPr>
        <w:t>t</w:t>
      </w:r>
      <w:r w:rsidRPr="0047467A">
        <w:rPr>
          <w:rFonts w:cstheme="minorHAnsi"/>
        </w:rPr>
        <w:t>).</w:t>
      </w:r>
    </w:p>
    <w:p w14:paraId="0C6BDE10" w14:textId="10C350AB" w:rsidR="0019351C" w:rsidRPr="00332DA8" w:rsidRDefault="0019351C" w:rsidP="0019351C">
      <w:pPr>
        <w:pStyle w:val="Loendilik"/>
        <w:numPr>
          <w:ilvl w:val="0"/>
          <w:numId w:val="5"/>
        </w:numPr>
        <w:jc w:val="both"/>
        <w:rPr>
          <w:rFonts w:cstheme="minorHAnsi"/>
        </w:rPr>
      </w:pPr>
      <w:r w:rsidRPr="00286CBB">
        <w:rPr>
          <w:rFonts w:cstheme="minorHAnsi"/>
          <w:b/>
          <w:bCs/>
        </w:rPr>
        <w:t>Alusteadus</w:t>
      </w:r>
      <w:r>
        <w:rPr>
          <w:rFonts w:cstheme="minorHAnsi"/>
          <w:b/>
          <w:bCs/>
        </w:rPr>
        <w:t xml:space="preserve">likud uuringud </w:t>
      </w:r>
      <w:r>
        <w:rPr>
          <w:rFonts w:cstheme="minorHAnsi"/>
        </w:rPr>
        <w:t xml:space="preserve">peavad olema </w:t>
      </w:r>
      <w:r w:rsidRPr="00332DA8">
        <w:rPr>
          <w:rFonts w:cstheme="minorHAnsi"/>
        </w:rPr>
        <w:t>kantud ettevõtluse ja avaliku sektori huvidest</w:t>
      </w:r>
      <w:r w:rsidR="00B46D8D">
        <w:rPr>
          <w:rFonts w:cstheme="minorHAnsi"/>
        </w:rPr>
        <w:t xml:space="preserve"> ning</w:t>
      </w:r>
      <w:r w:rsidRPr="00332DA8">
        <w:rPr>
          <w:rFonts w:cstheme="minorHAnsi"/>
        </w:rPr>
        <w:t xml:space="preserve"> vajadustest</w:t>
      </w:r>
      <w:r>
        <w:rPr>
          <w:rFonts w:cstheme="minorHAnsi"/>
        </w:rPr>
        <w:t xml:space="preserve"> </w:t>
      </w:r>
      <w:r w:rsidR="00B46D8D">
        <w:rPr>
          <w:rFonts w:cstheme="minorHAnsi"/>
        </w:rPr>
        <w:t xml:space="preserve">ja </w:t>
      </w:r>
      <w:r>
        <w:rPr>
          <w:rFonts w:cstheme="minorHAnsi"/>
        </w:rPr>
        <w:t>olema nõudluse poolt selgelt valideeritud.</w:t>
      </w:r>
      <w:r w:rsidR="00B46D8D">
        <w:rPr>
          <w:rFonts w:cstheme="minorHAnsi"/>
        </w:rPr>
        <w:t xml:space="preserve"> Neil peab olema</w:t>
      </w:r>
      <w:r w:rsidRPr="00332DA8">
        <w:rPr>
          <w:rFonts w:cstheme="minorHAnsi"/>
        </w:rPr>
        <w:t xml:space="preserve"> selge rakenduslik potentsiaal või väljund </w:t>
      </w:r>
      <w:r>
        <w:rPr>
          <w:rFonts w:cstheme="minorHAnsi"/>
        </w:rPr>
        <w:t>ning</w:t>
      </w:r>
      <w:r w:rsidRPr="00332DA8">
        <w:rPr>
          <w:rFonts w:cstheme="minorHAnsi"/>
        </w:rPr>
        <w:t xml:space="preserve"> need on ettevõtliku avastusprotsessi koosloome käigus defineeritud vajadusena.</w:t>
      </w:r>
    </w:p>
    <w:p w14:paraId="2132C942" w14:textId="647159AA" w:rsidR="0019351C" w:rsidRPr="00F86C9D" w:rsidRDefault="0019351C" w:rsidP="0019351C">
      <w:pPr>
        <w:pStyle w:val="Loendilik"/>
        <w:numPr>
          <w:ilvl w:val="0"/>
          <w:numId w:val="5"/>
        </w:numPr>
        <w:jc w:val="both"/>
        <w:rPr>
          <w:rFonts w:cstheme="minorHAnsi"/>
        </w:rPr>
      </w:pPr>
      <w:r w:rsidRPr="00286CBB">
        <w:rPr>
          <w:rFonts w:cstheme="minorHAnsi"/>
          <w:b/>
          <w:bCs/>
        </w:rPr>
        <w:t>Investeeringuid taristusse</w:t>
      </w:r>
      <w:r w:rsidRPr="00F86C9D">
        <w:rPr>
          <w:rFonts w:cstheme="minorHAnsi"/>
        </w:rPr>
        <w:t xml:space="preserve"> eraldiseisvalt (eraldi tegevuse või vooru kaudu) ei toet</w:t>
      </w:r>
      <w:r>
        <w:rPr>
          <w:rFonts w:cstheme="minorHAnsi"/>
        </w:rPr>
        <w:t>at</w:t>
      </w:r>
      <w:r w:rsidRPr="00F86C9D">
        <w:rPr>
          <w:rFonts w:cstheme="minorHAnsi"/>
        </w:rPr>
        <w:t>a</w:t>
      </w:r>
      <w:r>
        <w:rPr>
          <w:rFonts w:cstheme="minorHAnsi"/>
        </w:rPr>
        <w:t xml:space="preserve"> (lubatud </w:t>
      </w:r>
      <w:r w:rsidR="00402587">
        <w:rPr>
          <w:rFonts w:cstheme="minorHAnsi"/>
        </w:rPr>
        <w:t>uurimis</w:t>
      </w:r>
      <w:r>
        <w:rPr>
          <w:rFonts w:cstheme="minorHAnsi"/>
        </w:rPr>
        <w:t>grandi tavapraktika raames)</w:t>
      </w:r>
      <w:r w:rsidRPr="00F86C9D">
        <w:rPr>
          <w:rFonts w:cstheme="minorHAnsi"/>
        </w:rPr>
        <w:t>.</w:t>
      </w:r>
    </w:p>
    <w:p w14:paraId="21712381" w14:textId="01F2E49B" w:rsidR="0019351C" w:rsidRPr="0019351C" w:rsidRDefault="0019351C" w:rsidP="0019351C">
      <w:pPr>
        <w:pStyle w:val="Loendilik"/>
        <w:numPr>
          <w:ilvl w:val="0"/>
          <w:numId w:val="5"/>
        </w:numPr>
        <w:jc w:val="both"/>
        <w:rPr>
          <w:rFonts w:cstheme="minorHAnsi"/>
        </w:rPr>
      </w:pPr>
      <w:r w:rsidRPr="00286CBB">
        <w:rPr>
          <w:rFonts w:cstheme="minorHAnsi"/>
          <w:b/>
          <w:bCs/>
        </w:rPr>
        <w:t>Kasuta</w:t>
      </w:r>
      <w:r>
        <w:rPr>
          <w:rFonts w:cstheme="minorHAnsi"/>
          <w:b/>
          <w:bCs/>
        </w:rPr>
        <w:t>takse</w:t>
      </w:r>
      <w:r w:rsidRPr="00286CBB">
        <w:rPr>
          <w:rFonts w:cstheme="minorHAnsi"/>
          <w:b/>
          <w:bCs/>
        </w:rPr>
        <w:t xml:space="preserve"> </w:t>
      </w:r>
      <w:r>
        <w:rPr>
          <w:rFonts w:cstheme="minorHAnsi"/>
          <w:b/>
          <w:bCs/>
        </w:rPr>
        <w:t>asjakohaseid lihtsustamisskeeme</w:t>
      </w:r>
      <w:r>
        <w:rPr>
          <w:rFonts w:cstheme="minorHAnsi"/>
        </w:rPr>
        <w:t xml:space="preserve">, </w:t>
      </w:r>
      <w:r w:rsidRPr="00B23D54">
        <w:rPr>
          <w:rFonts w:cstheme="minorHAnsi"/>
        </w:rPr>
        <w:t>nt uurimisgran</w:t>
      </w:r>
      <w:r>
        <w:rPr>
          <w:rFonts w:cstheme="minorHAnsi"/>
        </w:rPr>
        <w:t>tide</w:t>
      </w:r>
      <w:r w:rsidRPr="00B23D54">
        <w:rPr>
          <w:rFonts w:cstheme="minorHAnsi"/>
        </w:rPr>
        <w:t xml:space="preserve"> ühiku</w:t>
      </w:r>
      <w:r>
        <w:rPr>
          <w:rFonts w:cstheme="minorHAnsi"/>
        </w:rPr>
        <w:t xml:space="preserve">id </w:t>
      </w:r>
      <w:r w:rsidRPr="00002877">
        <w:rPr>
          <w:rFonts w:cstheme="minorHAnsi"/>
        </w:rPr>
        <w:t>(puudutab toetatavate tegevuste, abikõlblike kulude jms arutelu)</w:t>
      </w:r>
      <w:r w:rsidRPr="00B23D54">
        <w:rPr>
          <w:rFonts w:cstheme="minorHAnsi"/>
        </w:rPr>
        <w:t xml:space="preserve">. </w:t>
      </w:r>
      <w:r>
        <w:rPr>
          <w:rFonts w:cstheme="minorHAnsi"/>
        </w:rPr>
        <w:t xml:space="preserve">Kaalumisel on </w:t>
      </w:r>
      <w:r w:rsidR="00402587">
        <w:rPr>
          <w:rFonts w:cstheme="minorHAnsi"/>
        </w:rPr>
        <w:t>Eesti Teadusagentuuris</w:t>
      </w:r>
      <w:r>
        <w:rPr>
          <w:rFonts w:cstheme="minorHAnsi"/>
        </w:rPr>
        <w:t xml:space="preserve"> kasutusel olevad </w:t>
      </w:r>
      <w:r w:rsidR="00402587">
        <w:rPr>
          <w:rFonts w:cstheme="minorHAnsi"/>
        </w:rPr>
        <w:t>uur</w:t>
      </w:r>
      <w:r w:rsidR="00387C56">
        <w:rPr>
          <w:rFonts w:cstheme="minorHAnsi"/>
        </w:rPr>
        <w:t>i</w:t>
      </w:r>
      <w:r w:rsidR="00402587">
        <w:rPr>
          <w:rFonts w:cstheme="minorHAnsi"/>
        </w:rPr>
        <w:t>mis</w:t>
      </w:r>
      <w:r>
        <w:rPr>
          <w:rFonts w:cstheme="minorHAnsi"/>
        </w:rPr>
        <w:t xml:space="preserve">grandi ning tagasipöörduva teadlase grandiskeemid. </w:t>
      </w:r>
    </w:p>
    <w:p w14:paraId="6EDA5D68" w14:textId="23E390DC" w:rsidR="00002877" w:rsidRDefault="00BC1DBE" w:rsidP="00002877">
      <w:pPr>
        <w:pStyle w:val="Loendilik"/>
        <w:numPr>
          <w:ilvl w:val="0"/>
          <w:numId w:val="5"/>
        </w:numPr>
        <w:jc w:val="both"/>
        <w:rPr>
          <w:rFonts w:cstheme="minorHAnsi"/>
        </w:rPr>
      </w:pPr>
      <w:r w:rsidRPr="00002877">
        <w:rPr>
          <w:rFonts w:cstheme="minorHAnsi"/>
          <w:b/>
          <w:bCs/>
        </w:rPr>
        <w:t>Otsi</w:t>
      </w:r>
      <w:r>
        <w:rPr>
          <w:rFonts w:cstheme="minorHAnsi"/>
          <w:b/>
          <w:bCs/>
        </w:rPr>
        <w:t>takse</w:t>
      </w:r>
      <w:r w:rsidRPr="00002877">
        <w:rPr>
          <w:rFonts w:cstheme="minorHAnsi"/>
          <w:b/>
          <w:bCs/>
        </w:rPr>
        <w:t xml:space="preserve"> </w:t>
      </w:r>
      <w:r w:rsidR="00002877" w:rsidRPr="00002877">
        <w:rPr>
          <w:rFonts w:cstheme="minorHAnsi"/>
          <w:b/>
          <w:bCs/>
        </w:rPr>
        <w:t>sünergiat</w:t>
      </w:r>
      <w:r w:rsidR="005C30DB">
        <w:rPr>
          <w:rFonts w:cstheme="minorHAnsi"/>
          <w:b/>
          <w:bCs/>
        </w:rPr>
        <w:t xml:space="preserve"> ja välditakse</w:t>
      </w:r>
      <w:r w:rsidR="00002877" w:rsidRPr="00002877">
        <w:rPr>
          <w:rFonts w:cstheme="minorHAnsi"/>
          <w:b/>
          <w:bCs/>
        </w:rPr>
        <w:t xml:space="preserve"> dubleerimist</w:t>
      </w:r>
      <w:r w:rsidR="00002877" w:rsidRPr="00002877">
        <w:rPr>
          <w:rFonts w:cstheme="minorHAnsi"/>
        </w:rPr>
        <w:t xml:space="preserve"> (puudutab toetatavate tegevuste, abikõlblike kulude jms arutelu</w:t>
      </w:r>
      <w:r w:rsidR="00F018A1">
        <w:rPr>
          <w:rFonts w:cstheme="minorHAnsi"/>
        </w:rPr>
        <w:t xml:space="preserve"> ja teiste </w:t>
      </w:r>
      <w:r w:rsidR="002B2713">
        <w:rPr>
          <w:rFonts w:cstheme="minorHAnsi"/>
        </w:rPr>
        <w:t xml:space="preserve">riigieelarveliste ja EL struktuurivahendite </w:t>
      </w:r>
      <w:r w:rsidR="00F018A1">
        <w:rPr>
          <w:rFonts w:cstheme="minorHAnsi"/>
        </w:rPr>
        <w:t>meetmete ja rahastamisvõimaluste laiemat pilti</w:t>
      </w:r>
      <w:r w:rsidR="002B2713">
        <w:rPr>
          <w:rFonts w:cstheme="minorHAnsi"/>
        </w:rPr>
        <w:t>, sh teiste ministeeriumite rahastusskeeme</w:t>
      </w:r>
      <w:r w:rsidR="00002877" w:rsidRPr="00002877">
        <w:rPr>
          <w:rFonts w:cstheme="minorHAnsi"/>
        </w:rPr>
        <w:t>).</w:t>
      </w:r>
    </w:p>
    <w:p w14:paraId="0A14E8B8" w14:textId="57E8B63D" w:rsidR="00002877" w:rsidRPr="00002877" w:rsidRDefault="00DD6380" w:rsidP="00002877">
      <w:pPr>
        <w:pStyle w:val="Loendilik"/>
        <w:numPr>
          <w:ilvl w:val="0"/>
          <w:numId w:val="5"/>
        </w:numPr>
        <w:jc w:val="both"/>
        <w:rPr>
          <w:rFonts w:cstheme="minorHAnsi"/>
        </w:rPr>
      </w:pPr>
      <w:r w:rsidRPr="00387C56">
        <w:rPr>
          <w:rFonts w:cstheme="minorHAnsi"/>
          <w:b/>
          <w:bCs/>
        </w:rPr>
        <w:t xml:space="preserve">Euroopa Komisjon kirjutab ette </w:t>
      </w:r>
      <w:r w:rsidR="00002877" w:rsidRPr="00387C56">
        <w:rPr>
          <w:rFonts w:cstheme="minorHAnsi"/>
          <w:b/>
          <w:bCs/>
        </w:rPr>
        <w:t xml:space="preserve">veel teatavaid </w:t>
      </w:r>
      <w:r w:rsidRPr="00387C56">
        <w:rPr>
          <w:rFonts w:cstheme="minorHAnsi"/>
          <w:b/>
          <w:bCs/>
        </w:rPr>
        <w:t>raamtingimus</w:t>
      </w:r>
      <w:r w:rsidR="00002877" w:rsidRPr="00387C56">
        <w:rPr>
          <w:rFonts w:cstheme="minorHAnsi"/>
          <w:b/>
          <w:bCs/>
        </w:rPr>
        <w:t>i</w:t>
      </w:r>
      <w:r w:rsidR="00002877" w:rsidRPr="00002877">
        <w:rPr>
          <w:rFonts w:cstheme="minorHAnsi"/>
        </w:rPr>
        <w:t xml:space="preserve"> (nt avalikkuse teavitamise tegevused, projektide üldised valiku- ja hindamisprotsessi põhimõtted, horisontaalsete teemadega arvestamine, nt võrdne kohtlemine,</w:t>
      </w:r>
      <w:r w:rsidR="00BB1A9E">
        <w:rPr>
          <w:rFonts w:cstheme="minorHAnsi"/>
        </w:rPr>
        <w:t xml:space="preserve"> regionaalne mõju,</w:t>
      </w:r>
      <w:r w:rsidR="00002877" w:rsidRPr="00002877">
        <w:rPr>
          <w:rFonts w:cstheme="minorHAnsi"/>
        </w:rPr>
        <w:t xml:space="preserve"> </w:t>
      </w:r>
      <w:r w:rsidR="00002877" w:rsidRPr="00002877">
        <w:rPr>
          <w:rFonts w:cstheme="minorHAnsi"/>
          <w:i/>
          <w:iCs/>
        </w:rPr>
        <w:t xml:space="preserve">do no </w:t>
      </w:r>
      <w:proofErr w:type="spellStart"/>
      <w:r w:rsidR="00002877" w:rsidRPr="00002877">
        <w:rPr>
          <w:rFonts w:cstheme="minorHAnsi"/>
          <w:i/>
          <w:iCs/>
        </w:rPr>
        <w:t>significant</w:t>
      </w:r>
      <w:proofErr w:type="spellEnd"/>
      <w:r w:rsidR="00002877" w:rsidRPr="00002877">
        <w:rPr>
          <w:rFonts w:cstheme="minorHAnsi"/>
          <w:i/>
          <w:iCs/>
        </w:rPr>
        <w:t xml:space="preserve"> </w:t>
      </w:r>
      <w:proofErr w:type="spellStart"/>
      <w:r w:rsidR="00002877" w:rsidRPr="00002877">
        <w:rPr>
          <w:rFonts w:cstheme="minorHAnsi"/>
          <w:i/>
          <w:iCs/>
        </w:rPr>
        <w:t>harm</w:t>
      </w:r>
      <w:proofErr w:type="spellEnd"/>
      <w:r w:rsidR="00002877" w:rsidRPr="00002877">
        <w:rPr>
          <w:rFonts w:cstheme="minorHAnsi"/>
        </w:rPr>
        <w:t xml:space="preserve"> printsiip jms). Neid </w:t>
      </w:r>
      <w:r w:rsidR="00BC1DBE" w:rsidRPr="00002877">
        <w:rPr>
          <w:rFonts w:cstheme="minorHAnsi"/>
        </w:rPr>
        <w:t>aruta</w:t>
      </w:r>
      <w:r w:rsidR="00BC1DBE">
        <w:rPr>
          <w:rFonts w:cstheme="minorHAnsi"/>
        </w:rPr>
        <w:t xml:space="preserve">takse </w:t>
      </w:r>
      <w:r w:rsidR="00002877" w:rsidRPr="00002877">
        <w:rPr>
          <w:rFonts w:cstheme="minorHAnsi"/>
        </w:rPr>
        <w:t xml:space="preserve">täpsemalt toetuse andmise tingimuste koostamise käigus. </w:t>
      </w:r>
    </w:p>
    <w:p w14:paraId="11084DF4" w14:textId="15A42EE2" w:rsidR="000B1111" w:rsidRPr="00F3219D" w:rsidRDefault="000B1111" w:rsidP="000B1111">
      <w:pPr>
        <w:jc w:val="both"/>
        <w:rPr>
          <w:b/>
          <w:bCs/>
          <w:color w:val="0070C0"/>
          <w:sz w:val="28"/>
          <w:szCs w:val="28"/>
        </w:rPr>
      </w:pPr>
      <w:r>
        <w:rPr>
          <w:b/>
          <w:bCs/>
          <w:color w:val="0070C0"/>
          <w:sz w:val="28"/>
          <w:szCs w:val="28"/>
        </w:rPr>
        <w:t>Toetuse andmise e</w:t>
      </w:r>
      <w:r w:rsidRPr="00F3219D">
        <w:rPr>
          <w:b/>
          <w:bCs/>
          <w:color w:val="0070C0"/>
          <w:sz w:val="28"/>
          <w:szCs w:val="28"/>
        </w:rPr>
        <w:t>esmärk</w:t>
      </w:r>
    </w:p>
    <w:p w14:paraId="6FF1FC37" w14:textId="77777777" w:rsidR="0019351C" w:rsidRDefault="0019351C" w:rsidP="0019351C">
      <w:pPr>
        <w:spacing w:after="0"/>
        <w:jc w:val="both"/>
      </w:pPr>
      <w:r w:rsidRPr="0042309A">
        <w:t xml:space="preserve">Eesmärk on </w:t>
      </w:r>
    </w:p>
    <w:p w14:paraId="3165AEFC" w14:textId="382997F1" w:rsidR="0019351C" w:rsidRPr="006F21F4" w:rsidRDefault="0019351C" w:rsidP="0019351C">
      <w:pPr>
        <w:pStyle w:val="Loendilik"/>
        <w:numPr>
          <w:ilvl w:val="0"/>
          <w:numId w:val="12"/>
        </w:numPr>
        <w:jc w:val="both"/>
      </w:pPr>
      <w:r>
        <w:t xml:space="preserve">kasvatada riigi ja avalik-õiguslikes positiivselt </w:t>
      </w:r>
      <w:proofErr w:type="spellStart"/>
      <w:r>
        <w:t>evalveeritud</w:t>
      </w:r>
      <w:proofErr w:type="spellEnd"/>
      <w:r>
        <w:t xml:space="preserve"> teadus- ja arendusasutustes ühiskonna nõudlustele vastava </w:t>
      </w:r>
      <w:r w:rsidRPr="006F21F4">
        <w:t>teadus- ja arendustegevuse võimekus kasvu</w:t>
      </w:r>
      <w:r w:rsidR="00402587">
        <w:t>,</w:t>
      </w:r>
      <w:r w:rsidRPr="006F21F4">
        <w:t xml:space="preserve"> </w:t>
      </w:r>
      <w:r>
        <w:t xml:space="preserve">sh </w:t>
      </w:r>
      <w:r w:rsidRPr="006F21F4">
        <w:t xml:space="preserve">ettevõtluse ja ühiskonna vajadusest lähtuvate teadussuundade arengut TAIE nutika spetsialiseerumise fookusvaldkondades, suurendamaks sidusust teadus- ja arendustegevuse ning Eesti ja Euroopa </w:t>
      </w:r>
      <w:r>
        <w:t xml:space="preserve">ühiskonna ja majanduse arengu </w:t>
      </w:r>
      <w:r w:rsidRPr="006F21F4">
        <w:t xml:space="preserve">vahel; </w:t>
      </w:r>
    </w:p>
    <w:p w14:paraId="24F6CDB1" w14:textId="57C69C11" w:rsidR="0019351C" w:rsidRPr="006F21F4" w:rsidRDefault="0019351C" w:rsidP="0019351C">
      <w:pPr>
        <w:pStyle w:val="Loendilik"/>
        <w:numPr>
          <w:ilvl w:val="0"/>
          <w:numId w:val="12"/>
        </w:numPr>
        <w:jc w:val="both"/>
      </w:pPr>
      <w:r w:rsidRPr="006F21F4">
        <w:t xml:space="preserve">luua </w:t>
      </w:r>
      <w:r>
        <w:t xml:space="preserve">kvaliteetne ja jätkusuutlik alus </w:t>
      </w:r>
      <w:r w:rsidRPr="006F21F4">
        <w:t xml:space="preserve">teaduspõhiste ja innovaatiliste lahenduste kasutuselevõtuks ettevõtetes ja ühiskonnas laiemalt; </w:t>
      </w:r>
    </w:p>
    <w:p w14:paraId="2B3DD878" w14:textId="77777777" w:rsidR="0019351C" w:rsidRDefault="0019351C" w:rsidP="0019351C">
      <w:pPr>
        <w:pStyle w:val="Loendilik"/>
        <w:numPr>
          <w:ilvl w:val="0"/>
          <w:numId w:val="12"/>
        </w:numPr>
        <w:jc w:val="both"/>
      </w:pPr>
      <w:r w:rsidRPr="006F21F4">
        <w:t>t</w:t>
      </w:r>
      <w:r>
        <w:t>oetada</w:t>
      </w:r>
      <w:r w:rsidRPr="006F21F4">
        <w:t xml:space="preserve"> valdkonna teadlaste ja inseneride järel- ja juurdekasv</w:t>
      </w:r>
      <w:r>
        <w:t>u</w:t>
      </w:r>
      <w:r w:rsidRPr="006F21F4">
        <w:t xml:space="preserve"> TAIE nutika spetsialiseerumise fookusvaldkondades. </w:t>
      </w:r>
    </w:p>
    <w:p w14:paraId="14C0AB15" w14:textId="77003667" w:rsidR="00716F46" w:rsidRPr="00387C56" w:rsidRDefault="00716F46" w:rsidP="00716F46">
      <w:pPr>
        <w:jc w:val="both"/>
        <w:rPr>
          <w:b/>
          <w:bCs/>
          <w:i/>
          <w:iCs/>
          <w:color w:val="FF0000"/>
        </w:rPr>
      </w:pPr>
      <w:r w:rsidRPr="00387C56">
        <w:rPr>
          <w:b/>
          <w:bCs/>
          <w:i/>
          <w:iCs/>
          <w:color w:val="FF0000"/>
        </w:rPr>
        <w:t>NB! Sõnastus vaadatakse koos toetuse andmise tingimuste arutelude käigus!</w:t>
      </w:r>
    </w:p>
    <w:p w14:paraId="1DBE1A71" w14:textId="77777777" w:rsidR="000B1111" w:rsidRPr="00F3219D" w:rsidRDefault="000B1111" w:rsidP="000B1111">
      <w:pPr>
        <w:jc w:val="both"/>
        <w:rPr>
          <w:b/>
          <w:bCs/>
          <w:color w:val="0070C0"/>
          <w:sz w:val="28"/>
          <w:szCs w:val="28"/>
        </w:rPr>
      </w:pPr>
      <w:r w:rsidRPr="00F3219D">
        <w:rPr>
          <w:b/>
          <w:bCs/>
          <w:color w:val="0070C0"/>
          <w:sz w:val="28"/>
          <w:szCs w:val="28"/>
        </w:rPr>
        <w:t>Toetuse andmise tulemus</w:t>
      </w:r>
      <w:r>
        <w:rPr>
          <w:b/>
          <w:bCs/>
          <w:color w:val="0070C0"/>
          <w:sz w:val="28"/>
          <w:szCs w:val="28"/>
        </w:rPr>
        <w:t>ed</w:t>
      </w:r>
      <w:r w:rsidRPr="00F3219D">
        <w:rPr>
          <w:b/>
          <w:bCs/>
          <w:color w:val="0070C0"/>
          <w:sz w:val="28"/>
          <w:szCs w:val="28"/>
        </w:rPr>
        <w:t xml:space="preserve"> </w:t>
      </w:r>
    </w:p>
    <w:p w14:paraId="2109240A" w14:textId="18070191" w:rsidR="000B1111" w:rsidRDefault="000B1111" w:rsidP="000B1111">
      <w:pPr>
        <w:spacing w:after="0"/>
        <w:jc w:val="both"/>
      </w:pPr>
      <w:r>
        <w:t xml:space="preserve">Toetuse andmise tulemusena </w:t>
      </w:r>
    </w:p>
    <w:p w14:paraId="2D2986EC" w14:textId="3A0A4090" w:rsidR="0019351C" w:rsidRPr="00390DA8" w:rsidRDefault="0019351C" w:rsidP="0019351C">
      <w:pPr>
        <w:pStyle w:val="Loendilik"/>
        <w:numPr>
          <w:ilvl w:val="0"/>
          <w:numId w:val="13"/>
        </w:numPr>
        <w:jc w:val="both"/>
      </w:pPr>
      <w:r w:rsidRPr="00390DA8">
        <w:t xml:space="preserve">kasvab </w:t>
      </w:r>
      <w:r>
        <w:t>riigi ja avalik</w:t>
      </w:r>
      <w:r w:rsidR="00402587">
        <w:t>-</w:t>
      </w:r>
      <w:r>
        <w:t xml:space="preserve">õiguslike positiivselt </w:t>
      </w:r>
      <w:proofErr w:type="spellStart"/>
      <w:r>
        <w:t>evalveeritud</w:t>
      </w:r>
      <w:proofErr w:type="spellEnd"/>
      <w:r>
        <w:t xml:space="preserve"> </w:t>
      </w:r>
      <w:r w:rsidRPr="00390DA8">
        <w:t>teadus- ja arendusasutuste</w:t>
      </w:r>
      <w:r>
        <w:t>s ettevõtete ja ühiskonna vajadustele vastava teadus- ja arendustegevuse maht ja</w:t>
      </w:r>
      <w:r w:rsidRPr="00390DA8">
        <w:t xml:space="preserve"> võimekus </w:t>
      </w:r>
      <w:r>
        <w:t>uuringuid teostada</w:t>
      </w:r>
      <w:r w:rsidR="00402587">
        <w:t>,</w:t>
      </w:r>
      <w:r>
        <w:t xml:space="preserve"> </w:t>
      </w:r>
      <w:r w:rsidRPr="00390DA8">
        <w:rPr>
          <w:iCs/>
        </w:rPr>
        <w:t xml:space="preserve">sh on kindlustatud </w:t>
      </w:r>
      <w:r w:rsidRPr="00390DA8">
        <w:t xml:space="preserve">teadlaste </w:t>
      </w:r>
      <w:r>
        <w:t xml:space="preserve">olemasolu </w:t>
      </w:r>
      <w:r w:rsidRPr="00390DA8">
        <w:t xml:space="preserve">ja </w:t>
      </w:r>
      <w:r>
        <w:t xml:space="preserve">kõrgetasemeline teadustöö </w:t>
      </w:r>
      <w:r w:rsidRPr="00390DA8">
        <w:t>valdkondades, kus on selge majanduslik või sotsiaalne potentsiaal ja suutlikkus ettevõtete ja ühiskonnale vajalike uurimisteemade käsitlemiseks ja turule orienteeritud lahenduste pakkumiseks;</w:t>
      </w:r>
    </w:p>
    <w:p w14:paraId="2D29CE92" w14:textId="77777777" w:rsidR="0019351C" w:rsidRPr="00390DA8" w:rsidRDefault="0019351C" w:rsidP="0019351C">
      <w:pPr>
        <w:pStyle w:val="Loendilik"/>
        <w:numPr>
          <w:ilvl w:val="0"/>
          <w:numId w:val="13"/>
        </w:numPr>
        <w:jc w:val="both"/>
      </w:pPr>
      <w:r w:rsidRPr="00390DA8">
        <w:t xml:space="preserve">kasvab võimekus </w:t>
      </w:r>
      <w:r>
        <w:t>kindlustada</w:t>
      </w:r>
      <w:r w:rsidRPr="00390DA8">
        <w:t xml:space="preserve"> </w:t>
      </w:r>
      <w:r>
        <w:t xml:space="preserve">teadlaste ja inseneride järel- ja juurdekasv </w:t>
      </w:r>
      <w:r w:rsidRPr="00390DA8">
        <w:t>TAIE nutika spetsialiseerumise fookusvaldkondades;</w:t>
      </w:r>
    </w:p>
    <w:p w14:paraId="37E691C7" w14:textId="365BA47D" w:rsidR="0019351C" w:rsidRPr="00390DA8" w:rsidRDefault="0019351C" w:rsidP="0019351C">
      <w:pPr>
        <w:pStyle w:val="Loendilik"/>
        <w:numPr>
          <w:ilvl w:val="0"/>
          <w:numId w:val="13"/>
        </w:numPr>
      </w:pPr>
      <w:r w:rsidRPr="00390DA8">
        <w:lastRenderedPageBreak/>
        <w:t xml:space="preserve">on loodud </w:t>
      </w:r>
      <w:r>
        <w:t xml:space="preserve">kvaliteetne ja jätkusuutlik alus </w:t>
      </w:r>
      <w:r w:rsidRPr="00390DA8">
        <w:t xml:space="preserve"> teadus- ja arendustöö tulemuste rakendamiseks</w:t>
      </w:r>
      <w:r>
        <w:t xml:space="preserve"> ja innovatsiooniks</w:t>
      </w:r>
      <w:r w:rsidRPr="00390DA8">
        <w:t xml:space="preserve"> ettevõtluses ja ühiskonnas laiemalt;</w:t>
      </w:r>
    </w:p>
    <w:p w14:paraId="237357DC" w14:textId="77777777" w:rsidR="0019351C" w:rsidRPr="00390DA8" w:rsidRDefault="0019351C" w:rsidP="0019351C">
      <w:pPr>
        <w:pStyle w:val="Loendilik"/>
        <w:numPr>
          <w:ilvl w:val="0"/>
          <w:numId w:val="13"/>
        </w:numPr>
      </w:pPr>
      <w:r w:rsidRPr="00390DA8">
        <w:t>teadusasutuste, ettevõtete ja teiste oluliste partnerite koostöö on paranenud.</w:t>
      </w:r>
    </w:p>
    <w:p w14:paraId="4135AA7F" w14:textId="77777777" w:rsidR="00716F46" w:rsidRPr="00387C56" w:rsidRDefault="00716F46" w:rsidP="00716F46">
      <w:pPr>
        <w:jc w:val="both"/>
        <w:rPr>
          <w:b/>
          <w:bCs/>
          <w:i/>
          <w:iCs/>
          <w:color w:val="FF0000"/>
        </w:rPr>
      </w:pPr>
      <w:r w:rsidRPr="00387C56">
        <w:rPr>
          <w:b/>
          <w:bCs/>
          <w:i/>
          <w:iCs/>
          <w:color w:val="FF0000"/>
        </w:rPr>
        <w:t>NB! Sõnastus vaadatakse koos toetuse andmise tingimuste arutelude käigus!</w:t>
      </w:r>
    </w:p>
    <w:p w14:paraId="2EB5CA53" w14:textId="69BF063D" w:rsidR="007E444F" w:rsidRPr="007E444F" w:rsidRDefault="007E444F" w:rsidP="00186120">
      <w:pPr>
        <w:jc w:val="both"/>
        <w:rPr>
          <w:rFonts w:cstheme="minorHAnsi"/>
          <w:b/>
          <w:bCs/>
          <w:color w:val="0070C0"/>
          <w:sz w:val="28"/>
          <w:szCs w:val="28"/>
        </w:rPr>
      </w:pPr>
      <w:r w:rsidRPr="007E444F">
        <w:rPr>
          <w:rFonts w:cstheme="minorHAnsi"/>
          <w:b/>
          <w:bCs/>
          <w:color w:val="0070C0"/>
          <w:sz w:val="28"/>
          <w:szCs w:val="28"/>
        </w:rPr>
        <w:t>Rakendusskeem</w:t>
      </w:r>
    </w:p>
    <w:p w14:paraId="791B5979" w14:textId="2342BBDC" w:rsidR="00716F46" w:rsidRDefault="00A30E4B" w:rsidP="00186120">
      <w:pPr>
        <w:jc w:val="both"/>
      </w:pPr>
      <w:r w:rsidRPr="00E443FF">
        <w:rPr>
          <w:rFonts w:cstheme="minorHAnsi"/>
        </w:rPr>
        <w:t>Tegemist on praegu piloodina rakendatava IT Akadeemia teadusmeetme</w:t>
      </w:r>
      <w:r>
        <w:rPr>
          <w:rStyle w:val="Allmrkuseviide"/>
          <w:rFonts w:cstheme="minorHAnsi"/>
        </w:rPr>
        <w:footnoteReference w:id="12"/>
      </w:r>
      <w:r w:rsidRPr="00E443FF">
        <w:rPr>
          <w:rFonts w:cstheme="minorHAnsi"/>
        </w:rPr>
        <w:t xml:space="preserve"> ja ressursside </w:t>
      </w:r>
      <w:proofErr w:type="spellStart"/>
      <w:r w:rsidRPr="00E443FF">
        <w:rPr>
          <w:rFonts w:cstheme="minorHAnsi"/>
        </w:rPr>
        <w:t>väärindamise</w:t>
      </w:r>
      <w:proofErr w:type="spellEnd"/>
      <w:r w:rsidRPr="00E443FF">
        <w:rPr>
          <w:rFonts w:cstheme="minorHAnsi"/>
        </w:rPr>
        <w:t xml:space="preserve"> teadusmeetme (</w:t>
      </w:r>
      <w:proofErr w:type="spellStart"/>
      <w:r w:rsidRPr="00E443FF">
        <w:rPr>
          <w:rFonts w:cstheme="minorHAnsi"/>
        </w:rPr>
        <w:t>ResTA</w:t>
      </w:r>
      <w:proofErr w:type="spellEnd"/>
      <w:r w:rsidRPr="00E443FF">
        <w:rPr>
          <w:rFonts w:cstheme="minorHAnsi"/>
        </w:rPr>
        <w:t>)</w:t>
      </w:r>
      <w:r>
        <w:rPr>
          <w:rStyle w:val="Allmrkuseviide"/>
          <w:rFonts w:cstheme="minorHAnsi"/>
        </w:rPr>
        <w:footnoteReference w:id="13"/>
      </w:r>
      <w:r w:rsidRPr="00E443FF">
        <w:rPr>
          <w:rFonts w:cstheme="minorHAnsi"/>
        </w:rPr>
        <w:t xml:space="preserve"> kogemuse laiendamisega teistele </w:t>
      </w:r>
      <w:r w:rsidRPr="00602FAF">
        <w:rPr>
          <w:rFonts w:cstheme="minorHAnsi"/>
        </w:rPr>
        <w:t>nutika spetsialiseerumise fookusvaldkondadele.</w:t>
      </w:r>
      <w:r w:rsidRPr="00E443FF">
        <w:rPr>
          <w:rFonts w:cstheme="minorHAnsi"/>
        </w:rPr>
        <w:t xml:space="preserve"> Mõlemal juhul on </w:t>
      </w:r>
      <w:r w:rsidR="00BB1A9E">
        <w:rPr>
          <w:rFonts w:cstheme="minorHAnsi"/>
        </w:rPr>
        <w:t xml:space="preserve">praegu </w:t>
      </w:r>
      <w:r w:rsidRPr="00E443FF">
        <w:rPr>
          <w:rFonts w:cstheme="minorHAnsi"/>
        </w:rPr>
        <w:t>tegemist käskkirjaga (elluviija programmilised tegevused).</w:t>
      </w:r>
      <w:r w:rsidR="00186120">
        <w:rPr>
          <w:rFonts w:cstheme="minorHAnsi"/>
        </w:rPr>
        <w:t xml:space="preserve"> Nendel kahel juhul on seni rakendatud erinevat skeemi. </w:t>
      </w:r>
      <w:r w:rsidR="00186120" w:rsidRPr="007E444F">
        <w:t xml:space="preserve">IT Akadeemia teadusmeetme puhul on olnud </w:t>
      </w:r>
      <w:r w:rsidR="00716F46">
        <w:t xml:space="preserve">tegevuste elluviijaks </w:t>
      </w:r>
      <w:r w:rsidR="00402587">
        <w:t xml:space="preserve">Haridus- ja </w:t>
      </w:r>
      <w:proofErr w:type="spellStart"/>
      <w:r w:rsidR="00402587">
        <w:t>Noorteamet</w:t>
      </w:r>
      <w:proofErr w:type="spellEnd"/>
      <w:r w:rsidR="00402587">
        <w:t xml:space="preserve"> (</w:t>
      </w:r>
      <w:r w:rsidR="00716F46">
        <w:t>HARNO</w:t>
      </w:r>
      <w:r w:rsidR="00402587">
        <w:t>)</w:t>
      </w:r>
      <w:r w:rsidR="00716F46">
        <w:t xml:space="preserve"> ja </w:t>
      </w:r>
      <w:r w:rsidR="00186120" w:rsidRPr="007E444F">
        <w:t xml:space="preserve">tegemist </w:t>
      </w:r>
      <w:r w:rsidR="00716F46">
        <w:t xml:space="preserve">on </w:t>
      </w:r>
      <w:r w:rsidR="00186120" w:rsidRPr="007E444F">
        <w:t xml:space="preserve">sisuliselt </w:t>
      </w:r>
      <w:r w:rsidR="00186120" w:rsidRPr="007E444F">
        <w:rPr>
          <w:b/>
          <w:bCs/>
        </w:rPr>
        <w:t>tegevustoetuse tüüpi rahastamisega, eraldi projektikonkurssi vms ei korraldata.</w:t>
      </w:r>
      <w:r w:rsidR="00186120" w:rsidRPr="007E444F">
        <w:t xml:space="preserve"> Kokku on lepitud eraldatava toetuse maht ja saaja. </w:t>
      </w:r>
      <w:proofErr w:type="spellStart"/>
      <w:r w:rsidR="00186120" w:rsidRPr="007E444F">
        <w:t>ResTA</w:t>
      </w:r>
      <w:proofErr w:type="spellEnd"/>
      <w:r w:rsidR="00186120" w:rsidRPr="007E444F">
        <w:t xml:space="preserve"> puhul on </w:t>
      </w:r>
      <w:r w:rsidR="00716F46">
        <w:t xml:space="preserve">elluviijaks </w:t>
      </w:r>
      <w:r w:rsidR="00402587">
        <w:t>Eesti Teadusagentuur (</w:t>
      </w:r>
      <w:r w:rsidR="00716F46">
        <w:t>ETAG</w:t>
      </w:r>
      <w:r w:rsidR="00402587">
        <w:t>)</w:t>
      </w:r>
      <w:r w:rsidR="00716F46">
        <w:t xml:space="preserve"> ja </w:t>
      </w:r>
      <w:r w:rsidR="00186120" w:rsidRPr="007E444F">
        <w:t>toetatud</w:t>
      </w:r>
      <w:r w:rsidR="00716F46">
        <w:t xml:space="preserve"> on</w:t>
      </w:r>
      <w:r w:rsidR="00186120" w:rsidRPr="007E444F">
        <w:t xml:space="preserve"> </w:t>
      </w:r>
      <w:r w:rsidR="00186120" w:rsidRPr="007E444F">
        <w:rPr>
          <w:b/>
          <w:bCs/>
        </w:rPr>
        <w:t>uurimisprojekte</w:t>
      </w:r>
      <w:r w:rsidR="00186120" w:rsidRPr="007E444F">
        <w:t xml:space="preserve">. </w:t>
      </w:r>
    </w:p>
    <w:p w14:paraId="04D3420F" w14:textId="25B7C9FA" w:rsidR="00BB1A9E" w:rsidRPr="00402587" w:rsidRDefault="00BB1A9E" w:rsidP="00186120">
      <w:pPr>
        <w:jc w:val="both"/>
      </w:pPr>
      <w:r w:rsidRPr="00387C56">
        <w:rPr>
          <w:b/>
          <w:bCs/>
        </w:rPr>
        <w:t>Arvestades Euroopa Komisjoni raamtingimusi ja põhimõtteid</w:t>
      </w:r>
      <w:r w:rsidR="00DB6493" w:rsidRPr="00387C56">
        <w:rPr>
          <w:b/>
          <w:bCs/>
        </w:rPr>
        <w:t>,</w:t>
      </w:r>
      <w:r w:rsidRPr="00387C56">
        <w:rPr>
          <w:b/>
          <w:bCs/>
        </w:rPr>
        <w:t xml:space="preserve"> meetme eesmärke ja soovitud tulemusi, mida on kirjeldatud eespool, minnakse temaatilistes TA-programmides edasi</w:t>
      </w:r>
      <w:r w:rsidRPr="00402587">
        <w:t xml:space="preserve"> </w:t>
      </w:r>
      <w:r w:rsidRPr="00402587">
        <w:rPr>
          <w:b/>
          <w:bCs/>
        </w:rPr>
        <w:t>grandipõhise</w:t>
      </w:r>
      <w:r w:rsidR="00186120" w:rsidRPr="00402587">
        <w:rPr>
          <w:b/>
          <w:bCs/>
        </w:rPr>
        <w:t xml:space="preserve"> lahenduse</w:t>
      </w:r>
      <w:r w:rsidR="007E444F" w:rsidRPr="00402587">
        <w:rPr>
          <w:b/>
          <w:bCs/>
        </w:rPr>
        <w:t>ga</w:t>
      </w:r>
      <w:r w:rsidR="007E444F" w:rsidRPr="00402587">
        <w:t>.</w:t>
      </w:r>
      <w:r w:rsidR="00716F46" w:rsidRPr="00402587">
        <w:t xml:space="preserve"> </w:t>
      </w:r>
    </w:p>
    <w:p w14:paraId="37EDC6D8" w14:textId="6882EE0A" w:rsidR="0019351C" w:rsidRPr="00402587" w:rsidRDefault="0019351C" w:rsidP="0019351C">
      <w:pPr>
        <w:jc w:val="both"/>
      </w:pPr>
      <w:r w:rsidRPr="00402587">
        <w:rPr>
          <w:b/>
          <w:bCs/>
        </w:rPr>
        <w:t xml:space="preserve">Elluviija </w:t>
      </w:r>
      <w:r w:rsidRPr="00402587">
        <w:t>on ETAG, kes teeb programmide rakendamisel tihedat koostööd HARNO</w:t>
      </w:r>
      <w:r w:rsidR="00402587" w:rsidRPr="00402587">
        <w:t>-</w:t>
      </w:r>
      <w:proofErr w:type="spellStart"/>
      <w:r w:rsidRPr="00402587">
        <w:t>ga</w:t>
      </w:r>
      <w:proofErr w:type="spellEnd"/>
      <w:r w:rsidR="00402587" w:rsidRPr="00402587">
        <w:t xml:space="preserve">, </w:t>
      </w:r>
      <w:r w:rsidRPr="00402587">
        <w:t xml:space="preserve">tagades, et käesolev meede on kooskõlas ja loob sünergiat IT Akadeemia ja kavandatava Inseneriakadeemiaga. Samuti teeb ETAG teavitus- ja koordinatsioonitegevuste korraldamisel ettevõtete suunas koostööd </w:t>
      </w:r>
      <w:proofErr w:type="spellStart"/>
      <w:r w:rsidRPr="00402587">
        <w:t>EIS-iga</w:t>
      </w:r>
      <w:proofErr w:type="spellEnd"/>
      <w:r w:rsidRPr="00402587">
        <w:t xml:space="preserve">. Täpsem tööjaotus, rollid ja tegevused lepitakse eraldi kokku. </w:t>
      </w:r>
      <w:r w:rsidRPr="00402587">
        <w:rPr>
          <w:b/>
          <w:bCs/>
        </w:rPr>
        <w:t>Elluviija vahendab toetust sihtgrandi voorude kaudu valitavatele uurimisgrantidele.</w:t>
      </w:r>
      <w:r w:rsidRPr="00402587">
        <w:t xml:space="preserve"> Toetuse lõppsaajad on teadus- ja arendusasutused. </w:t>
      </w:r>
      <w:r w:rsidRPr="00402587">
        <w:rPr>
          <w:rFonts w:cstheme="minorHAnsi"/>
        </w:rPr>
        <w:t>Toetuse andmise tingimused kinnitatakse ministri käskkirjaga.</w:t>
      </w:r>
      <w:r w:rsidRPr="00402587">
        <w:rPr>
          <w:rFonts w:cstheme="minorHAnsi"/>
          <w:b/>
          <w:bCs/>
        </w:rPr>
        <w:t xml:space="preserve"> </w:t>
      </w:r>
    </w:p>
    <w:p w14:paraId="00648FDA" w14:textId="021468B2" w:rsidR="00A30E4B" w:rsidRPr="00A30E4B" w:rsidRDefault="00A30E4B">
      <w:pPr>
        <w:rPr>
          <w:b/>
          <w:bCs/>
          <w:color w:val="0070C0"/>
          <w:sz w:val="28"/>
          <w:szCs w:val="28"/>
        </w:rPr>
      </w:pPr>
      <w:r w:rsidRPr="00A30E4B">
        <w:rPr>
          <w:b/>
          <w:bCs/>
          <w:color w:val="0070C0"/>
          <w:sz w:val="28"/>
          <w:szCs w:val="28"/>
        </w:rPr>
        <w:t>Toetatavad tegevused</w:t>
      </w:r>
    </w:p>
    <w:p w14:paraId="64012E95" w14:textId="265EBB42" w:rsidR="00A30E4B" w:rsidRDefault="001A6DBF" w:rsidP="00B23D54">
      <w:pPr>
        <w:pStyle w:val="Loendilik"/>
        <w:numPr>
          <w:ilvl w:val="0"/>
          <w:numId w:val="7"/>
        </w:numPr>
        <w:jc w:val="both"/>
      </w:pPr>
      <w:r w:rsidRPr="001A6DBF">
        <w:t xml:space="preserve">Tegevuste raames tugevdatakse teadusasutuste teadus- ja arendusvõimekust </w:t>
      </w:r>
      <w:r w:rsidR="00A41FDF">
        <w:t xml:space="preserve">kokku lepitud </w:t>
      </w:r>
      <w:r w:rsidRPr="001A6DBF">
        <w:t>prioriteetsetes teadus- ja arendustegevuse suundades (fookusteemadel), mis on määratletud TAIE fookusvaldkondade teekaartide</w:t>
      </w:r>
      <w:r w:rsidR="00A41FDF">
        <w:t>s</w:t>
      </w:r>
      <w:r w:rsidRPr="001A6DBF">
        <w:t>. Tegevuste kaudu kasvatatakse ja tuuakse uurimisgruppidesse vajalikku (</w:t>
      </w:r>
      <w:proofErr w:type="spellStart"/>
      <w:r w:rsidRPr="001A6DBF">
        <w:t>välis</w:t>
      </w:r>
      <w:proofErr w:type="spellEnd"/>
      <w:r w:rsidRPr="001A6DBF">
        <w:t xml:space="preserve">)kompetentsi oluliste alus- ja rakendusuuringute ning eksperimentaalarenduste läbiviimiseks ning toetatakse valdkonna teadlaste ja inseneride järelkasvu, sealhulgas doktorantide olemasolu </w:t>
      </w:r>
      <w:r w:rsidR="00A41FDF">
        <w:t>prioriteetsete suundadega</w:t>
      </w:r>
      <w:r w:rsidRPr="001A6DBF">
        <w:t xml:space="preserve"> seotud teadus- ja arendustegevuses. Igas valdkonnas läbiviidavad tegevused on omavahel koordineeritud ning moodustavad ühtse terviku, osapooled peavad võtma arvesse ja kaasama kõiki kompetentse partnerülikoolides ja -asutustes, et tagada sünergia ja ühine liikumissuund tegevuste eesmärkide täideviimisel ning vältida dubleerimist. </w:t>
      </w:r>
    </w:p>
    <w:p w14:paraId="7A0B097B" w14:textId="6F97117E" w:rsidR="00A30E4B" w:rsidRDefault="001A6DBF" w:rsidP="00B23D54">
      <w:pPr>
        <w:pStyle w:val="Loendilik"/>
        <w:numPr>
          <w:ilvl w:val="0"/>
          <w:numId w:val="7"/>
        </w:numPr>
        <w:jc w:val="both"/>
      </w:pPr>
      <w:r>
        <w:t>E</w:t>
      </w:r>
      <w:r w:rsidR="00A30E4B">
        <w:t>lluviija teavitus- ja koordinatsioonitegevused ning projektijuhtimise tegevused</w:t>
      </w:r>
      <w:r>
        <w:t>.</w:t>
      </w:r>
      <w:r w:rsidR="00780514">
        <w:t xml:space="preserve"> </w:t>
      </w:r>
      <w:r w:rsidR="00A41FDF">
        <w:t>Selle sisuks on u</w:t>
      </w:r>
      <w:r w:rsidR="00780514">
        <w:t>urimisteemade süstemaatiline tutvustamine, mille puhul on arvestatud erinevate sihtgruppidega; avalikkus</w:t>
      </w:r>
      <w:r w:rsidR="00A41FDF">
        <w:t>e teavitamine</w:t>
      </w:r>
      <w:r w:rsidR="00780514">
        <w:t xml:space="preserve"> TAIE fookusvaldkondades tehtud uuringutest ning nende potentsiaalsest mõjust majandusele ja keskkonnale</w:t>
      </w:r>
      <w:r w:rsidR="006D2D63">
        <w:t>; t</w:t>
      </w:r>
      <w:r w:rsidR="00BB1A9E">
        <w:t>egevused hõlmavad ka</w:t>
      </w:r>
      <w:r w:rsidR="00780514">
        <w:t xml:space="preserve"> meetme elluviimist juhtivate kogude</w:t>
      </w:r>
      <w:r w:rsidR="00A41FDF">
        <w:t>/</w:t>
      </w:r>
      <w:r w:rsidR="00780514">
        <w:t>ekspertrühmade töö korraldamist.</w:t>
      </w:r>
    </w:p>
    <w:p w14:paraId="6EFB4CBE" w14:textId="003581F2" w:rsidR="00780514" w:rsidRPr="00780514" w:rsidRDefault="00780514" w:rsidP="00780514">
      <w:pPr>
        <w:rPr>
          <w:b/>
          <w:bCs/>
          <w:color w:val="0070C0"/>
          <w:sz w:val="28"/>
          <w:szCs w:val="28"/>
        </w:rPr>
      </w:pPr>
      <w:r w:rsidRPr="00780514">
        <w:rPr>
          <w:b/>
          <w:bCs/>
          <w:color w:val="0070C0"/>
          <w:sz w:val="28"/>
          <w:szCs w:val="28"/>
        </w:rPr>
        <w:lastRenderedPageBreak/>
        <w:t>Rahastamine</w:t>
      </w:r>
    </w:p>
    <w:p w14:paraId="675F633C" w14:textId="61C6432B" w:rsidR="00780514" w:rsidRPr="007E444F" w:rsidRDefault="00780514" w:rsidP="009150EE">
      <w:pPr>
        <w:spacing w:after="0"/>
        <w:jc w:val="both"/>
      </w:pPr>
      <w:r w:rsidRPr="007E444F">
        <w:t xml:space="preserve">Grandipõhise lähenemise puhul on võimalik toetusi välja anda kahes suures kategoorias </w:t>
      </w:r>
      <w:r w:rsidRPr="00DD6380">
        <w:rPr>
          <w:b/>
          <w:bCs/>
        </w:rPr>
        <w:t>ühikuhinna</w:t>
      </w:r>
      <w:r w:rsidRPr="007E444F">
        <w:t xml:space="preserve"> </w:t>
      </w:r>
      <w:r w:rsidRPr="00387C56">
        <w:rPr>
          <w:b/>
          <w:bCs/>
        </w:rPr>
        <w:t>alusel</w:t>
      </w:r>
      <w:r w:rsidRPr="007E444F">
        <w:t>:</w:t>
      </w:r>
    </w:p>
    <w:p w14:paraId="516ED228" w14:textId="66859DF0" w:rsidR="00780514" w:rsidRPr="006F21F4" w:rsidRDefault="00780514" w:rsidP="009150EE">
      <w:pPr>
        <w:pStyle w:val="Loendilik"/>
        <w:numPr>
          <w:ilvl w:val="0"/>
          <w:numId w:val="8"/>
        </w:numPr>
        <w:jc w:val="both"/>
      </w:pPr>
      <w:r w:rsidRPr="006F21F4">
        <w:t>uurimisprojekti toetus (</w:t>
      </w:r>
      <w:proofErr w:type="spellStart"/>
      <w:r w:rsidRPr="006F21F4">
        <w:t>ETAGi</w:t>
      </w:r>
      <w:proofErr w:type="spellEnd"/>
      <w:r w:rsidRPr="006F21F4">
        <w:t xml:space="preserve"> uurimistoetus</w:t>
      </w:r>
      <w:r>
        <w:t>t</w:t>
      </w:r>
      <w:r w:rsidRPr="006F21F4">
        <w:t>e baasil</w:t>
      </w:r>
      <w:r>
        <w:t>, võivad olla erineva suurusega, nt nn väikese ja suure uurimisprojekti toetus</w:t>
      </w:r>
      <w:r w:rsidR="00732652">
        <w:t xml:space="preserve"> nagu on seni kasutusel olnud </w:t>
      </w:r>
      <w:proofErr w:type="spellStart"/>
      <w:r w:rsidR="00732652">
        <w:t>ResTAs</w:t>
      </w:r>
      <w:proofErr w:type="spellEnd"/>
      <w:r w:rsidRPr="006F21F4">
        <w:t>)</w:t>
      </w:r>
      <w:r w:rsidR="007E444F">
        <w:rPr>
          <w:rStyle w:val="Allmrkuseviide"/>
        </w:rPr>
        <w:footnoteReference w:id="14"/>
      </w:r>
    </w:p>
    <w:p w14:paraId="2DED92B8" w14:textId="7AC16B7D" w:rsidR="00780514" w:rsidRPr="006F21F4" w:rsidRDefault="00780514" w:rsidP="002B2713">
      <w:pPr>
        <w:pStyle w:val="Loendilik"/>
        <w:numPr>
          <w:ilvl w:val="0"/>
          <w:numId w:val="8"/>
        </w:numPr>
        <w:jc w:val="both"/>
      </w:pPr>
      <w:proofErr w:type="spellStart"/>
      <w:r w:rsidRPr="006F21F4">
        <w:t>välisteadlase</w:t>
      </w:r>
      <w:proofErr w:type="spellEnd"/>
      <w:r w:rsidRPr="006F21F4">
        <w:t xml:space="preserve"> uurimisgrant (välismaalt </w:t>
      </w:r>
      <w:r>
        <w:t xml:space="preserve">Eestisse tuleva, sh tagasipöörduva teadlase grant </w:t>
      </w:r>
      <w:proofErr w:type="spellStart"/>
      <w:r>
        <w:t>ETAGi</w:t>
      </w:r>
      <w:proofErr w:type="spellEnd"/>
      <w:r>
        <w:t xml:space="preserve"> tagasipöörduva teadlase grandi baasil</w:t>
      </w:r>
      <w:r w:rsidR="007E444F">
        <w:rPr>
          <w:rStyle w:val="Allmrkuseviide"/>
        </w:rPr>
        <w:footnoteReference w:id="15"/>
      </w:r>
      <w:r>
        <w:t xml:space="preserve">). </w:t>
      </w:r>
      <w:r w:rsidR="00B23D54">
        <w:t xml:space="preserve">Erisuseks see, et laiendatakse sihtrühma – teadlane ei pea ilmtingimata olema ainult Eestisse tagasipöörduv teadlane </w:t>
      </w:r>
      <w:proofErr w:type="spellStart"/>
      <w:r w:rsidR="00B23D54">
        <w:t>ETAGi</w:t>
      </w:r>
      <w:proofErr w:type="spellEnd"/>
      <w:r w:rsidR="00B23D54">
        <w:t xml:space="preserve"> toetuse mõistes. </w:t>
      </w:r>
      <w:r>
        <w:t xml:space="preserve">Oluline </w:t>
      </w:r>
      <w:r w:rsidR="00BB1A9E">
        <w:t xml:space="preserve">on </w:t>
      </w:r>
      <w:r>
        <w:t xml:space="preserve">vältida dubleerimist ja </w:t>
      </w:r>
      <w:proofErr w:type="spellStart"/>
      <w:r>
        <w:t>topeltrahastust</w:t>
      </w:r>
      <w:proofErr w:type="spellEnd"/>
      <w:r w:rsidR="00B23D54">
        <w:t>. K</w:t>
      </w:r>
      <w:r>
        <w:t xml:space="preserve">ulude hüvitamine peab olema selgelt eristatav, kui </w:t>
      </w:r>
      <w:r w:rsidR="00BB1A9E">
        <w:t xml:space="preserve">siia välismaalt tulnud </w:t>
      </w:r>
      <w:r>
        <w:t>teadlane panustab samal ajal ka mõnda teise projekti.</w:t>
      </w:r>
      <w:r w:rsidR="002B2713">
        <w:t xml:space="preserve"> Eraldiseisvat eelarvet välismaalt teadlaste Eestisse toomiseks ei eraldata, ühe valdkonna (programmi) sees antakse välja nii uurimisprojekti toetusi kui välismaalt Eestisse tuleva teadlase toetust. See, kuidas valdkonna (programmi) sees rahastus nende kahe skeemi vahel jaguneb, on vastava valdkonna (programmi) juhtkogu/ekspertkogu otsus. Rakendamise mõttes on võimalik anda </w:t>
      </w:r>
      <w:r w:rsidR="00402587">
        <w:t xml:space="preserve">välja </w:t>
      </w:r>
      <w:r w:rsidR="002B2713">
        <w:t xml:space="preserve">eraldiseisvaid </w:t>
      </w:r>
      <w:proofErr w:type="spellStart"/>
      <w:r w:rsidR="002B2713">
        <w:t>välisteadlas</w:t>
      </w:r>
      <w:r w:rsidR="003F5B93">
        <w:t>t</w:t>
      </w:r>
      <w:r w:rsidR="002B2713">
        <w:t>e</w:t>
      </w:r>
      <w:proofErr w:type="spellEnd"/>
      <w:r w:rsidR="002B2713">
        <w:t xml:space="preserve"> toetusi (st programmist rahastatavad uurimisprojektid ja </w:t>
      </w:r>
      <w:proofErr w:type="spellStart"/>
      <w:r w:rsidR="002B2713">
        <w:t>välisteadlaste</w:t>
      </w:r>
      <w:proofErr w:type="spellEnd"/>
      <w:r w:rsidR="002B2713">
        <w:t xml:space="preserve"> projektid ei ole üksteisega seotud) või üksteisega seotud toetusi (</w:t>
      </w:r>
      <w:proofErr w:type="spellStart"/>
      <w:r w:rsidR="002B2713">
        <w:t>välisteadlas</w:t>
      </w:r>
      <w:r w:rsidR="003F5B93">
        <w:t>t</w:t>
      </w:r>
      <w:r w:rsidR="002B2713">
        <w:t>e</w:t>
      </w:r>
      <w:proofErr w:type="spellEnd"/>
      <w:r w:rsidR="002B2713">
        <w:t xml:space="preserve"> projekt</w:t>
      </w:r>
      <w:r w:rsidR="003F5B93">
        <w:t>id</w:t>
      </w:r>
      <w:r w:rsidR="002B2713">
        <w:t xml:space="preserve"> on seotud programmist rahastatavate projektidega, täiendavad üksteist). Toetuse andmise tingimuste kujundamise käigus saame arutada täpseid lahendusi.</w:t>
      </w:r>
    </w:p>
    <w:p w14:paraId="1C9FB780" w14:textId="3EF25A0A" w:rsidR="00A41FDF" w:rsidRDefault="00A41FDF" w:rsidP="009150EE">
      <w:pPr>
        <w:jc w:val="both"/>
      </w:pPr>
      <w:r w:rsidRPr="00365ED9">
        <w:t xml:space="preserve">Peale nn grandiühikute kasutamise on võimalik </w:t>
      </w:r>
      <w:r w:rsidR="00BB1A9E">
        <w:t xml:space="preserve">vajadusel </w:t>
      </w:r>
      <w:r w:rsidRPr="00365ED9">
        <w:t>kasutada veel teisi lihtsustusviise (</w:t>
      </w:r>
      <w:r w:rsidR="00F0437C">
        <w:t>käsitleme läh</w:t>
      </w:r>
      <w:r>
        <w:t>emalt</w:t>
      </w:r>
      <w:r w:rsidR="00F0437C">
        <w:t xml:space="preserve"> </w:t>
      </w:r>
      <w:r>
        <w:t>toetuse andmise tingimuste kujundamise aruteludes)</w:t>
      </w:r>
      <w:r w:rsidRPr="00365ED9">
        <w:t>.</w:t>
      </w:r>
    </w:p>
    <w:p w14:paraId="39ED804A" w14:textId="196DF11D" w:rsidR="00780514" w:rsidRDefault="00780514" w:rsidP="009150EE">
      <w:pPr>
        <w:jc w:val="both"/>
      </w:pPr>
      <w:r>
        <w:t xml:space="preserve">Grandipõhise lähenemise puhul </w:t>
      </w:r>
      <w:r w:rsidR="00BB1A9E">
        <w:t xml:space="preserve">on </w:t>
      </w:r>
      <w:r w:rsidR="008D6614">
        <w:t xml:space="preserve">plaanis korraldada </w:t>
      </w:r>
      <w:r w:rsidRPr="007E444F">
        <w:rPr>
          <w:b/>
          <w:bCs/>
        </w:rPr>
        <w:t>sihtgrandi taotlusvoorud</w:t>
      </w:r>
      <w:r w:rsidR="007E444F">
        <w:t xml:space="preserve"> </w:t>
      </w:r>
      <w:r w:rsidR="007E444F" w:rsidRPr="007E444F">
        <w:rPr>
          <w:b/>
          <w:bCs/>
        </w:rPr>
        <w:t>TAIE nutika spetsialiseerumise fookusvaldkondade teekaartide</w:t>
      </w:r>
      <w:r w:rsidR="00A41FDF">
        <w:rPr>
          <w:b/>
          <w:bCs/>
        </w:rPr>
        <w:t>s</w:t>
      </w:r>
      <w:r w:rsidR="007E444F" w:rsidRPr="007E444F">
        <w:rPr>
          <w:b/>
          <w:bCs/>
        </w:rPr>
        <w:t xml:space="preserve"> kokku lepitud prioriteetsetes TA-suundades</w:t>
      </w:r>
      <w:r>
        <w:t xml:space="preserve">, </w:t>
      </w:r>
      <w:r w:rsidR="007E444F">
        <w:t xml:space="preserve">ja taotlemine toimub </w:t>
      </w:r>
      <w:r w:rsidR="006D2D63">
        <w:t>nii, et</w:t>
      </w:r>
      <w:r>
        <w:t xml:space="preserve"> hinda</w:t>
      </w:r>
      <w:r w:rsidR="007E444F">
        <w:t>mis- ja valikuprotsessis</w:t>
      </w:r>
      <w:r w:rsidR="00B23D54">
        <w:t xml:space="preserve"> (</w:t>
      </w:r>
      <w:r w:rsidR="007E444F">
        <w:t>juht</w:t>
      </w:r>
      <w:r w:rsidR="00B23D54">
        <w:t>kogud</w:t>
      </w:r>
      <w:r w:rsidR="00A41FDF">
        <w:t>/</w:t>
      </w:r>
      <w:r w:rsidR="00B23D54">
        <w:t>ekspertrühmad) on võimalik taotlusi tagasisidestada, anda soovitusi ja teha ettekirjutusi lõplike projektide kujunemiseks (nt suunata koostööle vms).</w:t>
      </w:r>
      <w:r w:rsidR="008D6614">
        <w:t xml:space="preserve"> </w:t>
      </w:r>
    </w:p>
    <w:tbl>
      <w:tblPr>
        <w:tblStyle w:val="Kontuurtabel"/>
        <w:tblW w:w="0" w:type="auto"/>
        <w:tblInd w:w="-572" w:type="dxa"/>
        <w:tblLook w:val="04A0" w:firstRow="1" w:lastRow="0" w:firstColumn="1" w:lastColumn="0" w:noHBand="0" w:noVBand="1"/>
      </w:tblPr>
      <w:tblGrid>
        <w:gridCol w:w="3172"/>
        <w:gridCol w:w="2270"/>
        <w:gridCol w:w="2096"/>
        <w:gridCol w:w="2096"/>
      </w:tblGrid>
      <w:tr w:rsidR="009150EE" w:rsidRPr="00286CBB" w14:paraId="298030C1" w14:textId="77777777" w:rsidTr="00254EC3">
        <w:tc>
          <w:tcPr>
            <w:tcW w:w="9634" w:type="dxa"/>
            <w:gridSpan w:val="4"/>
          </w:tcPr>
          <w:p w14:paraId="5DDE055A" w14:textId="56BE0AC1" w:rsidR="009150EE" w:rsidRPr="00286CBB" w:rsidRDefault="009150EE" w:rsidP="009150EE">
            <w:pPr>
              <w:jc w:val="center"/>
              <w:rPr>
                <w:b/>
                <w:bCs/>
              </w:rPr>
            </w:pPr>
            <w:r w:rsidRPr="00286CBB">
              <w:rPr>
                <w:b/>
                <w:bCs/>
              </w:rPr>
              <w:t>Temaatiliste TA-programmide eelarve</w:t>
            </w:r>
          </w:p>
        </w:tc>
      </w:tr>
      <w:tr w:rsidR="00F86C9D" w:rsidRPr="00286CBB" w14:paraId="7C10739B" w14:textId="6A0EF168" w:rsidTr="001C4CBB">
        <w:tc>
          <w:tcPr>
            <w:tcW w:w="3172" w:type="dxa"/>
            <w:vMerge w:val="restart"/>
          </w:tcPr>
          <w:p w14:paraId="165BC012" w14:textId="2E3B7B3B" w:rsidR="00F86C9D" w:rsidRPr="00286CBB" w:rsidRDefault="00F86C9D" w:rsidP="001C4CBB">
            <w:pPr>
              <w:rPr>
                <w:b/>
                <w:bCs/>
              </w:rPr>
            </w:pPr>
            <w:r w:rsidRPr="00286CBB">
              <w:rPr>
                <w:b/>
                <w:bCs/>
              </w:rPr>
              <w:t>Temaatiliste teadus- ja arendustegevuse programmide rakendamine akadeemilise, era- ja avaliku sektori koosloome ja koostöö edendamiseks nutika spetsialiseerumise valdkondades</w:t>
            </w:r>
          </w:p>
        </w:tc>
        <w:tc>
          <w:tcPr>
            <w:tcW w:w="2270" w:type="dxa"/>
          </w:tcPr>
          <w:p w14:paraId="58E427A9" w14:textId="2B96BDDD" w:rsidR="00F86C9D" w:rsidRPr="00286CBB" w:rsidRDefault="00F86C9D" w:rsidP="001C4CBB">
            <w:pPr>
              <w:rPr>
                <w:b/>
                <w:bCs/>
              </w:rPr>
            </w:pPr>
            <w:r w:rsidRPr="00286CBB">
              <w:rPr>
                <w:b/>
                <w:bCs/>
              </w:rPr>
              <w:t>EL toetus EUR (70%)</w:t>
            </w:r>
          </w:p>
        </w:tc>
        <w:tc>
          <w:tcPr>
            <w:tcW w:w="2096" w:type="dxa"/>
          </w:tcPr>
          <w:p w14:paraId="7E0105EA" w14:textId="77777777" w:rsidR="00F86C9D" w:rsidRPr="00286CBB" w:rsidRDefault="00F86C9D" w:rsidP="00F86C9D">
            <w:pPr>
              <w:rPr>
                <w:b/>
                <w:bCs/>
              </w:rPr>
            </w:pPr>
            <w:r w:rsidRPr="00286CBB">
              <w:rPr>
                <w:b/>
                <w:bCs/>
              </w:rPr>
              <w:t>Riiklik kaasfinantseering</w:t>
            </w:r>
          </w:p>
          <w:p w14:paraId="0D8DF235" w14:textId="199180A5" w:rsidR="00F86C9D" w:rsidRPr="00286CBB" w:rsidRDefault="00F86C9D" w:rsidP="00F86C9D">
            <w:pPr>
              <w:rPr>
                <w:b/>
                <w:bCs/>
              </w:rPr>
            </w:pPr>
            <w:r w:rsidRPr="00286CBB">
              <w:rPr>
                <w:b/>
                <w:bCs/>
              </w:rPr>
              <w:t>+</w:t>
            </w:r>
          </w:p>
          <w:p w14:paraId="43D27648" w14:textId="265BCB79" w:rsidR="00F86C9D" w:rsidRPr="00286CBB" w:rsidRDefault="00F86C9D" w:rsidP="00F86C9D">
            <w:pPr>
              <w:rPr>
                <w:b/>
                <w:bCs/>
              </w:rPr>
            </w:pPr>
            <w:r w:rsidRPr="00286CBB">
              <w:rPr>
                <w:b/>
                <w:bCs/>
              </w:rPr>
              <w:t>omafinantseering (30%)</w:t>
            </w:r>
          </w:p>
        </w:tc>
        <w:tc>
          <w:tcPr>
            <w:tcW w:w="2096" w:type="dxa"/>
          </w:tcPr>
          <w:p w14:paraId="5A50017D" w14:textId="726E48A5" w:rsidR="00F86C9D" w:rsidRPr="00286CBB" w:rsidRDefault="00F86C9D" w:rsidP="001C4CBB">
            <w:pPr>
              <w:rPr>
                <w:b/>
                <w:bCs/>
              </w:rPr>
            </w:pPr>
            <w:r w:rsidRPr="00286CBB">
              <w:rPr>
                <w:b/>
                <w:bCs/>
              </w:rPr>
              <w:t>KOKKU (100%)</w:t>
            </w:r>
          </w:p>
        </w:tc>
      </w:tr>
      <w:tr w:rsidR="00F86C9D" w:rsidRPr="00286CBB" w14:paraId="196755D1" w14:textId="4A560907" w:rsidTr="009150EE">
        <w:tc>
          <w:tcPr>
            <w:tcW w:w="3172" w:type="dxa"/>
            <w:vMerge/>
          </w:tcPr>
          <w:p w14:paraId="1E2FFE24" w14:textId="77777777" w:rsidR="00F86C9D" w:rsidRPr="00286CBB" w:rsidRDefault="00F86C9D" w:rsidP="00780514">
            <w:pPr>
              <w:rPr>
                <w:b/>
                <w:bCs/>
              </w:rPr>
            </w:pPr>
          </w:p>
        </w:tc>
        <w:tc>
          <w:tcPr>
            <w:tcW w:w="2270" w:type="dxa"/>
            <w:shd w:val="clear" w:color="auto" w:fill="BDD6EE" w:themeFill="accent5" w:themeFillTint="66"/>
          </w:tcPr>
          <w:p w14:paraId="3235763B" w14:textId="4FCCDD69" w:rsidR="00F86C9D" w:rsidRPr="00286CBB" w:rsidRDefault="00F86C9D" w:rsidP="00780514">
            <w:pPr>
              <w:rPr>
                <w:b/>
                <w:bCs/>
              </w:rPr>
            </w:pPr>
            <w:r w:rsidRPr="00286CBB">
              <w:rPr>
                <w:b/>
                <w:bCs/>
              </w:rPr>
              <w:t>70 000 000</w:t>
            </w:r>
          </w:p>
        </w:tc>
        <w:tc>
          <w:tcPr>
            <w:tcW w:w="2096" w:type="dxa"/>
            <w:shd w:val="clear" w:color="auto" w:fill="BDD6EE" w:themeFill="accent5" w:themeFillTint="66"/>
          </w:tcPr>
          <w:p w14:paraId="48059664" w14:textId="18CCD0BF" w:rsidR="00F86C9D" w:rsidRPr="00286CBB" w:rsidRDefault="00F86C9D" w:rsidP="00780514">
            <w:pPr>
              <w:rPr>
                <w:b/>
                <w:bCs/>
              </w:rPr>
            </w:pPr>
            <w:r w:rsidRPr="00286CBB">
              <w:rPr>
                <w:b/>
                <w:bCs/>
              </w:rPr>
              <w:t>30 000 000</w:t>
            </w:r>
          </w:p>
        </w:tc>
        <w:tc>
          <w:tcPr>
            <w:tcW w:w="2096" w:type="dxa"/>
            <w:shd w:val="clear" w:color="auto" w:fill="BDD6EE" w:themeFill="accent5" w:themeFillTint="66"/>
          </w:tcPr>
          <w:p w14:paraId="261FDBC3" w14:textId="0DFBE259" w:rsidR="00F86C9D" w:rsidRPr="00286CBB" w:rsidRDefault="00F86C9D" w:rsidP="00780514">
            <w:pPr>
              <w:rPr>
                <w:b/>
                <w:bCs/>
              </w:rPr>
            </w:pPr>
            <w:r w:rsidRPr="00286CBB">
              <w:rPr>
                <w:b/>
                <w:bCs/>
              </w:rPr>
              <w:t>100 000 000</w:t>
            </w:r>
          </w:p>
          <w:p w14:paraId="61A52B9B" w14:textId="3501EE4D" w:rsidR="00F86C9D" w:rsidRPr="00286CBB" w:rsidRDefault="00F86C9D" w:rsidP="00780514">
            <w:pPr>
              <w:rPr>
                <w:b/>
                <w:bCs/>
              </w:rPr>
            </w:pPr>
          </w:p>
        </w:tc>
      </w:tr>
    </w:tbl>
    <w:p w14:paraId="6E2B61EE" w14:textId="77777777" w:rsidR="003279EC" w:rsidRPr="003279EC" w:rsidRDefault="003279EC" w:rsidP="003279EC">
      <w:pPr>
        <w:pStyle w:val="Loendilik"/>
        <w:spacing w:after="0" w:line="240" w:lineRule="auto"/>
        <w:ind w:left="360"/>
        <w:jc w:val="both"/>
        <w:rPr>
          <w:rFonts w:eastAsia="Times New Roman" w:cstheme="minorHAnsi"/>
          <w:highlight w:val="yellow"/>
        </w:rPr>
      </w:pPr>
    </w:p>
    <w:p w14:paraId="41A46F4E" w14:textId="63830FCD" w:rsidR="003F5B93" w:rsidRPr="00402587" w:rsidRDefault="003F5B93" w:rsidP="003F5B93">
      <w:pPr>
        <w:pStyle w:val="Loendilik"/>
        <w:numPr>
          <w:ilvl w:val="0"/>
          <w:numId w:val="11"/>
        </w:numPr>
        <w:spacing w:after="0" w:line="240" w:lineRule="auto"/>
        <w:jc w:val="both"/>
        <w:rPr>
          <w:rFonts w:eastAsia="Times New Roman" w:cstheme="minorHAnsi"/>
        </w:rPr>
      </w:pPr>
      <w:r w:rsidRPr="00402587">
        <w:rPr>
          <w:rFonts w:eastAsia="Times New Roman" w:cstheme="minorHAnsi"/>
        </w:rPr>
        <w:t>Meetme vahendid jagunevad kahe perioodi vahel</w:t>
      </w:r>
      <w:r w:rsidRPr="00402587">
        <w:rPr>
          <w:rFonts w:eastAsia="Times New Roman" w:cstheme="minorHAnsi"/>
          <w:b/>
          <w:bCs/>
        </w:rPr>
        <w:t xml:space="preserve">. Esimeses perioodis, mille rahastamise tingimusi praegu kujundame,  jagatakse välja 57 mln eurot (sh EL panus 39,3 mln eurot) </w:t>
      </w:r>
      <w:r w:rsidRPr="00402587">
        <w:rPr>
          <w:rFonts w:eastAsia="Times New Roman" w:cstheme="minorHAnsi"/>
        </w:rPr>
        <w:t>kuni fookusvaldkondade teekaartide uuendamiseni (2025</w:t>
      </w:r>
      <w:r w:rsidR="0028244F" w:rsidRPr="00402587">
        <w:rPr>
          <w:rFonts w:eastAsia="Times New Roman" w:cstheme="minorHAnsi"/>
        </w:rPr>
        <w:t>.</w:t>
      </w:r>
      <w:r w:rsidRPr="00402587">
        <w:rPr>
          <w:rFonts w:eastAsia="Times New Roman" w:cstheme="minorHAnsi"/>
        </w:rPr>
        <w:t>-2026. a)</w:t>
      </w:r>
      <w:r w:rsidR="00402587" w:rsidRPr="00402587">
        <w:rPr>
          <w:rFonts w:eastAsia="Times New Roman" w:cstheme="minorHAnsi"/>
        </w:rPr>
        <w:t>.</w:t>
      </w:r>
      <w:r w:rsidRPr="00402587">
        <w:rPr>
          <w:rFonts w:eastAsia="Times New Roman" w:cstheme="minorHAnsi"/>
        </w:rPr>
        <w:t xml:space="preserve"> </w:t>
      </w:r>
      <w:r w:rsidR="00402587" w:rsidRPr="00402587">
        <w:rPr>
          <w:rFonts w:eastAsia="Times New Roman" w:cstheme="minorHAnsi"/>
        </w:rPr>
        <w:t>M</w:t>
      </w:r>
      <w:r w:rsidRPr="00402587">
        <w:rPr>
          <w:rFonts w:eastAsia="Times New Roman" w:cstheme="minorHAnsi"/>
        </w:rPr>
        <w:t xml:space="preserve">eetme teise perioodi vajadused, rahastamismahud ja tingimused </w:t>
      </w:r>
      <w:r w:rsidR="00402587">
        <w:rPr>
          <w:rFonts w:eastAsia="Times New Roman" w:cstheme="minorHAnsi"/>
        </w:rPr>
        <w:t>selguvad ja kujundatakse pärast</w:t>
      </w:r>
      <w:r w:rsidRPr="00402587">
        <w:rPr>
          <w:rFonts w:eastAsia="Times New Roman" w:cstheme="minorHAnsi"/>
        </w:rPr>
        <w:t xml:space="preserve"> fookusvaldkondade teekaartide uuendamis</w:t>
      </w:r>
      <w:r w:rsidR="00402587">
        <w:rPr>
          <w:rFonts w:eastAsia="Times New Roman" w:cstheme="minorHAnsi"/>
        </w:rPr>
        <w:t>t</w:t>
      </w:r>
      <w:r w:rsidRPr="00402587">
        <w:rPr>
          <w:rFonts w:eastAsia="Times New Roman" w:cstheme="minorHAnsi"/>
        </w:rPr>
        <w:t>.</w:t>
      </w:r>
    </w:p>
    <w:p w14:paraId="36E3690E" w14:textId="2AF7A5CA" w:rsidR="001C4CBB" w:rsidRPr="00C01E04" w:rsidRDefault="001C4CBB" w:rsidP="001C4CBB">
      <w:pPr>
        <w:pStyle w:val="Loendilik"/>
        <w:numPr>
          <w:ilvl w:val="0"/>
          <w:numId w:val="11"/>
        </w:numPr>
        <w:spacing w:after="0" w:line="240" w:lineRule="auto"/>
        <w:jc w:val="both"/>
        <w:rPr>
          <w:rFonts w:eastAsia="Times New Roman" w:cstheme="minorHAnsi"/>
        </w:rPr>
      </w:pPr>
      <w:r w:rsidRPr="00C01E04">
        <w:rPr>
          <w:rFonts w:eastAsia="Times New Roman" w:cstheme="minorHAnsi"/>
        </w:rPr>
        <w:t xml:space="preserve">Eelarve jaotus programmide vahel on tinglik ja esmane, ettepanek proportsioonide jaotuseks on tehtud </w:t>
      </w:r>
      <w:r w:rsidRPr="00C01E04">
        <w:rPr>
          <w:rFonts w:eastAsia="Times New Roman" w:cstheme="minorHAnsi"/>
          <w:b/>
          <w:bCs/>
        </w:rPr>
        <w:t xml:space="preserve">võrdse jagamisega programmide vahel (seitse </w:t>
      </w:r>
      <w:r w:rsidR="00B00765" w:rsidRPr="00C01E04">
        <w:rPr>
          <w:rFonts w:eastAsia="Times New Roman" w:cstheme="minorHAnsi"/>
          <w:b/>
          <w:bCs/>
        </w:rPr>
        <w:t xml:space="preserve">temaatilist </w:t>
      </w:r>
      <w:r w:rsidRPr="00C01E04">
        <w:rPr>
          <w:rFonts w:eastAsia="Times New Roman" w:cstheme="minorHAnsi"/>
          <w:b/>
          <w:bCs/>
        </w:rPr>
        <w:t xml:space="preserve">programmi). </w:t>
      </w:r>
      <w:r w:rsidRPr="00C01E04">
        <w:rPr>
          <w:rFonts w:eastAsia="Times New Roman" w:cstheme="minorHAnsi"/>
        </w:rPr>
        <w:t xml:space="preserve">See teeb programmi kohta kokku </w:t>
      </w:r>
      <w:r w:rsidR="00B00765" w:rsidRPr="00C01E04">
        <w:rPr>
          <w:rFonts w:eastAsia="Times New Roman" w:cstheme="minorHAnsi"/>
        </w:rPr>
        <w:t xml:space="preserve">(sh elluviija tegevused) </w:t>
      </w:r>
      <w:r w:rsidRPr="00C01E04">
        <w:rPr>
          <w:rFonts w:eastAsia="Times New Roman" w:cstheme="minorHAnsi"/>
        </w:rPr>
        <w:t xml:space="preserve">ca </w:t>
      </w:r>
      <w:r w:rsidR="00B00765" w:rsidRPr="00C01E04">
        <w:rPr>
          <w:rFonts w:eastAsia="Times New Roman" w:cstheme="minorHAnsi"/>
        </w:rPr>
        <w:t>8</w:t>
      </w:r>
      <w:r w:rsidRPr="00C01E04">
        <w:rPr>
          <w:rFonts w:eastAsia="Times New Roman" w:cstheme="minorHAnsi"/>
        </w:rPr>
        <w:t xml:space="preserve"> mln eurot (sh ca 5,</w:t>
      </w:r>
      <w:r w:rsidR="00B00765" w:rsidRPr="00C01E04">
        <w:rPr>
          <w:rFonts w:eastAsia="Times New Roman" w:cstheme="minorHAnsi"/>
        </w:rPr>
        <w:t>7</w:t>
      </w:r>
      <w:r w:rsidRPr="00C01E04">
        <w:rPr>
          <w:rFonts w:eastAsia="Times New Roman" w:cstheme="minorHAnsi"/>
        </w:rPr>
        <w:t xml:space="preserve"> mln EL panus). </w:t>
      </w:r>
    </w:p>
    <w:p w14:paraId="2C79F752" w14:textId="6DBD6435" w:rsidR="008D6614" w:rsidRDefault="008D6614" w:rsidP="008D6614">
      <w:pPr>
        <w:pStyle w:val="Loendilik"/>
        <w:numPr>
          <w:ilvl w:val="0"/>
          <w:numId w:val="11"/>
        </w:numPr>
        <w:spacing w:after="0" w:line="240" w:lineRule="auto"/>
        <w:jc w:val="both"/>
        <w:rPr>
          <w:rFonts w:eastAsia="Times New Roman" w:cstheme="minorHAnsi"/>
        </w:rPr>
      </w:pPr>
      <w:r w:rsidRPr="0063471D">
        <w:rPr>
          <w:rFonts w:eastAsia="Times New Roman" w:cstheme="minorHAnsi"/>
          <w:b/>
          <w:bCs/>
        </w:rPr>
        <w:lastRenderedPageBreak/>
        <w:t>Elluviija tegevuste jaoks</w:t>
      </w:r>
      <w:r w:rsidRPr="0063471D">
        <w:rPr>
          <w:rFonts w:eastAsia="Times New Roman" w:cstheme="minorHAnsi"/>
        </w:rPr>
        <w:t xml:space="preserve"> </w:t>
      </w:r>
      <w:r w:rsidR="00C01E04">
        <w:rPr>
          <w:rFonts w:eastAsia="Times New Roman" w:cstheme="minorHAnsi"/>
        </w:rPr>
        <w:t xml:space="preserve">(ETAG, HARNO, EIS programmijuhtimine, teavitus- ja koordinatsioonitegevused) </w:t>
      </w:r>
      <w:r w:rsidRPr="0063471D">
        <w:rPr>
          <w:rFonts w:eastAsia="Times New Roman" w:cstheme="minorHAnsi"/>
        </w:rPr>
        <w:t>on hetkel arvestatud kuni 5% programmide mahust</w:t>
      </w:r>
      <w:r w:rsidR="00C01E04">
        <w:rPr>
          <w:rFonts w:eastAsia="Times New Roman" w:cstheme="minorHAnsi"/>
        </w:rPr>
        <w:t>, st</w:t>
      </w:r>
      <w:r w:rsidR="0019351C">
        <w:rPr>
          <w:rFonts w:eastAsia="Times New Roman" w:cstheme="minorHAnsi"/>
        </w:rPr>
        <w:t xml:space="preserve"> maksimaalselt</w:t>
      </w:r>
      <w:r w:rsidR="00C01E04">
        <w:rPr>
          <w:rFonts w:eastAsia="Times New Roman" w:cstheme="minorHAnsi"/>
        </w:rPr>
        <w:t xml:space="preserve"> </w:t>
      </w:r>
      <w:r w:rsidR="001C4CBB">
        <w:rPr>
          <w:rFonts w:eastAsia="Times New Roman" w:cstheme="minorHAnsi"/>
        </w:rPr>
        <w:t>ca 400 000 euro</w:t>
      </w:r>
      <w:r w:rsidR="00C01E04">
        <w:rPr>
          <w:rFonts w:eastAsia="Times New Roman" w:cstheme="minorHAnsi"/>
        </w:rPr>
        <w:t>t</w:t>
      </w:r>
      <w:r w:rsidR="001C4CBB">
        <w:rPr>
          <w:rFonts w:eastAsia="Times New Roman" w:cstheme="minorHAnsi"/>
        </w:rPr>
        <w:t xml:space="preserve"> programmi kohta</w:t>
      </w:r>
      <w:r w:rsidR="00C01E04">
        <w:rPr>
          <w:rFonts w:eastAsia="Times New Roman" w:cstheme="minorHAnsi"/>
        </w:rPr>
        <w:t>. T</w:t>
      </w:r>
      <w:r w:rsidRPr="0063471D">
        <w:rPr>
          <w:rFonts w:eastAsia="Times New Roman" w:cstheme="minorHAnsi"/>
        </w:rPr>
        <w:t xml:space="preserve">äpsemad </w:t>
      </w:r>
      <w:r w:rsidR="00C01E04">
        <w:rPr>
          <w:rFonts w:eastAsia="Times New Roman" w:cstheme="minorHAnsi"/>
        </w:rPr>
        <w:t xml:space="preserve">rollid, </w:t>
      </w:r>
      <w:r w:rsidR="0019351C">
        <w:rPr>
          <w:rFonts w:eastAsia="Times New Roman" w:cstheme="minorHAnsi"/>
        </w:rPr>
        <w:t xml:space="preserve">rahastuse </w:t>
      </w:r>
      <w:r w:rsidRPr="0063471D">
        <w:rPr>
          <w:rFonts w:eastAsia="Times New Roman" w:cstheme="minorHAnsi"/>
        </w:rPr>
        <w:t>mahud ja proportsioonid</w:t>
      </w:r>
      <w:r w:rsidR="00C01E04">
        <w:rPr>
          <w:rFonts w:eastAsia="Times New Roman" w:cstheme="minorHAnsi"/>
        </w:rPr>
        <w:t xml:space="preserve"> tegevuste osas</w:t>
      </w:r>
      <w:r w:rsidRPr="0063471D">
        <w:rPr>
          <w:rFonts w:eastAsia="Times New Roman" w:cstheme="minorHAnsi"/>
        </w:rPr>
        <w:t xml:space="preserve"> selguvad.</w:t>
      </w:r>
    </w:p>
    <w:p w14:paraId="0982DCC8" w14:textId="6199F262" w:rsidR="00C01E04" w:rsidRPr="00C01E04" w:rsidRDefault="00402587" w:rsidP="008D6614">
      <w:pPr>
        <w:pStyle w:val="Loendilik"/>
        <w:numPr>
          <w:ilvl w:val="0"/>
          <w:numId w:val="11"/>
        </w:numPr>
        <w:spacing w:after="0" w:line="240" w:lineRule="auto"/>
        <w:jc w:val="both"/>
        <w:rPr>
          <w:rFonts w:eastAsia="Times New Roman" w:cstheme="minorHAnsi"/>
        </w:rPr>
      </w:pPr>
      <w:r>
        <w:rPr>
          <w:rFonts w:eastAsia="Times New Roman" w:cstheme="minorHAnsi"/>
          <w:b/>
          <w:bCs/>
        </w:rPr>
        <w:t>Uurimisg</w:t>
      </w:r>
      <w:r w:rsidR="00C01E04">
        <w:rPr>
          <w:rFonts w:eastAsia="Times New Roman" w:cstheme="minorHAnsi"/>
          <w:b/>
          <w:bCs/>
        </w:rPr>
        <w:t xml:space="preserve">rantidele jagatav toetus </w:t>
      </w:r>
      <w:r w:rsidR="00C01E04" w:rsidRPr="00C01E04">
        <w:rPr>
          <w:rFonts w:eastAsia="Times New Roman" w:cstheme="minorHAnsi"/>
        </w:rPr>
        <w:t>on sellest tulenevalt ca 7,7 mln eurot programmi kohta</w:t>
      </w:r>
      <w:r w:rsidR="00C01E04">
        <w:rPr>
          <w:rFonts w:eastAsia="Times New Roman" w:cstheme="minorHAnsi"/>
        </w:rPr>
        <w:t xml:space="preserve"> (sh ca 5,4 mln eurot EL panus)</w:t>
      </w:r>
      <w:r w:rsidR="00C01E04" w:rsidRPr="00C01E04">
        <w:rPr>
          <w:rFonts w:eastAsia="Times New Roman" w:cstheme="minorHAnsi"/>
        </w:rPr>
        <w:t>.</w:t>
      </w:r>
    </w:p>
    <w:p w14:paraId="5E11CE11" w14:textId="031DC646" w:rsidR="008D6614" w:rsidRPr="00F018A1" w:rsidRDefault="008D6614" w:rsidP="008D6614">
      <w:pPr>
        <w:pStyle w:val="Loendilik"/>
        <w:numPr>
          <w:ilvl w:val="0"/>
          <w:numId w:val="11"/>
        </w:numPr>
        <w:spacing w:after="0" w:line="240" w:lineRule="auto"/>
        <w:jc w:val="both"/>
        <w:rPr>
          <w:rFonts w:eastAsia="Times New Roman" w:cstheme="minorHAnsi"/>
        </w:rPr>
      </w:pPr>
      <w:r w:rsidRPr="0063471D">
        <w:rPr>
          <w:b/>
          <w:bCs/>
        </w:rPr>
        <w:t>Riikliku kaasfinantseeringu ja omafinantseeringu proportsioonid</w:t>
      </w:r>
      <w:r w:rsidRPr="0063471D">
        <w:t xml:space="preserve"> selguvad, kui tegevuste jaotus saab lõplikult paika. Kokku peavad need </w:t>
      </w:r>
      <w:r w:rsidR="00A41FDF">
        <w:t>meetme</w:t>
      </w:r>
      <w:r w:rsidRPr="0063471D">
        <w:t xml:space="preserve"> tasemel andma 30%. Tegevustel võivad olla erinevad omafinantseeringu määrad ja teatud tegevuste puhul omafinantseeringut ei nõuta (nt elluviija tegevused), oluline on, et kaas- ja omafinantseeringu määr 30% oleks </w:t>
      </w:r>
      <w:r w:rsidR="00A41FDF">
        <w:t>meetme</w:t>
      </w:r>
      <w:r w:rsidRPr="0063471D">
        <w:t xml:space="preserve"> tasemel tagatud.</w:t>
      </w:r>
    </w:p>
    <w:p w14:paraId="7885695B" w14:textId="77777777" w:rsidR="00286CBB" w:rsidRDefault="00286CBB" w:rsidP="00286CBB">
      <w:pPr>
        <w:spacing w:after="0" w:line="240" w:lineRule="auto"/>
        <w:jc w:val="both"/>
        <w:rPr>
          <w:rFonts w:eastAsia="Times New Roman" w:cstheme="minorHAnsi"/>
          <w:b/>
          <w:bCs/>
        </w:rPr>
      </w:pPr>
    </w:p>
    <w:p w14:paraId="221F3173" w14:textId="427D6D0C" w:rsidR="00286CBB" w:rsidRPr="00387C56" w:rsidRDefault="00286CBB" w:rsidP="00286CBB">
      <w:pPr>
        <w:spacing w:after="0" w:line="240" w:lineRule="auto"/>
        <w:jc w:val="both"/>
        <w:rPr>
          <w:rFonts w:eastAsia="Times New Roman" w:cstheme="minorHAnsi"/>
          <w:b/>
          <w:bCs/>
          <w:i/>
          <w:iCs/>
        </w:rPr>
      </w:pPr>
      <w:r w:rsidRPr="00387C56">
        <w:rPr>
          <w:rFonts w:eastAsia="Times New Roman" w:cstheme="minorHAnsi"/>
          <w:b/>
          <w:bCs/>
          <w:i/>
          <w:iCs/>
          <w:color w:val="FF0000"/>
        </w:rPr>
        <w:t>NB! Kuniks lõplikult pole eelarve jaotust arutatud ja kokku lepitud, võivad programmide ja tegevuste vahelised proportsioonid muutuda.</w:t>
      </w:r>
    </w:p>
    <w:p w14:paraId="3D228AA2" w14:textId="77777777" w:rsidR="008D6614" w:rsidRDefault="008D6614" w:rsidP="00780514"/>
    <w:p w14:paraId="2D05BFCF" w14:textId="0153A182" w:rsidR="001A6DBF" w:rsidRPr="00B23D54" w:rsidRDefault="00B23D54" w:rsidP="00B23D54">
      <w:pPr>
        <w:rPr>
          <w:b/>
          <w:bCs/>
          <w:color w:val="0070C0"/>
          <w:sz w:val="28"/>
          <w:szCs w:val="28"/>
        </w:rPr>
      </w:pPr>
      <w:r w:rsidRPr="00B23D54">
        <w:rPr>
          <w:b/>
          <w:bCs/>
          <w:color w:val="0070C0"/>
          <w:sz w:val="28"/>
          <w:szCs w:val="28"/>
        </w:rPr>
        <w:t>Tegevuste juhtimine</w:t>
      </w:r>
    </w:p>
    <w:p w14:paraId="41639572" w14:textId="1630A7B6" w:rsidR="00B23D54" w:rsidRPr="00874107" w:rsidRDefault="00DB6493" w:rsidP="00136708">
      <w:pPr>
        <w:pStyle w:val="Loendilik"/>
        <w:numPr>
          <w:ilvl w:val="0"/>
          <w:numId w:val="9"/>
        </w:numPr>
        <w:ind w:left="360"/>
        <w:jc w:val="both"/>
      </w:pPr>
      <w:r w:rsidRPr="00874107">
        <w:t>P</w:t>
      </w:r>
      <w:r w:rsidR="00B23D54" w:rsidRPr="00874107">
        <w:t xml:space="preserve">rogrammide tegevusi juhivad valdkondlikud </w:t>
      </w:r>
      <w:r w:rsidRPr="00874107">
        <w:t>juhtkogud/</w:t>
      </w:r>
      <w:r w:rsidR="00B23D54" w:rsidRPr="00874107">
        <w:t>ekspertko</w:t>
      </w:r>
      <w:r w:rsidR="00A41FDF" w:rsidRPr="00874107">
        <w:t>gud</w:t>
      </w:r>
      <w:r w:rsidR="00B23D54" w:rsidRPr="00874107">
        <w:t>, millesse kuuluvad ministeeriumide, valdkonna erialaliitude, ettevõtete ja avaliku sektori asutuste esindajad.</w:t>
      </w:r>
      <w:r w:rsidRPr="00874107">
        <w:t xml:space="preserve"> Programmi „Digilahendused igas eluvaldkonnas“ elluviimisel </w:t>
      </w:r>
      <w:r w:rsidR="006D2D63" w:rsidRPr="00874107">
        <w:t>toetutakse</w:t>
      </w:r>
      <w:r w:rsidRPr="00874107">
        <w:t xml:space="preserve"> olemasoleva</w:t>
      </w:r>
      <w:r w:rsidR="006D2D63" w:rsidRPr="00874107">
        <w:t>le</w:t>
      </w:r>
      <w:r w:rsidRPr="00874107">
        <w:t xml:space="preserve"> IT Akadeemia platvormi</w:t>
      </w:r>
      <w:r w:rsidR="006D2D63" w:rsidRPr="00874107">
        <w:t>le</w:t>
      </w:r>
      <w:r w:rsidRPr="00874107">
        <w:t>, sh IT Akadeemia juhtkomisjoni</w:t>
      </w:r>
      <w:r w:rsidR="006D2D63" w:rsidRPr="00874107">
        <w:t>le</w:t>
      </w:r>
      <w:r w:rsidRPr="00874107">
        <w:t xml:space="preserve"> ja võrgustik</w:t>
      </w:r>
      <w:r w:rsidR="006D2D63" w:rsidRPr="00874107">
        <w:t>ele</w:t>
      </w:r>
      <w:r w:rsidR="005448F5" w:rsidRPr="00874107">
        <w:t xml:space="preserve"> (HARNO tegevuste kaudu)</w:t>
      </w:r>
      <w:r w:rsidRPr="00874107">
        <w:t>.</w:t>
      </w:r>
      <w:r w:rsidR="00B23D54" w:rsidRPr="00874107">
        <w:t xml:space="preserve"> </w:t>
      </w:r>
      <w:r w:rsidR="005448F5" w:rsidRPr="00874107">
        <w:t xml:space="preserve">See võimaldab vaadata tegevusi sünergias teiste IT Akadeemia ja </w:t>
      </w:r>
      <w:r w:rsidR="00402587" w:rsidRPr="00874107">
        <w:t xml:space="preserve">kavandatava </w:t>
      </w:r>
      <w:r w:rsidR="005448F5" w:rsidRPr="00874107">
        <w:t>Inseneriakadeemia tegevustega (sh valdkonna kõrg- ja kutsehariduse suuna tegevused jms).</w:t>
      </w:r>
    </w:p>
    <w:p w14:paraId="4E4C1243" w14:textId="2332EC50" w:rsidR="00B23D54" w:rsidRDefault="00B23D54" w:rsidP="00B23D54">
      <w:pPr>
        <w:pStyle w:val="Loendilik"/>
        <w:numPr>
          <w:ilvl w:val="0"/>
          <w:numId w:val="9"/>
        </w:numPr>
        <w:ind w:left="360"/>
        <w:jc w:val="both"/>
      </w:pPr>
      <w:r w:rsidRPr="00874107">
        <w:t xml:space="preserve">TAIE juhtkomisjon – TAIE juhtkomisjoni heakskiidu ja ettepaneku alusel kinnitatakse </w:t>
      </w:r>
      <w:r w:rsidRPr="00D13BCE">
        <w:t>fookusvaldkon</w:t>
      </w:r>
      <w:r>
        <w:t>dade</w:t>
      </w:r>
      <w:r w:rsidRPr="00D13BCE">
        <w:t xml:space="preserve"> teekaardid. Fookusvaldkondade seiret korraldatakse regulaarselt ja tulemused esitatakse TAIE juhtkomisjonile iga-aastaselt koos arengukava tulemusvaldkonna, programmide ja meetmete aruandlusega.</w:t>
      </w:r>
      <w:r>
        <w:t xml:space="preserve"> </w:t>
      </w:r>
      <w:r w:rsidRPr="00C901F2">
        <w:t>TAIE juhtkomisjon täidab ühtlasi varasema nutika spetsialiseerumise juhtkomisjoni ülesandeid.</w:t>
      </w:r>
    </w:p>
    <w:p w14:paraId="31D55EDA" w14:textId="77777777" w:rsidR="001C4CBB" w:rsidRDefault="001C4CBB" w:rsidP="001C4CBB">
      <w:pPr>
        <w:rPr>
          <w:rFonts w:cstheme="minorHAnsi"/>
          <w:b/>
          <w:bCs/>
          <w:color w:val="0070C0"/>
          <w:sz w:val="28"/>
          <w:szCs w:val="28"/>
        </w:rPr>
      </w:pPr>
      <w:r>
        <w:rPr>
          <w:rFonts w:cstheme="minorHAnsi"/>
          <w:b/>
          <w:bCs/>
          <w:color w:val="0070C0"/>
          <w:sz w:val="28"/>
          <w:szCs w:val="28"/>
        </w:rPr>
        <w:t>Orienteeruv a</w:t>
      </w:r>
      <w:r w:rsidRPr="004A0FBA">
        <w:rPr>
          <w:rFonts w:cstheme="minorHAnsi"/>
          <w:b/>
          <w:bCs/>
          <w:color w:val="0070C0"/>
          <w:sz w:val="28"/>
          <w:szCs w:val="28"/>
        </w:rPr>
        <w:t>jakava</w:t>
      </w:r>
    </w:p>
    <w:tbl>
      <w:tblPr>
        <w:tblStyle w:val="Kontuurtabel"/>
        <w:tblW w:w="0" w:type="auto"/>
        <w:tblLook w:val="04A0" w:firstRow="1" w:lastRow="0" w:firstColumn="1" w:lastColumn="0" w:noHBand="0" w:noVBand="1"/>
      </w:tblPr>
      <w:tblGrid>
        <w:gridCol w:w="4531"/>
        <w:gridCol w:w="4531"/>
      </w:tblGrid>
      <w:tr w:rsidR="001C4CBB" w:rsidRPr="00286CBB" w14:paraId="5C63B4A8" w14:textId="77777777" w:rsidTr="008502AC">
        <w:tc>
          <w:tcPr>
            <w:tcW w:w="4531" w:type="dxa"/>
          </w:tcPr>
          <w:p w14:paraId="1E3FCAF0" w14:textId="77777777" w:rsidR="001C4CBB" w:rsidRDefault="001C4CBB" w:rsidP="00AA7BC9">
            <w:pPr>
              <w:rPr>
                <w:rFonts w:cstheme="minorHAnsi"/>
                <w:b/>
                <w:bCs/>
              </w:rPr>
            </w:pPr>
            <w:r w:rsidRPr="00286CBB">
              <w:rPr>
                <w:rFonts w:cstheme="minorHAnsi"/>
                <w:b/>
                <w:bCs/>
              </w:rPr>
              <w:t xml:space="preserve">Arutelud </w:t>
            </w:r>
            <w:r w:rsidR="00AA7BC9">
              <w:rPr>
                <w:rFonts w:cstheme="minorHAnsi"/>
                <w:b/>
                <w:bCs/>
              </w:rPr>
              <w:t>töörühmades</w:t>
            </w:r>
          </w:p>
          <w:p w14:paraId="0325E242" w14:textId="41BD8262" w:rsidR="00AA7BC9" w:rsidRPr="00286CBB" w:rsidRDefault="00AA7BC9" w:rsidP="00AA7BC9">
            <w:pPr>
              <w:rPr>
                <w:rFonts w:cstheme="minorHAnsi"/>
                <w:b/>
                <w:bCs/>
              </w:rPr>
            </w:pPr>
          </w:p>
        </w:tc>
        <w:tc>
          <w:tcPr>
            <w:tcW w:w="4531" w:type="dxa"/>
          </w:tcPr>
          <w:p w14:paraId="5F65B87E" w14:textId="0573401A" w:rsidR="001C4CBB" w:rsidRPr="00286CBB" w:rsidRDefault="001C4CBB" w:rsidP="008502AC">
            <w:pPr>
              <w:rPr>
                <w:rFonts w:cstheme="minorHAnsi"/>
              </w:rPr>
            </w:pPr>
            <w:r w:rsidRPr="00286CBB">
              <w:rPr>
                <w:rFonts w:cstheme="minorHAnsi"/>
              </w:rPr>
              <w:t>Jaanuar-</w:t>
            </w:r>
            <w:r w:rsidR="0064639F">
              <w:rPr>
                <w:rFonts w:cstheme="minorHAnsi"/>
              </w:rPr>
              <w:t>aprill/mai</w:t>
            </w:r>
            <w:r w:rsidRPr="00286CBB">
              <w:rPr>
                <w:rFonts w:cstheme="minorHAnsi"/>
              </w:rPr>
              <w:t xml:space="preserve"> 2023</w:t>
            </w:r>
          </w:p>
        </w:tc>
      </w:tr>
      <w:tr w:rsidR="001C4CBB" w:rsidRPr="00286CBB" w14:paraId="62BFEB98" w14:textId="77777777" w:rsidTr="008502AC">
        <w:tc>
          <w:tcPr>
            <w:tcW w:w="4531" w:type="dxa"/>
          </w:tcPr>
          <w:p w14:paraId="78167DAD" w14:textId="02C9DCDD" w:rsidR="001C4CBB" w:rsidRPr="00286CBB" w:rsidRDefault="001C4CBB" w:rsidP="008502AC">
            <w:pPr>
              <w:rPr>
                <w:rFonts w:cstheme="minorHAnsi"/>
                <w:b/>
                <w:bCs/>
              </w:rPr>
            </w:pPr>
            <w:r w:rsidRPr="00286CBB">
              <w:rPr>
                <w:rFonts w:cstheme="minorHAnsi"/>
                <w:b/>
                <w:bCs/>
              </w:rPr>
              <w:t>Eelnõu on esitatud R</w:t>
            </w:r>
            <w:r w:rsidR="00874107">
              <w:rPr>
                <w:rFonts w:cstheme="minorHAnsi"/>
                <w:b/>
                <w:bCs/>
              </w:rPr>
              <w:t>ahandusministeeriumile</w:t>
            </w:r>
            <w:r w:rsidRPr="00286CBB">
              <w:rPr>
                <w:rFonts w:cstheme="minorHAnsi"/>
                <w:b/>
                <w:bCs/>
              </w:rPr>
              <w:t>, R</w:t>
            </w:r>
            <w:r w:rsidR="00874107">
              <w:rPr>
                <w:rFonts w:cstheme="minorHAnsi"/>
                <w:b/>
                <w:bCs/>
              </w:rPr>
              <w:t>iigi Tugiteenuste Keskusele</w:t>
            </w:r>
            <w:r w:rsidRPr="00286CBB">
              <w:rPr>
                <w:rFonts w:cstheme="minorHAnsi"/>
                <w:b/>
                <w:bCs/>
              </w:rPr>
              <w:t xml:space="preserve"> ja huvirühmadele mitteametlikuks kooskõlastamiseks</w:t>
            </w:r>
          </w:p>
        </w:tc>
        <w:tc>
          <w:tcPr>
            <w:tcW w:w="4531" w:type="dxa"/>
          </w:tcPr>
          <w:p w14:paraId="11E03E3A" w14:textId="644F45B1" w:rsidR="001C4CBB" w:rsidRPr="00286CBB" w:rsidRDefault="0064639F" w:rsidP="008502AC">
            <w:pPr>
              <w:rPr>
                <w:rFonts w:cstheme="minorHAnsi"/>
              </w:rPr>
            </w:pPr>
            <w:r>
              <w:rPr>
                <w:rFonts w:cstheme="minorHAnsi"/>
              </w:rPr>
              <w:t>Aprill-mai</w:t>
            </w:r>
            <w:r w:rsidR="001C4CBB" w:rsidRPr="00286CBB">
              <w:rPr>
                <w:rFonts w:cstheme="minorHAnsi"/>
              </w:rPr>
              <w:t xml:space="preserve"> 2023</w:t>
            </w:r>
          </w:p>
        </w:tc>
      </w:tr>
      <w:tr w:rsidR="001C4CBB" w:rsidRPr="00286CBB" w14:paraId="0AAFC609" w14:textId="77777777" w:rsidTr="008502AC">
        <w:tc>
          <w:tcPr>
            <w:tcW w:w="4531" w:type="dxa"/>
          </w:tcPr>
          <w:p w14:paraId="77BE0CB8" w14:textId="77777777" w:rsidR="001C4CBB" w:rsidRPr="00286CBB" w:rsidRDefault="001C4CBB" w:rsidP="008502AC">
            <w:pPr>
              <w:rPr>
                <w:rFonts w:cstheme="minorHAnsi"/>
                <w:b/>
                <w:bCs/>
              </w:rPr>
            </w:pPr>
            <w:r w:rsidRPr="00286CBB">
              <w:rPr>
                <w:rFonts w:cstheme="minorHAnsi"/>
                <w:b/>
                <w:bCs/>
              </w:rPr>
              <w:t>Eelnõu on esitatud HTM juhtkonda</w:t>
            </w:r>
          </w:p>
          <w:p w14:paraId="50FADB44" w14:textId="77777777" w:rsidR="001C4CBB" w:rsidRPr="00286CBB" w:rsidRDefault="001C4CBB" w:rsidP="008502AC">
            <w:pPr>
              <w:rPr>
                <w:rFonts w:cstheme="minorHAnsi"/>
                <w:b/>
                <w:bCs/>
              </w:rPr>
            </w:pPr>
          </w:p>
        </w:tc>
        <w:tc>
          <w:tcPr>
            <w:tcW w:w="4531" w:type="dxa"/>
          </w:tcPr>
          <w:p w14:paraId="42BA9340" w14:textId="5651CB4A" w:rsidR="001C4CBB" w:rsidRPr="00286CBB" w:rsidRDefault="001C4CBB" w:rsidP="008502AC">
            <w:pPr>
              <w:rPr>
                <w:rFonts w:cstheme="minorHAnsi"/>
              </w:rPr>
            </w:pPr>
            <w:r w:rsidRPr="00286CBB">
              <w:rPr>
                <w:rFonts w:cstheme="minorHAnsi"/>
              </w:rPr>
              <w:t>Mai</w:t>
            </w:r>
            <w:r w:rsidR="0064639F">
              <w:rPr>
                <w:rFonts w:cstheme="minorHAnsi"/>
              </w:rPr>
              <w:t>-juuni</w:t>
            </w:r>
            <w:r w:rsidRPr="00286CBB">
              <w:rPr>
                <w:rFonts w:cstheme="minorHAnsi"/>
              </w:rPr>
              <w:t xml:space="preserve"> 2023</w:t>
            </w:r>
          </w:p>
        </w:tc>
      </w:tr>
      <w:tr w:rsidR="001C4CBB" w:rsidRPr="00286CBB" w14:paraId="12CA3A8D" w14:textId="77777777" w:rsidTr="008502AC">
        <w:tc>
          <w:tcPr>
            <w:tcW w:w="4531" w:type="dxa"/>
          </w:tcPr>
          <w:p w14:paraId="144CFB33" w14:textId="031EA00E" w:rsidR="001C4CBB" w:rsidRPr="00286CBB" w:rsidRDefault="001C4CBB" w:rsidP="008502AC">
            <w:pPr>
              <w:rPr>
                <w:rFonts w:cstheme="minorHAnsi"/>
                <w:b/>
                <w:bCs/>
              </w:rPr>
            </w:pPr>
            <w:r w:rsidRPr="00286CBB">
              <w:rPr>
                <w:rFonts w:cstheme="minorHAnsi"/>
                <w:b/>
                <w:bCs/>
              </w:rPr>
              <w:t xml:space="preserve">Eelnõu on esitatud </w:t>
            </w:r>
            <w:r w:rsidR="00874107">
              <w:rPr>
                <w:rFonts w:cstheme="minorHAnsi"/>
                <w:b/>
                <w:bCs/>
              </w:rPr>
              <w:t xml:space="preserve">eelnõude infosüsteemi </w:t>
            </w:r>
            <w:r w:rsidRPr="00286CBB">
              <w:rPr>
                <w:rFonts w:cstheme="minorHAnsi"/>
                <w:b/>
                <w:bCs/>
              </w:rPr>
              <w:t>EIS kooskõlastamisele</w:t>
            </w:r>
          </w:p>
          <w:p w14:paraId="684D8248" w14:textId="77777777" w:rsidR="001C4CBB" w:rsidRPr="00286CBB" w:rsidRDefault="001C4CBB" w:rsidP="008502AC">
            <w:pPr>
              <w:rPr>
                <w:rFonts w:cstheme="minorHAnsi"/>
                <w:b/>
                <w:bCs/>
              </w:rPr>
            </w:pPr>
          </w:p>
        </w:tc>
        <w:tc>
          <w:tcPr>
            <w:tcW w:w="4531" w:type="dxa"/>
          </w:tcPr>
          <w:p w14:paraId="008BEB30" w14:textId="712030A8" w:rsidR="001C4CBB" w:rsidRPr="00286CBB" w:rsidRDefault="001C4CBB" w:rsidP="008502AC">
            <w:pPr>
              <w:rPr>
                <w:rFonts w:cstheme="minorHAnsi"/>
              </w:rPr>
            </w:pPr>
            <w:r w:rsidRPr="00286CBB">
              <w:rPr>
                <w:rFonts w:cstheme="minorHAnsi"/>
              </w:rPr>
              <w:t>Mai</w:t>
            </w:r>
            <w:r w:rsidR="0064639F">
              <w:rPr>
                <w:rFonts w:cstheme="minorHAnsi"/>
              </w:rPr>
              <w:t>-juuni</w:t>
            </w:r>
            <w:r w:rsidRPr="00286CBB">
              <w:rPr>
                <w:rFonts w:cstheme="minorHAnsi"/>
              </w:rPr>
              <w:t xml:space="preserve"> 2023</w:t>
            </w:r>
          </w:p>
        </w:tc>
      </w:tr>
      <w:tr w:rsidR="001C4CBB" w:rsidRPr="00286CBB" w14:paraId="10837204" w14:textId="77777777" w:rsidTr="008502AC">
        <w:tc>
          <w:tcPr>
            <w:tcW w:w="4531" w:type="dxa"/>
          </w:tcPr>
          <w:p w14:paraId="7334E9D8" w14:textId="0696E7F2" w:rsidR="001C4CBB" w:rsidRPr="00286CBB" w:rsidRDefault="001C4CBB" w:rsidP="008502AC">
            <w:pPr>
              <w:rPr>
                <w:rFonts w:cstheme="minorHAnsi"/>
                <w:b/>
                <w:bCs/>
              </w:rPr>
            </w:pPr>
            <w:r w:rsidRPr="00286CBB">
              <w:rPr>
                <w:rFonts w:cstheme="minorHAnsi"/>
                <w:b/>
                <w:bCs/>
              </w:rPr>
              <w:t xml:space="preserve">Eelnõu on esitatud HTM juhtkonda kinnitamiseks ja ministrile </w:t>
            </w:r>
            <w:r w:rsidR="0064639F">
              <w:rPr>
                <w:rFonts w:cstheme="minorHAnsi"/>
                <w:b/>
                <w:bCs/>
              </w:rPr>
              <w:t>allkirjastamiseks</w:t>
            </w:r>
          </w:p>
        </w:tc>
        <w:tc>
          <w:tcPr>
            <w:tcW w:w="4531" w:type="dxa"/>
          </w:tcPr>
          <w:p w14:paraId="4FFBF8C5" w14:textId="1385A063" w:rsidR="001C4CBB" w:rsidRPr="00286CBB" w:rsidRDefault="001C4CBB" w:rsidP="008502AC">
            <w:pPr>
              <w:rPr>
                <w:rFonts w:cstheme="minorHAnsi"/>
              </w:rPr>
            </w:pPr>
            <w:r w:rsidRPr="00286CBB">
              <w:rPr>
                <w:rFonts w:cstheme="minorHAnsi"/>
              </w:rPr>
              <w:t>Juuni</w:t>
            </w:r>
            <w:r w:rsidR="0064639F">
              <w:rPr>
                <w:rFonts w:cstheme="minorHAnsi"/>
              </w:rPr>
              <w:t>-juuli</w:t>
            </w:r>
            <w:r w:rsidRPr="00286CBB">
              <w:rPr>
                <w:rFonts w:cstheme="minorHAnsi"/>
              </w:rPr>
              <w:t xml:space="preserve"> 2023</w:t>
            </w:r>
          </w:p>
        </w:tc>
      </w:tr>
    </w:tbl>
    <w:p w14:paraId="50A9A1CE" w14:textId="1BF1D759" w:rsidR="00B23D54" w:rsidRDefault="00B23D54" w:rsidP="00B23D54">
      <w:pPr>
        <w:rPr>
          <w:b/>
          <w:bCs/>
        </w:rPr>
      </w:pPr>
    </w:p>
    <w:p w14:paraId="190C20D1" w14:textId="54F7C2FE" w:rsidR="00B23D54" w:rsidRPr="00F86C9D" w:rsidRDefault="00F86C9D" w:rsidP="00F86C9D">
      <w:pPr>
        <w:rPr>
          <w:b/>
          <w:bCs/>
          <w:color w:val="0070C0"/>
          <w:sz w:val="28"/>
          <w:szCs w:val="28"/>
        </w:rPr>
      </w:pPr>
      <w:r w:rsidRPr="00F86C9D">
        <w:rPr>
          <w:b/>
          <w:bCs/>
          <w:color w:val="0070C0"/>
          <w:sz w:val="28"/>
          <w:szCs w:val="28"/>
        </w:rPr>
        <w:t>Kontaktid</w:t>
      </w:r>
    </w:p>
    <w:p w14:paraId="40007041" w14:textId="376E708B" w:rsidR="00F86C9D" w:rsidRDefault="00F86C9D" w:rsidP="00F86C9D">
      <w:r>
        <w:t xml:space="preserve">Hella Lood </w:t>
      </w:r>
      <w:hyperlink r:id="rId11" w:history="1">
        <w:r w:rsidRPr="00D16EB5">
          <w:rPr>
            <w:rStyle w:val="Hperlink"/>
          </w:rPr>
          <w:t>hella.lood@hm.ee</w:t>
        </w:r>
      </w:hyperlink>
    </w:p>
    <w:p w14:paraId="47D380B1" w14:textId="49A21D80" w:rsidR="00F86C9D" w:rsidRDefault="00F86C9D" w:rsidP="00F86C9D">
      <w:r>
        <w:t xml:space="preserve">Julia Rosend </w:t>
      </w:r>
      <w:hyperlink r:id="rId12" w:history="1">
        <w:r w:rsidRPr="00D16EB5">
          <w:rPr>
            <w:rStyle w:val="Hperlink"/>
          </w:rPr>
          <w:t>julia.rosend@hm.ee</w:t>
        </w:r>
      </w:hyperlink>
      <w:r>
        <w:t xml:space="preserve"> </w:t>
      </w:r>
    </w:p>
    <w:sectPr w:rsidR="00F86C9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5170" w14:textId="77777777" w:rsidR="00DF6EEA" w:rsidRDefault="00DF6EEA" w:rsidP="000B1111">
      <w:pPr>
        <w:spacing w:after="0" w:line="240" w:lineRule="auto"/>
      </w:pPr>
      <w:r>
        <w:separator/>
      </w:r>
    </w:p>
  </w:endnote>
  <w:endnote w:type="continuationSeparator" w:id="0">
    <w:p w14:paraId="5DA4596F" w14:textId="77777777" w:rsidR="00DF6EEA" w:rsidRDefault="00DF6EEA" w:rsidP="000B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33639"/>
      <w:docPartObj>
        <w:docPartGallery w:val="Page Numbers (Bottom of Page)"/>
        <w:docPartUnique/>
      </w:docPartObj>
    </w:sdtPr>
    <w:sdtContent>
      <w:p w14:paraId="2A5CA4C1" w14:textId="5F5CFDA0" w:rsidR="00136708" w:rsidRDefault="00136708">
        <w:pPr>
          <w:pStyle w:val="Jalus"/>
          <w:jc w:val="right"/>
        </w:pPr>
        <w:r>
          <w:fldChar w:fldCharType="begin"/>
        </w:r>
        <w:r>
          <w:instrText>PAGE   \* MERGEFORMAT</w:instrText>
        </w:r>
        <w:r>
          <w:fldChar w:fldCharType="separate"/>
        </w:r>
        <w:r>
          <w:t>2</w:t>
        </w:r>
        <w:r>
          <w:fldChar w:fldCharType="end"/>
        </w:r>
      </w:p>
    </w:sdtContent>
  </w:sdt>
  <w:p w14:paraId="4A22FF6E" w14:textId="77777777" w:rsidR="00136708" w:rsidRDefault="0013670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F0F3" w14:textId="77777777" w:rsidR="00DF6EEA" w:rsidRDefault="00DF6EEA" w:rsidP="000B1111">
      <w:pPr>
        <w:spacing w:after="0" w:line="240" w:lineRule="auto"/>
      </w:pPr>
      <w:r>
        <w:separator/>
      </w:r>
    </w:p>
  </w:footnote>
  <w:footnote w:type="continuationSeparator" w:id="0">
    <w:p w14:paraId="5DFADF5C" w14:textId="77777777" w:rsidR="00DF6EEA" w:rsidRDefault="00DF6EEA" w:rsidP="000B1111">
      <w:pPr>
        <w:spacing w:after="0" w:line="240" w:lineRule="auto"/>
      </w:pPr>
      <w:r>
        <w:continuationSeparator/>
      </w:r>
    </w:p>
  </w:footnote>
  <w:footnote w:id="1">
    <w:p w14:paraId="634933C4" w14:textId="77777777" w:rsidR="000B1111" w:rsidRPr="000D36B4" w:rsidRDefault="000B1111" w:rsidP="000B1111">
      <w:pPr>
        <w:pStyle w:val="Allmrkusetekst"/>
        <w:jc w:val="both"/>
        <w:rPr>
          <w:rFonts w:cstheme="minorHAnsi"/>
        </w:rPr>
      </w:pPr>
      <w:r w:rsidRPr="00AE6981">
        <w:rPr>
          <w:rStyle w:val="Allmrkuseviide"/>
          <w:rFonts w:cstheme="minorHAnsi"/>
        </w:rPr>
        <w:footnoteRef/>
      </w:r>
      <w:r w:rsidRPr="00AE6981">
        <w:rPr>
          <w:rFonts w:cstheme="minorHAnsi"/>
        </w:rPr>
        <w:t xml:space="preserve"> </w:t>
      </w:r>
      <w:proofErr w:type="spellStart"/>
      <w:r w:rsidRPr="00362519">
        <w:rPr>
          <w:rFonts w:eastAsia="Times New Roman" w:cstheme="minorHAnsi"/>
          <w:i/>
          <w:iCs/>
          <w:lang w:eastAsia="et-EE"/>
        </w:rPr>
        <w:t>Thomson</w:t>
      </w:r>
      <w:proofErr w:type="spellEnd"/>
      <w:r w:rsidRPr="00362519">
        <w:rPr>
          <w:rFonts w:eastAsia="Times New Roman" w:cstheme="minorHAnsi"/>
          <w:i/>
          <w:iCs/>
          <w:lang w:eastAsia="et-EE"/>
        </w:rPr>
        <w:t xml:space="preserve"> Reuters </w:t>
      </w:r>
      <w:proofErr w:type="spellStart"/>
      <w:r w:rsidRPr="00362519">
        <w:rPr>
          <w:rFonts w:eastAsia="Times New Roman" w:cstheme="minorHAnsi"/>
          <w:i/>
          <w:iCs/>
          <w:lang w:eastAsia="et-EE"/>
        </w:rPr>
        <w:t>Web</w:t>
      </w:r>
      <w:proofErr w:type="spellEnd"/>
      <w:r w:rsidRPr="00362519">
        <w:rPr>
          <w:rFonts w:eastAsia="Times New Roman" w:cstheme="minorHAnsi"/>
          <w:i/>
          <w:iCs/>
          <w:lang w:eastAsia="et-EE"/>
        </w:rPr>
        <w:t xml:space="preserve"> of </w:t>
      </w:r>
      <w:proofErr w:type="spellStart"/>
      <w:r w:rsidRPr="00362519">
        <w:rPr>
          <w:rFonts w:eastAsia="Times New Roman" w:cstheme="minorHAnsi"/>
          <w:i/>
          <w:iCs/>
          <w:lang w:eastAsia="et-EE"/>
        </w:rPr>
        <w:t>Science’</w:t>
      </w:r>
      <w:r w:rsidRPr="00362519">
        <w:rPr>
          <w:rFonts w:eastAsia="Times New Roman" w:cstheme="minorHAnsi"/>
          <w:lang w:eastAsia="et-EE"/>
        </w:rPr>
        <w:t>is</w:t>
      </w:r>
      <w:proofErr w:type="spellEnd"/>
      <w:r w:rsidRPr="00362519">
        <w:rPr>
          <w:rFonts w:eastAsia="Times New Roman" w:cstheme="minorHAnsi"/>
          <w:lang w:eastAsia="et-EE"/>
        </w:rPr>
        <w:t xml:space="preserve"> indekseeritud Eesti kõrgetasemeliste artiklite arv miljoni elaniku kohta on aastatel 2006−2021 stabiilselt </w:t>
      </w:r>
      <w:r w:rsidRPr="000D36B4">
        <w:rPr>
          <w:rFonts w:eastAsia="Times New Roman" w:cstheme="minorHAnsi"/>
          <w:lang w:eastAsia="et-EE"/>
        </w:rPr>
        <w:t>kasvanud, artiklite arv 2021. aasta seisuga oli 2331. Teadustöö</w:t>
      </w:r>
      <w:r w:rsidRPr="00362519">
        <w:rPr>
          <w:rFonts w:eastAsia="Times New Roman" w:cstheme="minorHAnsi"/>
          <w:lang w:eastAsia="et-EE"/>
        </w:rPr>
        <w:t xml:space="preserve"> kvaliteedi näitajana jälgitakse Euroopa innovatsiooni tulemustabelis (</w:t>
      </w:r>
      <w:proofErr w:type="spellStart"/>
      <w:r w:rsidRPr="00362519">
        <w:rPr>
          <w:rFonts w:eastAsia="Times New Roman" w:cstheme="minorHAnsi"/>
          <w:i/>
          <w:iCs/>
          <w:lang w:eastAsia="et-EE"/>
        </w:rPr>
        <w:t>European</w:t>
      </w:r>
      <w:proofErr w:type="spellEnd"/>
      <w:r w:rsidRPr="00362519">
        <w:rPr>
          <w:rFonts w:eastAsia="Times New Roman" w:cstheme="minorHAnsi"/>
          <w:i/>
          <w:iCs/>
          <w:lang w:eastAsia="et-EE"/>
        </w:rPr>
        <w:t xml:space="preserve"> </w:t>
      </w:r>
      <w:proofErr w:type="spellStart"/>
      <w:r w:rsidRPr="00362519">
        <w:rPr>
          <w:rFonts w:eastAsia="Times New Roman" w:cstheme="minorHAnsi"/>
          <w:i/>
          <w:iCs/>
          <w:lang w:eastAsia="et-EE"/>
        </w:rPr>
        <w:t>Innovation</w:t>
      </w:r>
      <w:proofErr w:type="spellEnd"/>
      <w:r w:rsidRPr="00362519">
        <w:rPr>
          <w:rFonts w:eastAsia="Times New Roman" w:cstheme="minorHAnsi"/>
          <w:i/>
          <w:iCs/>
          <w:lang w:eastAsia="et-EE"/>
        </w:rPr>
        <w:t xml:space="preserve"> </w:t>
      </w:r>
      <w:proofErr w:type="spellStart"/>
      <w:r w:rsidRPr="00362519">
        <w:rPr>
          <w:rFonts w:eastAsia="Times New Roman" w:cstheme="minorHAnsi"/>
          <w:i/>
          <w:iCs/>
          <w:lang w:eastAsia="et-EE"/>
        </w:rPr>
        <w:t>Scoreboard</w:t>
      </w:r>
      <w:proofErr w:type="spellEnd"/>
      <w:r w:rsidRPr="00362519">
        <w:rPr>
          <w:rFonts w:eastAsia="Times New Roman" w:cstheme="minorHAnsi"/>
          <w:lang w:eastAsia="et-EE"/>
        </w:rPr>
        <w:t>) ka riigi teadlaste publikatsioonide osakaalu 10% enim tsiteeritud teadusartiklite hulgas.</w:t>
      </w:r>
      <w:r w:rsidRPr="00362519">
        <w:rPr>
          <w:rFonts w:eastAsia="Times New Roman" w:cstheme="minorHAnsi"/>
          <w:b/>
          <w:bCs/>
          <w:lang w:eastAsia="et-EE"/>
        </w:rPr>
        <w:t xml:space="preserve"> </w:t>
      </w:r>
      <w:r w:rsidRPr="00362519">
        <w:rPr>
          <w:rFonts w:eastAsia="Times New Roman" w:cstheme="minorHAnsi"/>
          <w:lang w:eastAsia="et-EE"/>
        </w:rPr>
        <w:t xml:space="preserve">Eesti teadlaste publikatsioonide </w:t>
      </w:r>
      <w:r w:rsidRPr="00362519">
        <w:rPr>
          <w:rFonts w:cstheme="minorHAnsi"/>
        </w:rPr>
        <w:t xml:space="preserve">osakaal on ootuspäraselt kasvanud ja oli </w:t>
      </w:r>
      <w:r w:rsidRPr="000D36B4">
        <w:rPr>
          <w:rFonts w:cstheme="minorHAnsi"/>
        </w:rPr>
        <w:t>2021. a Euroopa innovatsiooni tulemustabeli andmetel 9%.</w:t>
      </w:r>
    </w:p>
  </w:footnote>
  <w:footnote w:id="2">
    <w:p w14:paraId="0A53D926" w14:textId="77777777" w:rsidR="000B1111" w:rsidRDefault="000B1111" w:rsidP="000B1111">
      <w:pPr>
        <w:pStyle w:val="Allmrkusetekst"/>
        <w:jc w:val="both"/>
      </w:pPr>
      <w:r>
        <w:rPr>
          <w:rStyle w:val="Allmrkuseviide"/>
        </w:rPr>
        <w:footnoteRef/>
      </w:r>
      <w:r>
        <w:t xml:space="preserve"> </w:t>
      </w:r>
      <w:r w:rsidRPr="00C65A52">
        <w:t xml:space="preserve">Eesti jaoks on kõige suurem </w:t>
      </w:r>
      <w:proofErr w:type="spellStart"/>
      <w:r w:rsidRPr="00C65A52">
        <w:t>välisrahastaja</w:t>
      </w:r>
      <w:proofErr w:type="spellEnd"/>
      <w:r w:rsidRPr="00C65A52">
        <w:t xml:space="preserve"> Euroopa Komisjon Euroopa Liidu teadusuuringute ja innovatsiooni raamprogrammi kaudu. Eesti teadlaste ja ettevõtjate edukust raamprogrammis näitab nii </w:t>
      </w:r>
      <w:proofErr w:type="spellStart"/>
      <w:r w:rsidRPr="00C65A52">
        <w:t>välisvahendite</w:t>
      </w:r>
      <w:proofErr w:type="spellEnd"/>
      <w:r w:rsidRPr="00C65A52">
        <w:t xml:space="preserve"> suur maht kui ka võrdlus teiste Euroopa Liidu riikidega</w:t>
      </w:r>
      <w:r w:rsidRPr="000D36B4">
        <w:t>. 2021. a seisuga oli Eesti</w:t>
      </w:r>
      <w:r w:rsidRPr="00C65A52">
        <w:t xml:space="preserve"> SKP suhte poolest </w:t>
      </w:r>
      <w:r>
        <w:t>riikide võrdluses teisel kohal. S</w:t>
      </w:r>
      <w:r w:rsidRPr="00362519">
        <w:t>aadud toetus</w:t>
      </w:r>
      <w:r>
        <w:t>ed</w:t>
      </w:r>
      <w:r w:rsidRPr="00362519">
        <w:t xml:space="preserve"> suhtega </w:t>
      </w:r>
      <w:proofErr w:type="spellStart"/>
      <w:r w:rsidRPr="00362519">
        <w:t>SKP-sse</w:t>
      </w:r>
      <w:proofErr w:type="spellEnd"/>
      <w:r w:rsidRPr="00362519">
        <w:t xml:space="preserve"> </w:t>
      </w:r>
      <w:r w:rsidRPr="000D36B4">
        <w:t>moodustas 2021. aastal 260% Euroopa</w:t>
      </w:r>
      <w:r w:rsidRPr="00362519">
        <w:t xml:space="preserve"> Liidu keskmisest</w:t>
      </w:r>
      <w:r>
        <w:t xml:space="preserve">. </w:t>
      </w:r>
    </w:p>
  </w:footnote>
  <w:footnote w:id="3">
    <w:p w14:paraId="4DBE2C58" w14:textId="77777777" w:rsidR="000B1111" w:rsidRDefault="000B1111" w:rsidP="000B1111">
      <w:pPr>
        <w:pStyle w:val="Allmrkusetekst"/>
        <w:jc w:val="both"/>
      </w:pPr>
      <w:r w:rsidRPr="00362519">
        <w:rPr>
          <w:rStyle w:val="Allmrkuseviide"/>
          <w:i/>
          <w:iCs/>
        </w:rPr>
        <w:footnoteRef/>
      </w:r>
      <w:r w:rsidRPr="00362519">
        <w:rPr>
          <w:i/>
          <w:iCs/>
        </w:rPr>
        <w:t xml:space="preserve"> Peer </w:t>
      </w:r>
      <w:proofErr w:type="spellStart"/>
      <w:r w:rsidRPr="00362519">
        <w:rPr>
          <w:i/>
          <w:iCs/>
        </w:rPr>
        <w:t>Review</w:t>
      </w:r>
      <w:proofErr w:type="spellEnd"/>
      <w:r w:rsidRPr="00362519">
        <w:rPr>
          <w:i/>
          <w:iCs/>
        </w:rPr>
        <w:t xml:space="preserve"> of </w:t>
      </w:r>
      <w:proofErr w:type="spellStart"/>
      <w:r w:rsidRPr="00362519">
        <w:rPr>
          <w:i/>
          <w:iCs/>
        </w:rPr>
        <w:t>the</w:t>
      </w:r>
      <w:proofErr w:type="spellEnd"/>
      <w:r w:rsidRPr="00362519">
        <w:rPr>
          <w:i/>
          <w:iCs/>
        </w:rPr>
        <w:t xml:space="preserve"> Estonian Research and </w:t>
      </w:r>
      <w:proofErr w:type="spellStart"/>
      <w:r w:rsidRPr="00362519">
        <w:rPr>
          <w:i/>
          <w:iCs/>
        </w:rPr>
        <w:t>Innovation</w:t>
      </w:r>
      <w:proofErr w:type="spellEnd"/>
      <w:r w:rsidRPr="00362519">
        <w:rPr>
          <w:i/>
          <w:iCs/>
        </w:rPr>
        <w:t xml:space="preserve"> System: </w:t>
      </w:r>
      <w:proofErr w:type="spellStart"/>
      <w:r w:rsidRPr="00362519">
        <w:rPr>
          <w:i/>
          <w:iCs/>
        </w:rPr>
        <w:t>Final</w:t>
      </w:r>
      <w:proofErr w:type="spellEnd"/>
      <w:r w:rsidRPr="00362519">
        <w:rPr>
          <w:i/>
          <w:iCs/>
        </w:rPr>
        <w:t xml:space="preserve"> </w:t>
      </w:r>
      <w:proofErr w:type="spellStart"/>
      <w:r w:rsidRPr="00362519">
        <w:rPr>
          <w:i/>
          <w:iCs/>
        </w:rPr>
        <w:t>Report</w:t>
      </w:r>
      <w:proofErr w:type="spellEnd"/>
      <w:r w:rsidRPr="00362519">
        <w:rPr>
          <w:i/>
          <w:iCs/>
        </w:rPr>
        <w:t xml:space="preserve"> (Under </w:t>
      </w:r>
      <w:proofErr w:type="spellStart"/>
      <w:r w:rsidRPr="00362519">
        <w:rPr>
          <w:i/>
          <w:iCs/>
        </w:rPr>
        <w:t>the</w:t>
      </w:r>
      <w:proofErr w:type="spellEnd"/>
      <w:r w:rsidRPr="00362519">
        <w:rPr>
          <w:i/>
          <w:iCs/>
        </w:rPr>
        <w:t xml:space="preserve"> Horizon 2020 </w:t>
      </w:r>
      <w:proofErr w:type="spellStart"/>
      <w:r w:rsidRPr="00362519">
        <w:rPr>
          <w:i/>
          <w:iCs/>
        </w:rPr>
        <w:t>Policy</w:t>
      </w:r>
      <w:proofErr w:type="spellEnd"/>
      <w:r w:rsidRPr="00362519">
        <w:rPr>
          <w:i/>
          <w:iCs/>
        </w:rPr>
        <w:t xml:space="preserve"> </w:t>
      </w:r>
      <w:proofErr w:type="spellStart"/>
      <w:r w:rsidRPr="00362519">
        <w:rPr>
          <w:i/>
          <w:iCs/>
        </w:rPr>
        <w:t>Support</w:t>
      </w:r>
      <w:proofErr w:type="spellEnd"/>
      <w:r w:rsidRPr="00362519">
        <w:rPr>
          <w:i/>
          <w:iCs/>
        </w:rPr>
        <w:t xml:space="preserve"> </w:t>
      </w:r>
      <w:proofErr w:type="spellStart"/>
      <w:r w:rsidRPr="00362519">
        <w:rPr>
          <w:i/>
          <w:iCs/>
        </w:rPr>
        <w:t>Facility</w:t>
      </w:r>
      <w:proofErr w:type="spellEnd"/>
      <w:r w:rsidRPr="00362519">
        <w:t xml:space="preserve">), aruanne (2019). </w:t>
      </w:r>
      <w:hyperlink r:id="rId1" w:history="1">
        <w:r w:rsidRPr="008D3697">
          <w:rPr>
            <w:rStyle w:val="Hperlink"/>
          </w:rPr>
          <w:t>https://rio.jrc.ec.europa.eu/en/library/peer-review-estonian-research-and-innovation-system-final-report</w:t>
        </w:r>
      </w:hyperlink>
      <w:r>
        <w:t xml:space="preserve"> </w:t>
      </w:r>
    </w:p>
  </w:footnote>
  <w:footnote w:id="4">
    <w:p w14:paraId="13B805E3" w14:textId="77777777" w:rsidR="000B1111" w:rsidRPr="000D36B4" w:rsidRDefault="000B1111" w:rsidP="000B1111">
      <w:pPr>
        <w:pStyle w:val="Allmrkusetekst"/>
        <w:jc w:val="both"/>
        <w:rPr>
          <w:rFonts w:cstheme="minorHAnsi"/>
        </w:rPr>
      </w:pPr>
      <w:r w:rsidRPr="000D36B4">
        <w:rPr>
          <w:rStyle w:val="Allmrkuseviide"/>
          <w:rFonts w:cstheme="minorHAnsi"/>
        </w:rPr>
        <w:footnoteRef/>
      </w:r>
      <w:r w:rsidRPr="000D36B4">
        <w:rPr>
          <w:rFonts w:cstheme="minorHAnsi"/>
        </w:rPr>
        <w:t xml:space="preserve"> Eestis 2021. a 5,4%, Euroala keskmine (EL28) oli 2019. aastal 9,8%.</w:t>
      </w:r>
    </w:p>
  </w:footnote>
  <w:footnote w:id="5">
    <w:p w14:paraId="15C687BF" w14:textId="77777777" w:rsidR="000B1111" w:rsidRPr="000D36B4" w:rsidRDefault="000B1111" w:rsidP="000B1111">
      <w:pPr>
        <w:pStyle w:val="Allmrkusetekst"/>
        <w:jc w:val="both"/>
      </w:pPr>
      <w:r w:rsidRPr="000D36B4">
        <w:rPr>
          <w:rStyle w:val="Allmrkuseviide"/>
          <w:rFonts w:cstheme="minorHAnsi"/>
        </w:rPr>
        <w:footnoteRef/>
      </w:r>
      <w:r w:rsidRPr="000D36B4">
        <w:rPr>
          <w:rFonts w:cstheme="minorHAnsi"/>
        </w:rPr>
        <w:t xml:space="preserve"> Teadlaste täistöökohtade osakaal kõigist hõivatutest 2021. a seisuga on Eestis 0,87%. See jääb EL keskmisele (1,04%) selgelt alla, eriti erasektoris. Teiste Euroopa Liidu riikidega võrreldes on selge, et edukamates riikides on erasektoris hõivatud märksa rohkem teadlasi kui avalikus sektoris, jääme selgelt EL keskmisest maha. Samuti jääb Eesti teadlaste arvult 1000 töötaja kohta OECD riikide võrdluses kaugelt maha juhtivatest innovatsiooniriikidest. Seetõttu on oluline suurendada teadlaste ja inseneride arvu ennekõike erasektoris.</w:t>
      </w:r>
    </w:p>
  </w:footnote>
  <w:footnote w:id="6">
    <w:p w14:paraId="7C52594A" w14:textId="77777777" w:rsidR="000B1111" w:rsidRDefault="000B1111" w:rsidP="000B1111">
      <w:pPr>
        <w:pStyle w:val="Allmrkusetekst"/>
      </w:pPr>
      <w:r w:rsidRPr="000D36B4">
        <w:rPr>
          <w:rStyle w:val="Allmrkuseviide"/>
        </w:rPr>
        <w:footnoteRef/>
      </w:r>
      <w:r w:rsidRPr="000D36B4">
        <w:t xml:space="preserve"> 202</w:t>
      </w:r>
      <w:r>
        <w:t>2</w:t>
      </w:r>
      <w:r w:rsidRPr="000D36B4">
        <w:t>. a seisuga 2</w:t>
      </w:r>
      <w:r>
        <w:t>50</w:t>
      </w:r>
      <w:r w:rsidRPr="000D36B4">
        <w:t xml:space="preserve"> doktorikraadi kaitsmist (EHIS)</w:t>
      </w:r>
    </w:p>
  </w:footnote>
  <w:footnote w:id="7">
    <w:p w14:paraId="7E3860D8" w14:textId="77777777" w:rsidR="000B1111" w:rsidRDefault="000B1111" w:rsidP="000B1111">
      <w:pPr>
        <w:pStyle w:val="Allmrkusetekst"/>
        <w:jc w:val="both"/>
      </w:pPr>
      <w:r w:rsidRPr="005A4ECF">
        <w:rPr>
          <w:rStyle w:val="Allmrkuseviide"/>
          <w:i/>
          <w:iCs/>
        </w:rPr>
        <w:footnoteRef/>
      </w:r>
      <w:r w:rsidRPr="005A4ECF">
        <w:rPr>
          <w:i/>
          <w:iCs/>
        </w:rPr>
        <w:t xml:space="preserve">   Peer </w:t>
      </w:r>
      <w:proofErr w:type="spellStart"/>
      <w:r w:rsidRPr="005A4ECF">
        <w:rPr>
          <w:i/>
          <w:iCs/>
        </w:rPr>
        <w:t>Review</w:t>
      </w:r>
      <w:proofErr w:type="spellEnd"/>
      <w:r w:rsidRPr="005A4ECF">
        <w:rPr>
          <w:i/>
          <w:iCs/>
        </w:rPr>
        <w:t xml:space="preserve"> of </w:t>
      </w:r>
      <w:proofErr w:type="spellStart"/>
      <w:r w:rsidRPr="005A4ECF">
        <w:rPr>
          <w:i/>
          <w:iCs/>
        </w:rPr>
        <w:t>the</w:t>
      </w:r>
      <w:proofErr w:type="spellEnd"/>
      <w:r w:rsidRPr="005A4ECF">
        <w:rPr>
          <w:i/>
          <w:iCs/>
        </w:rPr>
        <w:t xml:space="preserve"> Estonian Research and </w:t>
      </w:r>
      <w:proofErr w:type="spellStart"/>
      <w:r w:rsidRPr="005A4ECF">
        <w:rPr>
          <w:i/>
          <w:iCs/>
        </w:rPr>
        <w:t>Innovation</w:t>
      </w:r>
      <w:proofErr w:type="spellEnd"/>
      <w:r w:rsidRPr="005A4ECF">
        <w:rPr>
          <w:i/>
          <w:iCs/>
        </w:rPr>
        <w:t xml:space="preserve"> System: </w:t>
      </w:r>
      <w:proofErr w:type="spellStart"/>
      <w:r w:rsidRPr="005A4ECF">
        <w:rPr>
          <w:i/>
          <w:iCs/>
        </w:rPr>
        <w:t>Final</w:t>
      </w:r>
      <w:proofErr w:type="spellEnd"/>
      <w:r w:rsidRPr="005A4ECF">
        <w:rPr>
          <w:i/>
          <w:iCs/>
        </w:rPr>
        <w:t xml:space="preserve"> </w:t>
      </w:r>
      <w:proofErr w:type="spellStart"/>
      <w:r w:rsidRPr="005A4ECF">
        <w:rPr>
          <w:i/>
          <w:iCs/>
        </w:rPr>
        <w:t>Report</w:t>
      </w:r>
      <w:proofErr w:type="spellEnd"/>
      <w:r w:rsidRPr="005A4ECF">
        <w:rPr>
          <w:i/>
          <w:iCs/>
        </w:rPr>
        <w:t xml:space="preserve"> (Under </w:t>
      </w:r>
      <w:proofErr w:type="spellStart"/>
      <w:r w:rsidRPr="005A4ECF">
        <w:rPr>
          <w:i/>
          <w:iCs/>
        </w:rPr>
        <w:t>the</w:t>
      </w:r>
      <w:proofErr w:type="spellEnd"/>
      <w:r w:rsidRPr="005A4ECF">
        <w:rPr>
          <w:i/>
          <w:iCs/>
        </w:rPr>
        <w:t xml:space="preserve"> Horizon 2020 </w:t>
      </w:r>
      <w:proofErr w:type="spellStart"/>
      <w:r w:rsidRPr="005A4ECF">
        <w:rPr>
          <w:i/>
          <w:iCs/>
        </w:rPr>
        <w:t>Policy</w:t>
      </w:r>
      <w:proofErr w:type="spellEnd"/>
      <w:r w:rsidRPr="005A4ECF">
        <w:rPr>
          <w:i/>
          <w:iCs/>
        </w:rPr>
        <w:t xml:space="preserve"> </w:t>
      </w:r>
      <w:proofErr w:type="spellStart"/>
      <w:r w:rsidRPr="005A4ECF">
        <w:rPr>
          <w:i/>
          <w:iCs/>
        </w:rPr>
        <w:t>Support</w:t>
      </w:r>
      <w:proofErr w:type="spellEnd"/>
      <w:r w:rsidRPr="005A4ECF">
        <w:rPr>
          <w:i/>
          <w:iCs/>
        </w:rPr>
        <w:t xml:space="preserve"> </w:t>
      </w:r>
      <w:proofErr w:type="spellStart"/>
      <w:r w:rsidRPr="005A4ECF">
        <w:rPr>
          <w:i/>
          <w:iCs/>
        </w:rPr>
        <w:t>Facility</w:t>
      </w:r>
      <w:proofErr w:type="spellEnd"/>
      <w:r w:rsidRPr="005A4ECF">
        <w:t xml:space="preserve">), aruanne (2019). </w:t>
      </w:r>
      <w:hyperlink r:id="rId2" w:history="1">
        <w:r w:rsidRPr="00FC5CD7">
          <w:rPr>
            <w:rStyle w:val="Hperlink"/>
          </w:rPr>
          <w:t>https://rio.jrc.ec.europa.eu/en/library/peer-review-estonian-research-and-innovation-system-final-report</w:t>
        </w:r>
      </w:hyperlink>
      <w:r>
        <w:t xml:space="preserve"> </w:t>
      </w:r>
    </w:p>
  </w:footnote>
  <w:footnote w:id="8">
    <w:p w14:paraId="53E82D23" w14:textId="77777777" w:rsidR="000B1111" w:rsidRDefault="000B1111" w:rsidP="000B1111">
      <w:pPr>
        <w:pStyle w:val="Allmrkusetekst"/>
        <w:jc w:val="both"/>
      </w:pPr>
      <w:r>
        <w:rPr>
          <w:rStyle w:val="Allmrkuseviide"/>
        </w:rPr>
        <w:footnoteRef/>
      </w:r>
      <w:r>
        <w:t xml:space="preserve"> </w:t>
      </w:r>
      <w:r w:rsidRPr="005A4ECF">
        <w:t xml:space="preserve">TAIE fookusvaldkonnad hõlmavad nutika spetsialiseerumise </w:t>
      </w:r>
      <w:r>
        <w:t xml:space="preserve">(NS) </w:t>
      </w:r>
      <w:r w:rsidRPr="005A4ECF">
        <w:t xml:space="preserve">kasvuvaldkondi: viiest TAIE fookusvaldkonnast neli on ühtlasi NS kasvuvaldkonnad: digilahendused igas eluvaldkonnas, tervisetehnoloogiad ja -teenused, kohalike ressursside </w:t>
      </w:r>
      <w:proofErr w:type="spellStart"/>
      <w:r w:rsidRPr="005A4ECF">
        <w:t>väärindamine</w:t>
      </w:r>
      <w:proofErr w:type="spellEnd"/>
      <w:r w:rsidRPr="005A4ECF">
        <w:t xml:space="preserve">, nutikad ja kestlikud energialahendused. NS kasvuvaldkondade puhul on oluline majanduslik mõõde (kõrge äriline potentsiaal, </w:t>
      </w:r>
      <w:proofErr w:type="spellStart"/>
      <w:r w:rsidRPr="005A4ECF">
        <w:t>skaleeritavus</w:t>
      </w:r>
      <w:proofErr w:type="spellEnd"/>
      <w:r w:rsidRPr="005A4ECF">
        <w:t xml:space="preserve"> Eestist väljapoole, potentsiaalne globaalne mõju)</w:t>
      </w:r>
      <w:r>
        <w:t>.</w:t>
      </w:r>
    </w:p>
  </w:footnote>
  <w:footnote w:id="9">
    <w:p w14:paraId="5D4FDFCF" w14:textId="5A1BF347" w:rsidR="008D6614" w:rsidRDefault="008D6614" w:rsidP="008D6614">
      <w:pPr>
        <w:pStyle w:val="Allmrkusetekst"/>
        <w:jc w:val="both"/>
      </w:pPr>
      <w:r>
        <w:rPr>
          <w:rStyle w:val="Allmrkuseviide"/>
        </w:rPr>
        <w:footnoteRef/>
      </w:r>
      <w:r>
        <w:t xml:space="preserve"> </w:t>
      </w:r>
      <w:r w:rsidRPr="008D6614">
        <w:t>Toetatud ühistes teadus- ja arendustegevuse koostööprojektides osalevate teadus- ja arendusasutuste ja kõrgkoolide arv Koostöine teadus-ja arendusprojekt hõlmab vähemalt üht teadusasutust ja teist partnerasutust (nt ettevõte, teine teadusasutus, kõrgkool, avaliku sektori asutus või organisatsioon jne). Koostöö võib olla uus või jätkuv ja kestma vähemalt toetatava projekti toimumise aja jooksul. Mõõdik hõlmab aktiivset osalemist ühises teadus- ja arendusprojektis ja ei kata lepingulisi suhteid, millega ei kaasne aktiivset osalust toetatavas projektis. Arvestatakse unikaalsete asutuste kumulatiivset arvu, mis saavutatakse perioodi lõpuks.</w:t>
      </w:r>
      <w:r>
        <w:t xml:space="preserve"> </w:t>
      </w:r>
      <w:r w:rsidRPr="008D6614">
        <w:rPr>
          <w:b/>
          <w:bCs/>
        </w:rPr>
        <w:t>Siht 2029. a 18</w:t>
      </w:r>
      <w:r>
        <w:t>.</w:t>
      </w:r>
    </w:p>
  </w:footnote>
  <w:footnote w:id="10">
    <w:p w14:paraId="6DC61050" w14:textId="68F70E04" w:rsidR="008D6614" w:rsidRDefault="008D6614" w:rsidP="008D6614">
      <w:pPr>
        <w:pStyle w:val="Allmrkusetekst"/>
        <w:jc w:val="both"/>
      </w:pPr>
      <w:r>
        <w:rPr>
          <w:rStyle w:val="Allmrkuseviide"/>
        </w:rPr>
        <w:footnoteRef/>
      </w:r>
      <w:r>
        <w:t xml:space="preserve"> </w:t>
      </w:r>
      <w:r w:rsidRPr="008D6614">
        <w:t>Toetatud projektide tulemusel loodavate publikatsioonide arv. Publikatsioon võib olla artikkel või raamat, selle seos toetatava projektiga ja projekti panus publikatsiooni loomisse peab olema selgelt määratletav. Mõõdik hõlmab publikatsioone, mis on avaldamiseks esitatud ja peer-</w:t>
      </w:r>
      <w:proofErr w:type="spellStart"/>
      <w:r w:rsidRPr="008D6614">
        <w:t>review</w:t>
      </w:r>
      <w:proofErr w:type="spellEnd"/>
      <w:r w:rsidRPr="008D6614">
        <w:t xml:space="preserve"> retsenseerimiseks vastu võetud.</w:t>
      </w:r>
      <w:r>
        <w:t xml:space="preserve"> </w:t>
      </w:r>
      <w:r w:rsidRPr="008D6614">
        <w:rPr>
          <w:b/>
          <w:bCs/>
        </w:rPr>
        <w:t>Siht 2029. a 800</w:t>
      </w:r>
      <w:r>
        <w:t>.</w:t>
      </w:r>
    </w:p>
  </w:footnote>
  <w:footnote w:id="11">
    <w:p w14:paraId="118B9B44" w14:textId="2175F878" w:rsidR="00874107" w:rsidRPr="00874107" w:rsidRDefault="00874107" w:rsidP="00645DEA">
      <w:pPr>
        <w:pStyle w:val="Allmrkusetekst"/>
        <w:jc w:val="both"/>
        <w:rPr>
          <w:rFonts w:cstheme="minorHAnsi"/>
        </w:rPr>
      </w:pPr>
      <w:r>
        <w:rPr>
          <w:rStyle w:val="Allmrkuseviide"/>
        </w:rPr>
        <w:footnoteRef/>
      </w:r>
      <w:r>
        <w:t xml:space="preserve"> </w:t>
      </w:r>
      <w:r w:rsidRPr="00874107">
        <w:rPr>
          <w:rFonts w:cstheme="minorHAnsi"/>
        </w:rPr>
        <w:t xml:space="preserve">Vt nt OECD (2018) </w:t>
      </w:r>
      <w:proofErr w:type="spellStart"/>
      <w:r w:rsidRPr="00645DEA">
        <w:rPr>
          <w:rFonts w:cstheme="minorHAnsi"/>
          <w:i/>
          <w:iCs/>
        </w:rPr>
        <w:t>Effective</w:t>
      </w:r>
      <w:proofErr w:type="spellEnd"/>
      <w:r w:rsidRPr="00645DEA">
        <w:rPr>
          <w:rFonts w:cstheme="minorHAnsi"/>
          <w:i/>
          <w:iCs/>
        </w:rPr>
        <w:t xml:space="preserve"> </w:t>
      </w:r>
      <w:proofErr w:type="spellStart"/>
      <w:r w:rsidRPr="00645DEA">
        <w:rPr>
          <w:rFonts w:cstheme="minorHAnsi"/>
          <w:i/>
          <w:iCs/>
        </w:rPr>
        <w:t>operation</w:t>
      </w:r>
      <w:proofErr w:type="spellEnd"/>
      <w:r w:rsidRPr="00645DEA">
        <w:rPr>
          <w:rFonts w:cstheme="minorHAnsi"/>
          <w:i/>
          <w:iCs/>
        </w:rPr>
        <w:t xml:space="preserve"> of </w:t>
      </w:r>
      <w:proofErr w:type="spellStart"/>
      <w:r w:rsidRPr="00645DEA">
        <w:rPr>
          <w:rFonts w:cstheme="minorHAnsi"/>
          <w:i/>
          <w:iCs/>
        </w:rPr>
        <w:t>competitive</w:t>
      </w:r>
      <w:proofErr w:type="spellEnd"/>
      <w:r w:rsidRPr="00645DEA">
        <w:rPr>
          <w:rFonts w:cstheme="minorHAnsi"/>
          <w:i/>
          <w:iCs/>
        </w:rPr>
        <w:t xml:space="preserve"> </w:t>
      </w:r>
      <w:proofErr w:type="spellStart"/>
      <w:r w:rsidRPr="00645DEA">
        <w:rPr>
          <w:rFonts w:cstheme="minorHAnsi"/>
          <w:i/>
          <w:iCs/>
        </w:rPr>
        <w:t>research</w:t>
      </w:r>
      <w:proofErr w:type="spellEnd"/>
      <w:r w:rsidRPr="00645DEA">
        <w:rPr>
          <w:rFonts w:cstheme="minorHAnsi"/>
          <w:i/>
          <w:iCs/>
        </w:rPr>
        <w:t xml:space="preserve"> </w:t>
      </w:r>
      <w:proofErr w:type="spellStart"/>
      <w:r w:rsidRPr="00645DEA">
        <w:rPr>
          <w:rFonts w:cstheme="minorHAnsi"/>
          <w:i/>
          <w:iCs/>
        </w:rPr>
        <w:t>funding</w:t>
      </w:r>
      <w:proofErr w:type="spellEnd"/>
      <w:r w:rsidRPr="00645DEA">
        <w:rPr>
          <w:rFonts w:cstheme="minorHAnsi"/>
          <w:i/>
          <w:iCs/>
        </w:rPr>
        <w:t xml:space="preserve"> </w:t>
      </w:r>
      <w:proofErr w:type="spellStart"/>
      <w:r w:rsidRPr="00645DEA">
        <w:rPr>
          <w:rFonts w:cstheme="minorHAnsi"/>
          <w:i/>
          <w:iCs/>
        </w:rPr>
        <w:t>systems</w:t>
      </w:r>
      <w:proofErr w:type="spellEnd"/>
      <w:r w:rsidRPr="00874107">
        <w:rPr>
          <w:rFonts w:cstheme="minorHAnsi"/>
        </w:rPr>
        <w:t xml:space="preserve"> </w:t>
      </w:r>
      <w:hyperlink r:id="rId3" w:history="1">
        <w:r w:rsidRPr="00874107">
          <w:rPr>
            <w:rStyle w:val="Hperlink"/>
            <w:rFonts w:cstheme="minorHAnsi"/>
          </w:rPr>
          <w:t>https://www.oecd-ilibrary.org/industry-and-services/effective-operation-of-competitive-research-funding-systems_2ae8c0dc-en</w:t>
        </w:r>
      </w:hyperlink>
      <w:r w:rsidRPr="00874107">
        <w:rPr>
          <w:rFonts w:cstheme="minorHAnsi"/>
        </w:rPr>
        <w:t xml:space="preserve">; Euroopa Komisjon (2014) </w:t>
      </w:r>
      <w:r w:rsidRPr="00645DEA">
        <w:rPr>
          <w:rFonts w:cstheme="minorHAnsi"/>
          <w:i/>
          <w:iCs/>
        </w:rPr>
        <w:t xml:space="preserve">ERA </w:t>
      </w:r>
      <w:proofErr w:type="spellStart"/>
      <w:r w:rsidRPr="00645DEA">
        <w:rPr>
          <w:rFonts w:cstheme="minorHAnsi"/>
          <w:i/>
          <w:iCs/>
        </w:rPr>
        <w:t>Communication</w:t>
      </w:r>
      <w:proofErr w:type="spellEnd"/>
      <w:r w:rsidRPr="00645DEA">
        <w:rPr>
          <w:rFonts w:cstheme="minorHAnsi"/>
          <w:i/>
          <w:iCs/>
        </w:rPr>
        <w:t xml:space="preserve"> </w:t>
      </w:r>
      <w:proofErr w:type="spellStart"/>
      <w:r w:rsidRPr="00645DEA">
        <w:rPr>
          <w:rFonts w:cstheme="minorHAnsi"/>
          <w:i/>
          <w:iCs/>
        </w:rPr>
        <w:t>from</w:t>
      </w:r>
      <w:proofErr w:type="spellEnd"/>
      <w:r w:rsidRPr="00645DEA">
        <w:rPr>
          <w:rFonts w:cstheme="minorHAnsi"/>
          <w:i/>
          <w:iCs/>
        </w:rPr>
        <w:t xml:space="preserve"> </w:t>
      </w:r>
      <w:proofErr w:type="spellStart"/>
      <w:r w:rsidRPr="00645DEA">
        <w:rPr>
          <w:rFonts w:cstheme="minorHAnsi"/>
          <w:i/>
          <w:iCs/>
        </w:rPr>
        <w:t>the</w:t>
      </w:r>
      <w:proofErr w:type="spellEnd"/>
      <w:r w:rsidRPr="00645DEA">
        <w:rPr>
          <w:rFonts w:cstheme="minorHAnsi"/>
          <w:i/>
          <w:iCs/>
        </w:rPr>
        <w:t xml:space="preserve"> </w:t>
      </w:r>
      <w:proofErr w:type="spellStart"/>
      <w:r w:rsidRPr="00645DEA">
        <w:rPr>
          <w:rFonts w:cstheme="minorHAnsi"/>
          <w:i/>
          <w:iCs/>
        </w:rPr>
        <w:t>Commission</w:t>
      </w:r>
      <w:proofErr w:type="spellEnd"/>
      <w:r w:rsidRPr="00645DEA">
        <w:rPr>
          <w:rFonts w:cstheme="minorHAnsi"/>
          <w:i/>
          <w:iCs/>
        </w:rPr>
        <w:t xml:space="preserve"> </w:t>
      </w:r>
      <w:proofErr w:type="spellStart"/>
      <w:r w:rsidRPr="00645DEA">
        <w:rPr>
          <w:rFonts w:cstheme="minorHAnsi"/>
          <w:i/>
          <w:iCs/>
        </w:rPr>
        <w:t>to</w:t>
      </w:r>
      <w:proofErr w:type="spellEnd"/>
      <w:r w:rsidRPr="00645DEA">
        <w:rPr>
          <w:rFonts w:cstheme="minorHAnsi"/>
          <w:i/>
          <w:iCs/>
        </w:rPr>
        <w:t xml:space="preserve"> </w:t>
      </w:r>
      <w:proofErr w:type="spellStart"/>
      <w:r w:rsidRPr="00645DEA">
        <w:rPr>
          <w:rFonts w:cstheme="minorHAnsi"/>
          <w:i/>
          <w:iCs/>
        </w:rPr>
        <w:t>the</w:t>
      </w:r>
      <w:proofErr w:type="spellEnd"/>
      <w:r w:rsidRPr="00645DEA">
        <w:rPr>
          <w:rFonts w:cstheme="minorHAnsi"/>
          <w:i/>
          <w:iCs/>
        </w:rPr>
        <w:t xml:space="preserve"> </w:t>
      </w:r>
      <w:proofErr w:type="spellStart"/>
      <w:r w:rsidRPr="00645DEA">
        <w:rPr>
          <w:rFonts w:cstheme="minorHAnsi"/>
          <w:i/>
          <w:iCs/>
        </w:rPr>
        <w:t>European</w:t>
      </w:r>
      <w:proofErr w:type="spellEnd"/>
      <w:r w:rsidRPr="00645DEA">
        <w:rPr>
          <w:rFonts w:cstheme="minorHAnsi"/>
          <w:i/>
          <w:iCs/>
        </w:rPr>
        <w:t xml:space="preserve"> </w:t>
      </w:r>
      <w:proofErr w:type="spellStart"/>
      <w:r w:rsidRPr="00645DEA">
        <w:rPr>
          <w:rFonts w:cstheme="minorHAnsi"/>
          <w:i/>
          <w:iCs/>
        </w:rPr>
        <w:t>Parliament</w:t>
      </w:r>
      <w:proofErr w:type="spellEnd"/>
      <w:r w:rsidRPr="00645DEA">
        <w:rPr>
          <w:rFonts w:cstheme="minorHAnsi"/>
          <w:i/>
          <w:iCs/>
        </w:rPr>
        <w:t xml:space="preserve">, </w:t>
      </w:r>
      <w:proofErr w:type="spellStart"/>
      <w:r w:rsidRPr="00645DEA">
        <w:rPr>
          <w:rFonts w:cstheme="minorHAnsi"/>
          <w:i/>
          <w:iCs/>
        </w:rPr>
        <w:t>the</w:t>
      </w:r>
      <w:proofErr w:type="spellEnd"/>
      <w:r w:rsidRPr="00645DEA">
        <w:rPr>
          <w:rFonts w:cstheme="minorHAnsi"/>
          <w:i/>
          <w:iCs/>
        </w:rPr>
        <w:t xml:space="preserve"> </w:t>
      </w:r>
      <w:proofErr w:type="spellStart"/>
      <w:r w:rsidRPr="00645DEA">
        <w:rPr>
          <w:rFonts w:cstheme="minorHAnsi"/>
          <w:i/>
          <w:iCs/>
        </w:rPr>
        <w:t>Council</w:t>
      </w:r>
      <w:proofErr w:type="spellEnd"/>
      <w:r w:rsidRPr="00645DEA">
        <w:rPr>
          <w:rFonts w:cstheme="minorHAnsi"/>
          <w:i/>
          <w:iCs/>
        </w:rPr>
        <w:t xml:space="preserve">, </w:t>
      </w:r>
      <w:proofErr w:type="spellStart"/>
      <w:r w:rsidRPr="00645DEA">
        <w:rPr>
          <w:rFonts w:cstheme="minorHAnsi"/>
          <w:i/>
          <w:iCs/>
        </w:rPr>
        <w:t>the</w:t>
      </w:r>
      <w:proofErr w:type="spellEnd"/>
      <w:r w:rsidRPr="00645DEA">
        <w:rPr>
          <w:rFonts w:cstheme="minorHAnsi"/>
          <w:i/>
          <w:iCs/>
        </w:rPr>
        <w:t xml:space="preserve"> </w:t>
      </w:r>
      <w:proofErr w:type="spellStart"/>
      <w:r w:rsidRPr="00645DEA">
        <w:rPr>
          <w:rFonts w:cstheme="minorHAnsi"/>
          <w:i/>
          <w:iCs/>
        </w:rPr>
        <w:t>European</w:t>
      </w:r>
      <w:proofErr w:type="spellEnd"/>
      <w:r w:rsidRPr="00645DEA">
        <w:rPr>
          <w:rFonts w:cstheme="minorHAnsi"/>
          <w:i/>
          <w:iCs/>
        </w:rPr>
        <w:t xml:space="preserve"> </w:t>
      </w:r>
      <w:proofErr w:type="spellStart"/>
      <w:r w:rsidRPr="00645DEA">
        <w:rPr>
          <w:rFonts w:cstheme="minorHAnsi"/>
          <w:i/>
          <w:iCs/>
        </w:rPr>
        <w:t>Economic</w:t>
      </w:r>
      <w:proofErr w:type="spellEnd"/>
      <w:r w:rsidRPr="00645DEA">
        <w:rPr>
          <w:rFonts w:cstheme="minorHAnsi"/>
          <w:i/>
          <w:iCs/>
        </w:rPr>
        <w:t xml:space="preserve"> and </w:t>
      </w:r>
      <w:proofErr w:type="spellStart"/>
      <w:r w:rsidRPr="00645DEA">
        <w:rPr>
          <w:rFonts w:cstheme="minorHAnsi"/>
          <w:i/>
          <w:iCs/>
        </w:rPr>
        <w:t>Social</w:t>
      </w:r>
      <w:proofErr w:type="spellEnd"/>
      <w:r w:rsidRPr="00645DEA">
        <w:rPr>
          <w:rFonts w:cstheme="minorHAnsi"/>
          <w:i/>
          <w:iCs/>
        </w:rPr>
        <w:t xml:space="preserve"> </w:t>
      </w:r>
      <w:proofErr w:type="spellStart"/>
      <w:r w:rsidRPr="00645DEA">
        <w:rPr>
          <w:rFonts w:cstheme="minorHAnsi"/>
          <w:i/>
          <w:iCs/>
        </w:rPr>
        <w:t>Committe</w:t>
      </w:r>
      <w:proofErr w:type="spellEnd"/>
      <w:r w:rsidRPr="00645DEA">
        <w:rPr>
          <w:rFonts w:cstheme="minorHAnsi"/>
          <w:i/>
          <w:iCs/>
        </w:rPr>
        <w:t xml:space="preserve"> and </w:t>
      </w:r>
      <w:proofErr w:type="spellStart"/>
      <w:r w:rsidRPr="00645DEA">
        <w:rPr>
          <w:rFonts w:cstheme="minorHAnsi"/>
          <w:i/>
          <w:iCs/>
        </w:rPr>
        <w:t>the</w:t>
      </w:r>
      <w:proofErr w:type="spellEnd"/>
      <w:r w:rsidRPr="00645DEA">
        <w:rPr>
          <w:rFonts w:cstheme="minorHAnsi"/>
          <w:i/>
          <w:iCs/>
        </w:rPr>
        <w:t xml:space="preserve"> </w:t>
      </w:r>
      <w:proofErr w:type="spellStart"/>
      <w:r w:rsidRPr="00645DEA">
        <w:rPr>
          <w:rFonts w:cstheme="minorHAnsi"/>
          <w:i/>
          <w:iCs/>
        </w:rPr>
        <w:t>Committee</w:t>
      </w:r>
      <w:proofErr w:type="spellEnd"/>
      <w:r w:rsidRPr="00645DEA">
        <w:rPr>
          <w:rFonts w:cstheme="minorHAnsi"/>
          <w:i/>
          <w:iCs/>
        </w:rPr>
        <w:t xml:space="preserve"> of </w:t>
      </w:r>
      <w:proofErr w:type="spellStart"/>
      <w:r w:rsidRPr="00645DEA">
        <w:rPr>
          <w:rFonts w:cstheme="minorHAnsi"/>
          <w:i/>
          <w:iCs/>
        </w:rPr>
        <w:t>the</w:t>
      </w:r>
      <w:proofErr w:type="spellEnd"/>
      <w:r w:rsidRPr="00645DEA">
        <w:rPr>
          <w:rFonts w:cstheme="minorHAnsi"/>
          <w:i/>
          <w:iCs/>
        </w:rPr>
        <w:t xml:space="preserve"> </w:t>
      </w:r>
      <w:proofErr w:type="spellStart"/>
      <w:r w:rsidRPr="00645DEA">
        <w:rPr>
          <w:rFonts w:cstheme="minorHAnsi"/>
          <w:i/>
          <w:iCs/>
        </w:rPr>
        <w:t>Regions</w:t>
      </w:r>
      <w:proofErr w:type="spellEnd"/>
      <w:r w:rsidRPr="00645DEA">
        <w:rPr>
          <w:rFonts w:cstheme="minorHAnsi"/>
          <w:i/>
          <w:iCs/>
        </w:rPr>
        <w:t xml:space="preserve"> ’</w:t>
      </w:r>
      <w:r w:rsidRPr="00645DEA">
        <w:rPr>
          <w:rStyle w:val="Tugev"/>
          <w:rFonts w:cstheme="minorHAnsi"/>
          <w:b w:val="0"/>
          <w:bCs w:val="0"/>
          <w:i/>
          <w:iCs/>
          <w:color w:val="333333"/>
          <w:shd w:val="clear" w:color="auto" w:fill="FFFFFF"/>
        </w:rPr>
        <w:t xml:space="preserve">Research and </w:t>
      </w:r>
      <w:proofErr w:type="spellStart"/>
      <w:r w:rsidRPr="00645DEA">
        <w:rPr>
          <w:rStyle w:val="Tugev"/>
          <w:rFonts w:cstheme="minorHAnsi"/>
          <w:b w:val="0"/>
          <w:bCs w:val="0"/>
          <w:i/>
          <w:iCs/>
          <w:color w:val="333333"/>
          <w:shd w:val="clear" w:color="auto" w:fill="FFFFFF"/>
        </w:rPr>
        <w:t>innovation</w:t>
      </w:r>
      <w:proofErr w:type="spellEnd"/>
      <w:r w:rsidRPr="00645DEA">
        <w:rPr>
          <w:rStyle w:val="Tugev"/>
          <w:rFonts w:cstheme="minorHAnsi"/>
          <w:b w:val="0"/>
          <w:bCs w:val="0"/>
          <w:i/>
          <w:iCs/>
          <w:color w:val="333333"/>
          <w:shd w:val="clear" w:color="auto" w:fill="FFFFFF"/>
        </w:rPr>
        <w:t xml:space="preserve"> as </w:t>
      </w:r>
      <w:proofErr w:type="spellStart"/>
      <w:r w:rsidRPr="00645DEA">
        <w:rPr>
          <w:rStyle w:val="Tugev"/>
          <w:rFonts w:cstheme="minorHAnsi"/>
          <w:b w:val="0"/>
          <w:bCs w:val="0"/>
          <w:i/>
          <w:iCs/>
          <w:color w:val="333333"/>
          <w:shd w:val="clear" w:color="auto" w:fill="FFFFFF"/>
        </w:rPr>
        <w:t>sources</w:t>
      </w:r>
      <w:proofErr w:type="spellEnd"/>
      <w:r w:rsidRPr="00645DEA">
        <w:rPr>
          <w:rStyle w:val="Tugev"/>
          <w:rFonts w:cstheme="minorHAnsi"/>
          <w:b w:val="0"/>
          <w:bCs w:val="0"/>
          <w:i/>
          <w:iCs/>
          <w:color w:val="333333"/>
          <w:shd w:val="clear" w:color="auto" w:fill="FFFFFF"/>
        </w:rPr>
        <w:t xml:space="preserve"> of </w:t>
      </w:r>
      <w:proofErr w:type="spellStart"/>
      <w:r w:rsidRPr="00645DEA">
        <w:rPr>
          <w:rStyle w:val="Tugev"/>
          <w:rFonts w:cstheme="minorHAnsi"/>
          <w:b w:val="0"/>
          <w:bCs w:val="0"/>
          <w:i/>
          <w:iCs/>
          <w:color w:val="333333"/>
          <w:shd w:val="clear" w:color="auto" w:fill="FFFFFF"/>
        </w:rPr>
        <w:t>renewed</w:t>
      </w:r>
      <w:proofErr w:type="spellEnd"/>
      <w:r w:rsidRPr="00645DEA">
        <w:rPr>
          <w:rStyle w:val="Tugev"/>
          <w:rFonts w:cstheme="minorHAnsi"/>
          <w:b w:val="0"/>
          <w:bCs w:val="0"/>
          <w:i/>
          <w:iCs/>
          <w:color w:val="333333"/>
          <w:shd w:val="clear" w:color="auto" w:fill="FFFFFF"/>
        </w:rPr>
        <w:t xml:space="preserve"> </w:t>
      </w:r>
      <w:proofErr w:type="spellStart"/>
      <w:r w:rsidRPr="00645DEA">
        <w:rPr>
          <w:rStyle w:val="Tugev"/>
          <w:rFonts w:cstheme="minorHAnsi"/>
          <w:b w:val="0"/>
          <w:bCs w:val="0"/>
          <w:i/>
          <w:iCs/>
          <w:color w:val="333333"/>
          <w:shd w:val="clear" w:color="auto" w:fill="FFFFFF"/>
        </w:rPr>
        <w:t>growth</w:t>
      </w:r>
      <w:proofErr w:type="spellEnd"/>
      <w:r w:rsidRPr="00645DEA">
        <w:rPr>
          <w:rStyle w:val="Tugev"/>
          <w:rFonts w:cstheme="minorHAnsi"/>
          <w:b w:val="0"/>
          <w:bCs w:val="0"/>
          <w:i/>
          <w:iCs/>
          <w:color w:val="333333"/>
          <w:shd w:val="clear" w:color="auto" w:fill="FFFFFF"/>
        </w:rPr>
        <w:t>’</w:t>
      </w:r>
      <w:r w:rsidRPr="00874107">
        <w:rPr>
          <w:rFonts w:cstheme="minorHAnsi"/>
        </w:rPr>
        <w:t xml:space="preserve"> </w:t>
      </w:r>
    </w:p>
  </w:footnote>
  <w:footnote w:id="12">
    <w:p w14:paraId="27DA8C35" w14:textId="77777777" w:rsidR="00A30E4B" w:rsidRDefault="00A30E4B" w:rsidP="00136708">
      <w:pPr>
        <w:pStyle w:val="Allmrkusetekst"/>
        <w:jc w:val="both"/>
      </w:pPr>
      <w:r>
        <w:rPr>
          <w:rStyle w:val="Allmrkuseviide"/>
        </w:rPr>
        <w:footnoteRef/>
      </w:r>
      <w:r>
        <w:t xml:space="preserve"> Kinnitatud haridus- ja teadusministri käskkirjaga „Toetuse andmise tingimuste kehtestamine tegevuse „IT Akadeemia teaduse toetusmeetme rakendamine“ elluviimiseks“</w:t>
      </w:r>
    </w:p>
  </w:footnote>
  <w:footnote w:id="13">
    <w:p w14:paraId="0641A6F2" w14:textId="77777777" w:rsidR="00A30E4B" w:rsidRDefault="00A30E4B" w:rsidP="00136708">
      <w:pPr>
        <w:pStyle w:val="Allmrkusetekst"/>
        <w:jc w:val="both"/>
      </w:pPr>
      <w:r>
        <w:rPr>
          <w:rStyle w:val="Allmrkuseviide"/>
        </w:rPr>
        <w:footnoteRef/>
      </w:r>
      <w:r>
        <w:t xml:space="preserve"> Kinnitatud haridus- ja teadusministri käskkirjaga „Toetuse andmise tingimuste kehtestamine tegevuse</w:t>
      </w:r>
    </w:p>
    <w:p w14:paraId="1FAE55A7" w14:textId="77777777" w:rsidR="00A30E4B" w:rsidRDefault="00A30E4B" w:rsidP="00136708">
      <w:pPr>
        <w:pStyle w:val="Allmrkusetekst"/>
        <w:jc w:val="both"/>
      </w:pPr>
      <w:r>
        <w:t xml:space="preserve">„Ressursside </w:t>
      </w:r>
      <w:proofErr w:type="spellStart"/>
      <w:r>
        <w:t>väärindamise</w:t>
      </w:r>
      <w:proofErr w:type="spellEnd"/>
      <w:r>
        <w:t xml:space="preserve"> alase teadus- ja arendustegevuse toetamine“ elluviimiseks“</w:t>
      </w:r>
      <w:r>
        <w:cr/>
      </w:r>
    </w:p>
  </w:footnote>
  <w:footnote w:id="14">
    <w:p w14:paraId="2ED6D5F3" w14:textId="224DDFBE" w:rsidR="007E444F" w:rsidRDefault="007E444F">
      <w:pPr>
        <w:pStyle w:val="Allmrkusetekst"/>
      </w:pPr>
      <w:r>
        <w:rPr>
          <w:rStyle w:val="Allmrkuseviide"/>
        </w:rPr>
        <w:footnoteRef/>
      </w:r>
      <w:r>
        <w:t xml:space="preserve"> Vt </w:t>
      </w:r>
      <w:proofErr w:type="spellStart"/>
      <w:r w:rsidR="003B171B">
        <w:t>ETAGi</w:t>
      </w:r>
      <w:proofErr w:type="spellEnd"/>
      <w:r w:rsidR="003B171B">
        <w:t xml:space="preserve"> uurimistoetuste grandimahud </w:t>
      </w:r>
      <w:hyperlink r:id="rId4" w:history="1">
        <w:r w:rsidR="003B171B" w:rsidRPr="00AA07A1">
          <w:rPr>
            <w:rStyle w:val="Hperlink"/>
          </w:rPr>
          <w:t>https://etag.ee/rahastamine/uurimistoetused/personaalne-uurimistoetus/put-taotlusvoor-2022/grantide-kkk-2022/</w:t>
        </w:r>
      </w:hyperlink>
      <w:r w:rsidR="003B171B">
        <w:t xml:space="preserve"> </w:t>
      </w:r>
    </w:p>
  </w:footnote>
  <w:footnote w:id="15">
    <w:p w14:paraId="2557F82F" w14:textId="20029E6B" w:rsidR="007E444F" w:rsidRDefault="007E444F">
      <w:pPr>
        <w:pStyle w:val="Allmrkusetekst"/>
      </w:pPr>
      <w:r>
        <w:rPr>
          <w:rStyle w:val="Allmrkuseviide"/>
        </w:rPr>
        <w:footnoteRef/>
      </w:r>
      <w:r>
        <w:t xml:space="preserve"> Vt </w:t>
      </w:r>
      <w:hyperlink r:id="rId5" w:history="1">
        <w:r w:rsidRPr="00AA07A1">
          <w:rPr>
            <w:rStyle w:val="Hperlink"/>
          </w:rPr>
          <w:t>https://www.etag.ee/rahastamine/mobiilsustoetused/tagasipoorduva-teadlase-toetus/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C5F"/>
    <w:multiLevelType w:val="hybridMultilevel"/>
    <w:tmpl w:val="91FC174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1397951"/>
    <w:multiLevelType w:val="hybridMultilevel"/>
    <w:tmpl w:val="7B725C26"/>
    <w:lvl w:ilvl="0" w:tplc="042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8F95019"/>
    <w:multiLevelType w:val="hybridMultilevel"/>
    <w:tmpl w:val="3EE688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1F3B60F8"/>
    <w:multiLevelType w:val="hybridMultilevel"/>
    <w:tmpl w:val="A53801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57E06FE"/>
    <w:multiLevelType w:val="hybridMultilevel"/>
    <w:tmpl w:val="F446A7FA"/>
    <w:lvl w:ilvl="0" w:tplc="042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89227B1"/>
    <w:multiLevelType w:val="hybridMultilevel"/>
    <w:tmpl w:val="B0E4C668"/>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F9D60D0"/>
    <w:multiLevelType w:val="hybridMultilevel"/>
    <w:tmpl w:val="DDCEC5A4"/>
    <w:lvl w:ilvl="0" w:tplc="042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64538AB"/>
    <w:multiLevelType w:val="hybridMultilevel"/>
    <w:tmpl w:val="D712870E"/>
    <w:lvl w:ilvl="0" w:tplc="042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7212CDC"/>
    <w:multiLevelType w:val="hybridMultilevel"/>
    <w:tmpl w:val="926E2B4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3CC45EB4"/>
    <w:multiLevelType w:val="hybridMultilevel"/>
    <w:tmpl w:val="960E3480"/>
    <w:lvl w:ilvl="0" w:tplc="2B4EB4E0">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6D222C0"/>
    <w:multiLevelType w:val="hybridMultilevel"/>
    <w:tmpl w:val="AFAA8DD0"/>
    <w:lvl w:ilvl="0" w:tplc="1A8E440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58EE5AA7"/>
    <w:multiLevelType w:val="hybridMultilevel"/>
    <w:tmpl w:val="4E1E268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A1E3ED9"/>
    <w:multiLevelType w:val="hybridMultilevel"/>
    <w:tmpl w:val="9D58E1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7F182102"/>
    <w:multiLevelType w:val="hybridMultilevel"/>
    <w:tmpl w:val="2248734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16cid:durableId="219709291">
    <w:abstractNumId w:val="12"/>
  </w:num>
  <w:num w:numId="2" w16cid:durableId="217403885">
    <w:abstractNumId w:val="4"/>
  </w:num>
  <w:num w:numId="3" w16cid:durableId="930506109">
    <w:abstractNumId w:val="0"/>
  </w:num>
  <w:num w:numId="4" w16cid:durableId="727798413">
    <w:abstractNumId w:val="1"/>
  </w:num>
  <w:num w:numId="5" w16cid:durableId="377438355">
    <w:abstractNumId w:val="2"/>
  </w:num>
  <w:num w:numId="6" w16cid:durableId="1638222930">
    <w:abstractNumId w:val="10"/>
  </w:num>
  <w:num w:numId="7" w16cid:durableId="791097201">
    <w:abstractNumId w:val="8"/>
  </w:num>
  <w:num w:numId="8" w16cid:durableId="681930261">
    <w:abstractNumId w:val="5"/>
  </w:num>
  <w:num w:numId="9" w16cid:durableId="1462916302">
    <w:abstractNumId w:val="3"/>
  </w:num>
  <w:num w:numId="10" w16cid:durableId="1642727197">
    <w:abstractNumId w:val="11"/>
  </w:num>
  <w:num w:numId="11" w16cid:durableId="1562865801">
    <w:abstractNumId w:val="13"/>
  </w:num>
  <w:num w:numId="12" w16cid:durableId="1560360328">
    <w:abstractNumId w:val="6"/>
  </w:num>
  <w:num w:numId="13" w16cid:durableId="628364261">
    <w:abstractNumId w:val="7"/>
  </w:num>
  <w:num w:numId="14" w16cid:durableId="508760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11"/>
    <w:rsid w:val="00002877"/>
    <w:rsid w:val="000A0EA7"/>
    <w:rsid w:val="000B1111"/>
    <w:rsid w:val="000D230A"/>
    <w:rsid w:val="000F763C"/>
    <w:rsid w:val="00136689"/>
    <w:rsid w:val="00136708"/>
    <w:rsid w:val="0018459D"/>
    <w:rsid w:val="00186120"/>
    <w:rsid w:val="0019351C"/>
    <w:rsid w:val="001A6DBF"/>
    <w:rsid w:val="001C4CBB"/>
    <w:rsid w:val="0028244F"/>
    <w:rsid w:val="00286CBB"/>
    <w:rsid w:val="00293F9F"/>
    <w:rsid w:val="002B2713"/>
    <w:rsid w:val="00306346"/>
    <w:rsid w:val="003279EC"/>
    <w:rsid w:val="00332DA8"/>
    <w:rsid w:val="00365ED9"/>
    <w:rsid w:val="00387C56"/>
    <w:rsid w:val="00390FCC"/>
    <w:rsid w:val="003A5C63"/>
    <w:rsid w:val="003B09C2"/>
    <w:rsid w:val="003B171B"/>
    <w:rsid w:val="003F43F3"/>
    <w:rsid w:val="003F5B93"/>
    <w:rsid w:val="00402587"/>
    <w:rsid w:val="0047467A"/>
    <w:rsid w:val="005448F5"/>
    <w:rsid w:val="00545247"/>
    <w:rsid w:val="005854DA"/>
    <w:rsid w:val="005C30DB"/>
    <w:rsid w:val="00600A07"/>
    <w:rsid w:val="00602FAF"/>
    <w:rsid w:val="0062222D"/>
    <w:rsid w:val="006240FC"/>
    <w:rsid w:val="00627E2A"/>
    <w:rsid w:val="00645DEA"/>
    <w:rsid w:val="0064639F"/>
    <w:rsid w:val="00682357"/>
    <w:rsid w:val="006D2D63"/>
    <w:rsid w:val="00716F46"/>
    <w:rsid w:val="00732652"/>
    <w:rsid w:val="00745BD7"/>
    <w:rsid w:val="00774199"/>
    <w:rsid w:val="00780514"/>
    <w:rsid w:val="007806BC"/>
    <w:rsid w:val="007C7455"/>
    <w:rsid w:val="007E444F"/>
    <w:rsid w:val="007F2190"/>
    <w:rsid w:val="00805508"/>
    <w:rsid w:val="00874107"/>
    <w:rsid w:val="00886BE6"/>
    <w:rsid w:val="008877A3"/>
    <w:rsid w:val="008919F7"/>
    <w:rsid w:val="008D6614"/>
    <w:rsid w:val="008D76E7"/>
    <w:rsid w:val="008F570C"/>
    <w:rsid w:val="009150EE"/>
    <w:rsid w:val="00965736"/>
    <w:rsid w:val="00A30E4B"/>
    <w:rsid w:val="00A41FDF"/>
    <w:rsid w:val="00AA7BC9"/>
    <w:rsid w:val="00B00765"/>
    <w:rsid w:val="00B23D54"/>
    <w:rsid w:val="00B46D8D"/>
    <w:rsid w:val="00B7198A"/>
    <w:rsid w:val="00BB1A9E"/>
    <w:rsid w:val="00BC1DBE"/>
    <w:rsid w:val="00BC61C2"/>
    <w:rsid w:val="00C01E04"/>
    <w:rsid w:val="00C30E5C"/>
    <w:rsid w:val="00C32638"/>
    <w:rsid w:val="00C43F19"/>
    <w:rsid w:val="00C472CC"/>
    <w:rsid w:val="00C532F3"/>
    <w:rsid w:val="00C80CE0"/>
    <w:rsid w:val="00D0726C"/>
    <w:rsid w:val="00DB6493"/>
    <w:rsid w:val="00DD6380"/>
    <w:rsid w:val="00DF6EEA"/>
    <w:rsid w:val="00E06F45"/>
    <w:rsid w:val="00E34EB3"/>
    <w:rsid w:val="00E41DE5"/>
    <w:rsid w:val="00E44D70"/>
    <w:rsid w:val="00E566D4"/>
    <w:rsid w:val="00EF32D1"/>
    <w:rsid w:val="00F018A1"/>
    <w:rsid w:val="00F0203E"/>
    <w:rsid w:val="00F0437C"/>
    <w:rsid w:val="00F86C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99BC"/>
  <w15:chartTrackingRefBased/>
  <w15:docId w15:val="{D824D17C-743B-4892-8877-1CB79EC5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B111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References,numbered list,Listenabsatz1,Sąrašo pastraipa.Bullet,Bullet EY,Sąrašo pastraipa1,Numbering,ERP-List Paragraph,List Paragraph11,List Paragraph1,Sąrašo pastraipa,Bullet"/>
    <w:basedOn w:val="Normaallaad"/>
    <w:link w:val="LoendilikMrk"/>
    <w:uiPriority w:val="34"/>
    <w:qFormat/>
    <w:rsid w:val="000B1111"/>
    <w:pPr>
      <w:ind w:left="720"/>
      <w:contextualSpacing/>
    </w:pPr>
  </w:style>
  <w:style w:type="character" w:customStyle="1" w:styleId="LoendilikMrk">
    <w:name w:val="Loendi lõik Märk"/>
    <w:aliases w:val="Mummuga loetelu Märk,References Märk,numbered list Märk,Listenabsatz1 Märk,Sąrašo pastraipa.Bullet Märk,Bullet EY Märk,Sąrašo pastraipa1 Märk,Numbering Märk,ERP-List Paragraph Märk,List Paragraph11 Märk,List Paragraph1 Märk,Bullet Märk"/>
    <w:link w:val="Loendilik"/>
    <w:uiPriority w:val="34"/>
    <w:locked/>
    <w:rsid w:val="000B1111"/>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allaad"/>
    <w:link w:val="AllmrkusetekstMrk"/>
    <w:uiPriority w:val="99"/>
    <w:unhideWhenUsed/>
    <w:qFormat/>
    <w:rsid w:val="000B1111"/>
    <w:pPr>
      <w:spacing w:after="0" w:line="240" w:lineRule="auto"/>
    </w:pPr>
    <w:rPr>
      <w:sz w:val="20"/>
      <w:szCs w:val="20"/>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uiPriority w:val="99"/>
    <w:rsid w:val="000B1111"/>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Ref,de nota al pie,fr,ftref,o"/>
    <w:basedOn w:val="Liguvaikefont"/>
    <w:uiPriority w:val="99"/>
    <w:unhideWhenUsed/>
    <w:rsid w:val="000B1111"/>
    <w:rPr>
      <w:vertAlign w:val="superscript"/>
    </w:rPr>
  </w:style>
  <w:style w:type="character" w:styleId="Hperlink">
    <w:name w:val="Hyperlink"/>
    <w:basedOn w:val="Liguvaikefont"/>
    <w:uiPriority w:val="99"/>
    <w:unhideWhenUsed/>
    <w:rsid w:val="000B1111"/>
    <w:rPr>
      <w:color w:val="0563C1" w:themeColor="hyperlink"/>
      <w:u w:val="single"/>
    </w:rPr>
  </w:style>
  <w:style w:type="character" w:styleId="Kommentaariviide">
    <w:name w:val="annotation reference"/>
    <w:basedOn w:val="Liguvaikefont"/>
    <w:uiPriority w:val="99"/>
    <w:semiHidden/>
    <w:unhideWhenUsed/>
    <w:rsid w:val="00A30E4B"/>
    <w:rPr>
      <w:sz w:val="16"/>
      <w:szCs w:val="16"/>
    </w:rPr>
  </w:style>
  <w:style w:type="paragraph" w:styleId="Kommentaaritekst">
    <w:name w:val="annotation text"/>
    <w:basedOn w:val="Normaallaad"/>
    <w:link w:val="KommentaaritekstMrk"/>
    <w:uiPriority w:val="99"/>
    <w:unhideWhenUsed/>
    <w:rsid w:val="00A30E4B"/>
    <w:pPr>
      <w:spacing w:line="240" w:lineRule="auto"/>
    </w:pPr>
    <w:rPr>
      <w:sz w:val="20"/>
      <w:szCs w:val="20"/>
    </w:rPr>
  </w:style>
  <w:style w:type="character" w:customStyle="1" w:styleId="KommentaaritekstMrk">
    <w:name w:val="Kommentaari tekst Märk"/>
    <w:basedOn w:val="Liguvaikefont"/>
    <w:link w:val="Kommentaaritekst"/>
    <w:uiPriority w:val="99"/>
    <w:rsid w:val="00A30E4B"/>
    <w:rPr>
      <w:sz w:val="20"/>
      <w:szCs w:val="20"/>
    </w:rPr>
  </w:style>
  <w:style w:type="paragraph" w:styleId="Kommentaariteema">
    <w:name w:val="annotation subject"/>
    <w:basedOn w:val="Kommentaaritekst"/>
    <w:next w:val="Kommentaaritekst"/>
    <w:link w:val="KommentaariteemaMrk"/>
    <w:uiPriority w:val="99"/>
    <w:semiHidden/>
    <w:unhideWhenUsed/>
    <w:rsid w:val="00A30E4B"/>
    <w:rPr>
      <w:b/>
      <w:bCs/>
    </w:rPr>
  </w:style>
  <w:style w:type="character" w:customStyle="1" w:styleId="KommentaariteemaMrk">
    <w:name w:val="Kommentaari teema Märk"/>
    <w:basedOn w:val="KommentaaritekstMrk"/>
    <w:link w:val="Kommentaariteema"/>
    <w:uiPriority w:val="99"/>
    <w:semiHidden/>
    <w:rsid w:val="00A30E4B"/>
    <w:rPr>
      <w:b/>
      <w:bCs/>
      <w:sz w:val="20"/>
      <w:szCs w:val="20"/>
    </w:rPr>
  </w:style>
  <w:style w:type="table" w:styleId="Kontuurtabel">
    <w:name w:val="Table Grid"/>
    <w:basedOn w:val="Normaaltabel"/>
    <w:uiPriority w:val="39"/>
    <w:rsid w:val="008D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F86C9D"/>
    <w:rPr>
      <w:color w:val="605E5C"/>
      <w:shd w:val="clear" w:color="auto" w:fill="E1DFDD"/>
    </w:rPr>
  </w:style>
  <w:style w:type="paragraph" w:styleId="Pis">
    <w:name w:val="header"/>
    <w:basedOn w:val="Normaallaad"/>
    <w:link w:val="PisMrk"/>
    <w:uiPriority w:val="99"/>
    <w:unhideWhenUsed/>
    <w:rsid w:val="00136708"/>
    <w:pPr>
      <w:tabs>
        <w:tab w:val="center" w:pos="4536"/>
        <w:tab w:val="right" w:pos="9072"/>
      </w:tabs>
      <w:spacing w:after="0" w:line="240" w:lineRule="auto"/>
    </w:pPr>
  </w:style>
  <w:style w:type="character" w:customStyle="1" w:styleId="PisMrk">
    <w:name w:val="Päis Märk"/>
    <w:basedOn w:val="Liguvaikefont"/>
    <w:link w:val="Pis"/>
    <w:uiPriority w:val="99"/>
    <w:rsid w:val="00136708"/>
  </w:style>
  <w:style w:type="paragraph" w:styleId="Jalus">
    <w:name w:val="footer"/>
    <w:basedOn w:val="Normaallaad"/>
    <w:link w:val="JalusMrk"/>
    <w:uiPriority w:val="99"/>
    <w:unhideWhenUsed/>
    <w:rsid w:val="00136708"/>
    <w:pPr>
      <w:tabs>
        <w:tab w:val="center" w:pos="4536"/>
        <w:tab w:val="right" w:pos="9072"/>
      </w:tabs>
      <w:spacing w:after="0" w:line="240" w:lineRule="auto"/>
    </w:pPr>
  </w:style>
  <w:style w:type="character" w:customStyle="1" w:styleId="JalusMrk">
    <w:name w:val="Jalus Märk"/>
    <w:basedOn w:val="Liguvaikefont"/>
    <w:link w:val="Jalus"/>
    <w:uiPriority w:val="99"/>
    <w:rsid w:val="00136708"/>
  </w:style>
  <w:style w:type="paragraph" w:styleId="Redaktsioon">
    <w:name w:val="Revision"/>
    <w:hidden/>
    <w:uiPriority w:val="99"/>
    <w:semiHidden/>
    <w:rsid w:val="008877A3"/>
    <w:pPr>
      <w:spacing w:after="0" w:line="240" w:lineRule="auto"/>
    </w:pPr>
  </w:style>
  <w:style w:type="character" w:styleId="Tugev">
    <w:name w:val="Strong"/>
    <w:basedOn w:val="Liguvaikefont"/>
    <w:uiPriority w:val="22"/>
    <w:qFormat/>
    <w:rsid w:val="00874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rosend@hm.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a.lood@hm.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industry-and-services/effective-operation-of-competitive-research-funding-systems_2ae8c0dc-en" TargetMode="External"/><Relationship Id="rId2" Type="http://schemas.openxmlformats.org/officeDocument/2006/relationships/hyperlink" Target="https://rio.jrc.ec.europa.eu/en/library/peer-review-estonian-research-and-innovation-system-final-report" TargetMode="External"/><Relationship Id="rId1" Type="http://schemas.openxmlformats.org/officeDocument/2006/relationships/hyperlink" Target="https://rio.jrc.ec.europa.eu/en/library/peer-review-estonian-research-and-innovation-system-final-report" TargetMode="External"/><Relationship Id="rId5" Type="http://schemas.openxmlformats.org/officeDocument/2006/relationships/hyperlink" Target="https://www.etag.ee/rahastamine/mobiilsustoetused/tagasipoorduva-teadlase-toetus/" TargetMode="External"/><Relationship Id="rId4" Type="http://schemas.openxmlformats.org/officeDocument/2006/relationships/hyperlink" Target="https://etag.ee/rahastamine/uurimistoetused/personaalne-uurimistoetus/put-taotlusvoor-2022/grantide-kkk-2022/"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687D1518E5FB43AFB4A67121B614F0" ma:contentTypeVersion="2" ma:contentTypeDescription="Loo uus dokument" ma:contentTypeScope="" ma:versionID="05f41f39345e7ffb2641204b71cd7836">
  <xsd:schema xmlns:xsd="http://www.w3.org/2001/XMLSchema" xmlns:xs="http://www.w3.org/2001/XMLSchema" xmlns:p="http://schemas.microsoft.com/office/2006/metadata/properties" xmlns:ns1="http://schemas.microsoft.com/sharepoint/v3" xmlns:ns2="a7338fc0-1f71-47ca-af62-527eb90cb0f3" targetNamespace="http://schemas.microsoft.com/office/2006/metadata/properties" ma:root="true" ma:fieldsID="b7d18e2338e437220cd68f230ab1a59e" ns1:_="" ns2:_="">
    <xsd:import namespace="http://schemas.microsoft.com/sharepoint/v3"/>
    <xsd:import namespace="a7338fc0-1f71-47ca-af62-527eb90cb0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astamise alguskuupäev" ma:description="Veerg Ajastamise alguskuupäev on avaldamisfunktsiooni loodud saidiveerg, mille abil määratakse kuupäev ja kellaaeg, kui lehte esimest korda külastajatele kuvatakse." ma:hidden="true" ma:internalName="PublishingStartDate">
      <xsd:simpleType>
        <xsd:restriction base="dms:Unknown"/>
      </xsd:simpleType>
    </xsd:element>
    <xsd:element name="PublishingExpirationDate" ma:index="9" nillable="true" ma:displayName="Ajastamise lõppkuupäev" ma:description="Veerg Ajastamise lõppkuupäev on avaldamisfunktsiooni loodud saidiveerg, mille abil määratakse kuupäev ja kellaaeg, kui lehte enam külastajatele ei kuvat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338fc0-1f71-47ca-af62-527eb90cb0f3" elementFormDefault="qualified">
    <xsd:import namespace="http://schemas.microsoft.com/office/2006/documentManagement/types"/>
    <xsd:import namespace="http://schemas.microsoft.com/office/infopath/2007/PartnerControls"/>
    <xsd:element name="SharedWithUsers" ma:index="10"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C597-3123-400A-9BAF-69AC3702FA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BF16E7-C44C-4504-83E9-DD624FE8E7BE}">
  <ds:schemaRefs>
    <ds:schemaRef ds:uri="http://schemas.microsoft.com/sharepoint/v3/contenttype/forms"/>
  </ds:schemaRefs>
</ds:datastoreItem>
</file>

<file path=customXml/itemProps3.xml><?xml version="1.0" encoding="utf-8"?>
<ds:datastoreItem xmlns:ds="http://schemas.openxmlformats.org/officeDocument/2006/customXml" ds:itemID="{515CEA4D-9B07-4E3F-99D9-384D05E5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38fc0-1f71-47ca-af62-527eb90c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190F8-96C6-476B-9770-2ACAC3D5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16381</Characters>
  <Application>Microsoft Office Word</Application>
  <DocSecurity>0</DocSecurity>
  <Lines>136</Lines>
  <Paragraphs>38</Paragraphs>
  <ScaleCrop>false</ScaleCrop>
  <HeadingPairs>
    <vt:vector size="2" baseType="variant">
      <vt:variant>
        <vt:lpstr>Pealkiri</vt:lpstr>
      </vt:variant>
      <vt:variant>
        <vt:i4>1</vt:i4>
      </vt:variant>
    </vt:vector>
  </HeadingPairs>
  <TitlesOfParts>
    <vt:vector size="1" baseType="lpstr">
      <vt:lpstr/>
    </vt:vector>
  </TitlesOfParts>
  <Company>Haridus- ja Teadusministeerium</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 Lood</dc:creator>
  <cp:keywords/>
  <dc:description/>
  <cp:lastModifiedBy>Hella Lood</cp:lastModifiedBy>
  <cp:revision>2</cp:revision>
  <dcterms:created xsi:type="dcterms:W3CDTF">2023-01-24T06:41:00Z</dcterms:created>
  <dcterms:modified xsi:type="dcterms:W3CDTF">2023-01-24T06:41:00Z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0x0101004A687D1518E5FB43AFB4A67121B614F0</vt:lpwstr>
  </property>
</Properties>
</file>