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A2AEAA7" w:rsidR="006A372C" w:rsidRDefault="661639ED" w:rsidP="006C1C37">
      <w:pPr>
        <w:pStyle w:val="Heading1"/>
        <w:jc w:val="both"/>
      </w:pPr>
      <w:r>
        <w:t xml:space="preserve">Council draft </w:t>
      </w:r>
      <w:r w:rsidR="00E7021F">
        <w:t>report</w:t>
      </w:r>
      <w:r>
        <w:t xml:space="preserve"> for 20 December</w:t>
      </w:r>
    </w:p>
    <w:p w14:paraId="5B561A4A" w14:textId="0993D4AB" w:rsidR="1C41F501" w:rsidRDefault="1C41F501" w:rsidP="006C1C37">
      <w:pPr>
        <w:jc w:val="both"/>
      </w:pPr>
    </w:p>
    <w:p w14:paraId="3BBC0984" w14:textId="2F1768BA" w:rsidR="00056A94" w:rsidRDefault="004E5E6B" w:rsidP="004E5E6B">
      <w:pPr>
        <w:jc w:val="both"/>
      </w:pPr>
      <w:r>
        <w:t xml:space="preserve">The </w:t>
      </w:r>
      <w:r w:rsidR="005541DF">
        <w:t xml:space="preserve">Presidency prepared an </w:t>
      </w:r>
      <w:r>
        <w:t xml:space="preserve">Annex draft compromise proposal for the revised </w:t>
      </w:r>
      <w:r w:rsidR="005541DF">
        <w:t>IED</w:t>
      </w:r>
      <w:r w:rsidR="00EE19B3">
        <w:t xml:space="preserve"> (hereinafter, the Compromise Text)</w:t>
      </w:r>
      <w:r w:rsidR="005541DF">
        <w:t>, which was presented in  the Council meeting on 20 December.</w:t>
      </w:r>
      <w:r>
        <w:t xml:space="preserve"> </w:t>
      </w:r>
      <w:r w:rsidR="47D2DB14">
        <w:t xml:space="preserve">While the Council Environment Working Party has improved many aspects of the </w:t>
      </w:r>
      <w:r w:rsidR="0530D9AD">
        <w:t xml:space="preserve">initial </w:t>
      </w:r>
      <w:r w:rsidR="478A6196">
        <w:t xml:space="preserve">Commission’s proposal, there are still few points that </w:t>
      </w:r>
      <w:r w:rsidR="4BA1D438">
        <w:t xml:space="preserve">should be amended. </w:t>
      </w:r>
      <w:r w:rsidR="00056A94">
        <w:t>Please see bel</w:t>
      </w:r>
      <w:r w:rsidR="006D47F1">
        <w:t xml:space="preserve">ow </w:t>
      </w:r>
      <w:r w:rsidR="6F36CC8C">
        <w:t>Cefic</w:t>
      </w:r>
      <w:r w:rsidR="00054F59">
        <w:t xml:space="preserve"> red lines</w:t>
      </w:r>
      <w:r w:rsidR="1C288664">
        <w:t xml:space="preserve"> in relation with Cefic </w:t>
      </w:r>
      <w:r w:rsidR="6CC17D5C">
        <w:t xml:space="preserve">Position </w:t>
      </w:r>
      <w:r w:rsidR="1C288664">
        <w:t>Paper</w:t>
      </w:r>
      <w:r w:rsidR="00054F59">
        <w:t>:</w:t>
      </w:r>
    </w:p>
    <w:p w14:paraId="3CC6BBD8" w14:textId="535EADBA" w:rsidR="00056A94" w:rsidRDefault="008C6991" w:rsidP="008C6991">
      <w:pPr>
        <w:pStyle w:val="ListParagraph"/>
        <w:numPr>
          <w:ilvl w:val="0"/>
          <w:numId w:val="8"/>
        </w:numPr>
        <w:jc w:val="both"/>
      </w:pPr>
      <w:r>
        <w:t>Art 15.3</w:t>
      </w:r>
      <w:r w:rsidR="00B41599">
        <w:t xml:space="preserve">: the compromise text proposed </w:t>
      </w:r>
      <w:r w:rsidR="00A805DB">
        <w:t>is</w:t>
      </w:r>
      <w:r w:rsidR="00B41599">
        <w:t xml:space="preserve"> not resolving the </w:t>
      </w:r>
      <w:r w:rsidR="00377BA2">
        <w:t xml:space="preserve">issue of setting the </w:t>
      </w:r>
      <w:r w:rsidR="00A805DB" w:rsidRPr="002A4D67">
        <w:rPr>
          <w:rFonts w:eastAsia="Times New Roman"/>
          <w:sz w:val="23"/>
          <w:szCs w:val="23"/>
        </w:rPr>
        <w:t>strictest possible emission limit values</w:t>
      </w:r>
      <w:r w:rsidR="00A805DB">
        <w:rPr>
          <w:rFonts w:eastAsia="Times New Roman"/>
          <w:sz w:val="23"/>
          <w:szCs w:val="23"/>
        </w:rPr>
        <w:t xml:space="preserve">, while we </w:t>
      </w:r>
      <w:r w:rsidR="0088315A">
        <w:rPr>
          <w:rFonts w:eastAsia="Times New Roman"/>
          <w:sz w:val="23"/>
          <w:szCs w:val="23"/>
        </w:rPr>
        <w:t>think</w:t>
      </w:r>
      <w:r w:rsidR="00A805DB">
        <w:rPr>
          <w:rFonts w:eastAsia="Times New Roman"/>
          <w:sz w:val="23"/>
          <w:szCs w:val="23"/>
        </w:rPr>
        <w:t xml:space="preserve"> that the competent authority should consider the whole BAT range</w:t>
      </w:r>
    </w:p>
    <w:p w14:paraId="1922BF8A" w14:textId="4D4CE922" w:rsidR="00C65CCF" w:rsidRDefault="00C65CCF" w:rsidP="008C6991">
      <w:pPr>
        <w:pStyle w:val="ListParagraph"/>
        <w:numPr>
          <w:ilvl w:val="0"/>
          <w:numId w:val="8"/>
        </w:numPr>
        <w:jc w:val="both"/>
      </w:pPr>
      <w:r>
        <w:t>Art 15.3a</w:t>
      </w:r>
      <w:r w:rsidR="00E82E37">
        <w:t>:</w:t>
      </w:r>
      <w:r w:rsidR="00FB7260">
        <w:t xml:space="preserve"> the associated emission performance levels (AEPLs) are still binding</w:t>
      </w:r>
      <w:r w:rsidR="001049E8">
        <w:t>, while we consider these should remain indicative</w:t>
      </w:r>
    </w:p>
    <w:p w14:paraId="14C6E885" w14:textId="40FBD6C3" w:rsidR="004F7067" w:rsidRPr="005E12C1" w:rsidRDefault="00187853" w:rsidP="008C6991">
      <w:pPr>
        <w:pStyle w:val="ListParagraph"/>
        <w:numPr>
          <w:ilvl w:val="0"/>
          <w:numId w:val="8"/>
        </w:numPr>
        <w:jc w:val="both"/>
      </w:pPr>
      <w:r>
        <w:t xml:space="preserve">Art 14a: </w:t>
      </w:r>
      <w:r w:rsidR="004F7067">
        <w:t>Environmental Management systems are still binding in the compromise text, while we consider these should</w:t>
      </w:r>
      <w:r w:rsidR="002801CA">
        <w:t xml:space="preserve"> </w:t>
      </w:r>
      <w:r w:rsidR="00B1127B">
        <w:t xml:space="preserve">be </w:t>
      </w:r>
      <w:r w:rsidR="00E67CC8" w:rsidRPr="005E12C1">
        <w:t xml:space="preserve">developed </w:t>
      </w:r>
      <w:r w:rsidR="00B1127B">
        <w:t xml:space="preserve">as non-binding </w:t>
      </w:r>
      <w:r w:rsidR="00390417">
        <w:t xml:space="preserve">operators obligations </w:t>
      </w:r>
      <w:r w:rsidR="006526BF" w:rsidRPr="005E12C1">
        <w:t>at corporate level</w:t>
      </w:r>
      <w:r w:rsidR="006526BF">
        <w:t xml:space="preserve"> </w:t>
      </w:r>
      <w:r w:rsidR="00390417">
        <w:t>and not permit requirement</w:t>
      </w:r>
      <w:r w:rsidR="00B20A69">
        <w:t>.</w:t>
      </w:r>
      <w:r w:rsidR="00E67CC8" w:rsidRPr="005E12C1">
        <w:t xml:space="preserve"> </w:t>
      </w:r>
    </w:p>
    <w:p w14:paraId="4DFCB3C6" w14:textId="4D056C60" w:rsidR="00D267DD" w:rsidRDefault="00D267DD" w:rsidP="008C6991">
      <w:pPr>
        <w:pStyle w:val="ListParagraph"/>
        <w:numPr>
          <w:ilvl w:val="0"/>
          <w:numId w:val="8"/>
        </w:numPr>
        <w:jc w:val="both"/>
      </w:pPr>
      <w:r w:rsidRPr="00D267DD">
        <w:t>Article 13(2). Cefic recommends to restrict access to confidential and commercially sensitive data facilitated by industrial sites to the Commission and civil servants from ECHA and national competent authorities who are bound by law to an obligation of professional secrecy.</w:t>
      </w:r>
    </w:p>
    <w:p w14:paraId="0C7BF2D6" w14:textId="5A7726A3" w:rsidR="009F4386" w:rsidRPr="00054F59" w:rsidRDefault="6CAF6AA2" w:rsidP="008C6991">
      <w:pPr>
        <w:pStyle w:val="ListParagraph"/>
        <w:numPr>
          <w:ilvl w:val="0"/>
          <w:numId w:val="8"/>
        </w:numPr>
        <w:jc w:val="both"/>
      </w:pPr>
      <w:r>
        <w:t>On penalties, Article 79(1): Cefic recommends the addition of a reference to the need for administrative sanctions to respect the provisions of the Charter of Fundamental Rights of the EU.</w:t>
      </w:r>
      <w:r w:rsidR="7F8D0549">
        <w:t xml:space="preserve"> </w:t>
      </w:r>
    </w:p>
    <w:p w14:paraId="1BC757B0" w14:textId="07C41BEC" w:rsidR="009F4386" w:rsidRPr="00054F59" w:rsidRDefault="6CAF6AA2" w:rsidP="008C6991">
      <w:pPr>
        <w:pStyle w:val="ListParagraph"/>
        <w:numPr>
          <w:ilvl w:val="0"/>
          <w:numId w:val="8"/>
        </w:numPr>
        <w:jc w:val="both"/>
      </w:pPr>
      <w:r>
        <w:t xml:space="preserve">On compensation, </w:t>
      </w:r>
      <w:r w:rsidRPr="7289FCBE">
        <w:rPr>
          <w:rFonts w:eastAsia="Times New Roman"/>
          <w:b/>
          <w:bCs/>
        </w:rPr>
        <w:t xml:space="preserve">Article 79a(1): </w:t>
      </w:r>
      <w:r w:rsidRPr="7289FCBE">
        <w:rPr>
          <w:rFonts w:eastAsia="Times New Roman"/>
        </w:rPr>
        <w:t xml:space="preserve">Cefic </w:t>
      </w:r>
      <w:r w:rsidRPr="7289FCBE">
        <w:rPr>
          <w:rFonts w:eastAsia="Times New Roman"/>
          <w:b/>
          <w:bCs/>
        </w:rPr>
        <w:t xml:space="preserve">cautions against </w:t>
      </w:r>
      <w:r w:rsidRPr="7289FCBE">
        <w:rPr>
          <w:rFonts w:eastAsia="Times New Roman"/>
        </w:rPr>
        <w:t>creating an individual right to compensation in the absence of a causation link between the emissions in violation of the IED and the health damage</w:t>
      </w:r>
      <w:r w:rsidR="10C9B3B4" w:rsidRPr="7289FCBE">
        <w:rPr>
          <w:rFonts w:eastAsia="Times New Roman"/>
        </w:rPr>
        <w:t>. In addition, on Article 79a(2): Cefic highly recommends to include safeguards against abusive litigation on the model of Directive (EU) 2020/1828 on representative actions for the protection of the collective interests of consumers.</w:t>
      </w:r>
    </w:p>
    <w:p w14:paraId="146875D7" w14:textId="77777777" w:rsidR="00054F59" w:rsidRDefault="00054F59" w:rsidP="00054F59">
      <w:pPr>
        <w:pStyle w:val="ListParagraph"/>
        <w:jc w:val="both"/>
      </w:pPr>
    </w:p>
    <w:p w14:paraId="23CE8BD1" w14:textId="0993D4AB" w:rsidR="00056A94" w:rsidRDefault="00056A94" w:rsidP="004E5E6B">
      <w:pPr>
        <w:jc w:val="both"/>
      </w:pPr>
    </w:p>
    <w:p w14:paraId="0542E070" w14:textId="2F211926" w:rsidR="004E5E6B" w:rsidRDefault="005541DF" w:rsidP="004E5E6B">
      <w:pPr>
        <w:jc w:val="both"/>
      </w:pPr>
      <w:r>
        <w:t>Please see below the summary:</w:t>
      </w:r>
    </w:p>
    <w:p w14:paraId="015651E2" w14:textId="77777777" w:rsidR="002A4D67" w:rsidRPr="002A4D67" w:rsidRDefault="002A4D67" w:rsidP="006C1C37">
      <w:pPr>
        <w:spacing w:after="0" w:line="240" w:lineRule="auto"/>
        <w:jc w:val="both"/>
        <w:rPr>
          <w:rFonts w:ascii="Calibri" w:eastAsia="Calibri" w:hAnsi="Calibri" w:cs="Calibri"/>
          <w:b/>
          <w:bCs/>
        </w:rPr>
      </w:pPr>
      <w:r w:rsidRPr="002A4D67">
        <w:rPr>
          <w:rFonts w:ascii="Calibri" w:eastAsia="Calibri" w:hAnsi="Calibri" w:cs="Calibri"/>
          <w:b/>
          <w:bCs/>
        </w:rPr>
        <w:t>Permitting:</w:t>
      </w:r>
    </w:p>
    <w:p w14:paraId="64F55061" w14:textId="77777777" w:rsidR="00FB6133" w:rsidRDefault="00FB6133" w:rsidP="006C1C37">
      <w:pPr>
        <w:spacing w:after="0" w:line="240" w:lineRule="auto"/>
        <w:jc w:val="both"/>
        <w:rPr>
          <w:rFonts w:ascii="Calibri" w:eastAsia="Calibri" w:hAnsi="Calibri" w:cs="Calibri"/>
          <w:b/>
          <w:bCs/>
        </w:rPr>
      </w:pPr>
    </w:p>
    <w:p w14:paraId="5C77B1AF" w14:textId="3DCC8452" w:rsidR="00FB6133" w:rsidRDefault="00FB6133" w:rsidP="006C1C37">
      <w:pPr>
        <w:spacing w:after="0" w:line="240" w:lineRule="auto"/>
        <w:jc w:val="both"/>
        <w:rPr>
          <w:rFonts w:ascii="Calibri" w:eastAsia="Calibri" w:hAnsi="Calibri" w:cs="Calibri"/>
          <w:b/>
          <w:bCs/>
        </w:rPr>
      </w:pPr>
      <w:r w:rsidRPr="00934AC0">
        <w:rPr>
          <w:rFonts w:ascii="Calibri" w:eastAsia="Calibri" w:hAnsi="Calibri" w:cs="Calibri"/>
          <w:b/>
          <w:bCs/>
        </w:rPr>
        <w:t>Benchmarks</w:t>
      </w:r>
      <w:r w:rsidR="006E4A00" w:rsidRPr="00934AC0">
        <w:rPr>
          <w:rFonts w:ascii="Calibri" w:eastAsia="Calibri" w:hAnsi="Calibri" w:cs="Calibri"/>
          <w:b/>
          <w:bCs/>
        </w:rPr>
        <w:t>:</w:t>
      </w:r>
      <w:r w:rsidR="006E4A00">
        <w:rPr>
          <w:rFonts w:ascii="Calibri" w:eastAsia="Calibri" w:hAnsi="Calibri" w:cs="Calibri"/>
          <w:b/>
          <w:bCs/>
        </w:rPr>
        <w:t xml:space="preserve"> </w:t>
      </w:r>
      <w:r w:rsidR="00782DE5" w:rsidRPr="00934AC0">
        <w:rPr>
          <w:rFonts w:ascii="Calibri" w:eastAsia="Calibri" w:hAnsi="Calibri" w:cs="Calibri"/>
        </w:rPr>
        <w:t>definition is now more generic</w:t>
      </w:r>
      <w:r w:rsidR="00934AC0">
        <w:rPr>
          <w:rFonts w:ascii="Calibri" w:eastAsia="Calibri" w:hAnsi="Calibri" w:cs="Calibri"/>
        </w:rPr>
        <w:t xml:space="preserve">, </w:t>
      </w:r>
      <w:r w:rsidR="006C1C37" w:rsidRPr="006C1C37">
        <w:rPr>
          <w:rFonts w:ascii="Calibri" w:eastAsia="Calibri" w:hAnsi="Calibri" w:cs="Calibri"/>
          <w:i/>
          <w:iCs/>
        </w:rPr>
        <w:t>“‘benchmarks’ means the indicative environmental performance levels associated with best available techniques</w:t>
      </w:r>
      <w:r w:rsidR="006C1C37">
        <w:rPr>
          <w:rFonts w:ascii="Calibri" w:eastAsia="Calibri" w:hAnsi="Calibri" w:cs="Calibri"/>
        </w:rPr>
        <w:t>”</w:t>
      </w:r>
    </w:p>
    <w:p w14:paraId="67900CF6" w14:textId="35F6E9E4" w:rsidR="002A4D67" w:rsidRPr="002A4D67" w:rsidRDefault="002A4D67" w:rsidP="006C1C37">
      <w:pPr>
        <w:spacing w:after="0" w:line="240" w:lineRule="auto"/>
        <w:jc w:val="both"/>
        <w:rPr>
          <w:rFonts w:ascii="Calibri" w:eastAsia="Calibri" w:hAnsi="Calibri" w:cs="Calibri"/>
        </w:rPr>
      </w:pPr>
      <w:r w:rsidRPr="002A4D67">
        <w:rPr>
          <w:rFonts w:ascii="Calibri" w:eastAsia="Calibri" w:hAnsi="Calibri" w:cs="Calibri"/>
          <w:b/>
          <w:bCs/>
        </w:rPr>
        <w:t>Art 5.4</w:t>
      </w:r>
      <w:r w:rsidRPr="002A4D67">
        <w:rPr>
          <w:rFonts w:ascii="Calibri" w:eastAsia="Calibri" w:hAnsi="Calibri" w:cs="Calibri"/>
        </w:rPr>
        <w:t>: permits available on the internet- deleted. However, the requirements are included under Art 24:</w:t>
      </w:r>
    </w:p>
    <w:p w14:paraId="1C4E2C9C" w14:textId="4F100B2F" w:rsidR="002A4D67" w:rsidRPr="002A4D67" w:rsidRDefault="002A4D67" w:rsidP="006C1C37">
      <w:pPr>
        <w:spacing w:after="0" w:line="240" w:lineRule="auto"/>
        <w:jc w:val="both"/>
        <w:rPr>
          <w:rFonts w:ascii="Calibri" w:eastAsia="Calibri" w:hAnsi="Calibri" w:cs="Calibri"/>
        </w:rPr>
      </w:pPr>
      <w:r w:rsidRPr="002A4D67">
        <w:rPr>
          <w:rFonts w:ascii="Calibri" w:eastAsia="Calibri" w:hAnsi="Calibri" w:cs="Calibri"/>
          <w:b/>
          <w:bCs/>
          <w:sz w:val="23"/>
          <w:szCs w:val="23"/>
        </w:rPr>
        <w:t>Art 24.2:</w:t>
      </w:r>
      <w:r w:rsidRPr="002A4D67">
        <w:rPr>
          <w:rFonts w:ascii="Calibri" w:eastAsia="Calibri" w:hAnsi="Calibri" w:cs="Calibri"/>
          <w:sz w:val="23"/>
          <w:szCs w:val="23"/>
        </w:rPr>
        <w:t xml:space="preserve"> when granting a permit, the info should be made available to the public (</w:t>
      </w:r>
      <w:proofErr w:type="spellStart"/>
      <w:r w:rsidRPr="002A4D67">
        <w:rPr>
          <w:rFonts w:ascii="Calibri" w:eastAsia="Calibri" w:hAnsi="Calibri" w:cs="Calibri"/>
          <w:sz w:val="23"/>
          <w:szCs w:val="23"/>
        </w:rPr>
        <w:t>pag</w:t>
      </w:r>
      <w:proofErr w:type="spellEnd"/>
      <w:r w:rsidRPr="002A4D67">
        <w:rPr>
          <w:rFonts w:ascii="Calibri" w:eastAsia="Calibri" w:hAnsi="Calibri" w:cs="Calibri"/>
          <w:sz w:val="23"/>
          <w:szCs w:val="23"/>
        </w:rPr>
        <w:t xml:space="preserve"> 39) including the</w:t>
      </w:r>
      <w:r w:rsidR="00B05DCB">
        <w:rPr>
          <w:rFonts w:ascii="Calibri" w:eastAsia="Calibri" w:hAnsi="Calibri" w:cs="Calibri"/>
          <w:sz w:val="23"/>
          <w:szCs w:val="23"/>
        </w:rPr>
        <w:t xml:space="preserve"> </w:t>
      </w:r>
      <w:r w:rsidR="00B05DCB" w:rsidRPr="00B05DCB">
        <w:rPr>
          <w:rFonts w:ascii="Calibri" w:eastAsia="Calibri" w:hAnsi="Calibri" w:cs="Calibri"/>
          <w:sz w:val="23"/>
          <w:szCs w:val="23"/>
        </w:rPr>
        <w:t>emission limit values and environmental performance limit values</w:t>
      </w:r>
      <w:r w:rsidRPr="002A4D67">
        <w:rPr>
          <w:rFonts w:ascii="Calibri" w:eastAsia="Calibri" w:hAnsi="Calibri" w:cs="Calibri"/>
          <w:sz w:val="23"/>
          <w:szCs w:val="23"/>
        </w:rPr>
        <w:t>. In addition, the Commission shall adopt an implementing act to establish the format to be used for the information and documents for this provision.</w:t>
      </w:r>
    </w:p>
    <w:p w14:paraId="7E12298B" w14:textId="77777777" w:rsidR="002A4D67" w:rsidRPr="002A4D67" w:rsidRDefault="002A4D67" w:rsidP="006C1C37">
      <w:pPr>
        <w:spacing w:after="0" w:line="240" w:lineRule="auto"/>
        <w:jc w:val="both"/>
        <w:rPr>
          <w:rFonts w:ascii="Calibri" w:eastAsia="Calibri" w:hAnsi="Calibri" w:cs="Calibri"/>
        </w:rPr>
      </w:pPr>
      <w:r w:rsidRPr="002A4D67">
        <w:rPr>
          <w:rFonts w:ascii="Calibri" w:eastAsia="Calibri" w:hAnsi="Calibri" w:cs="Calibri"/>
          <w:b/>
          <w:bCs/>
        </w:rPr>
        <w:t>Art 15.3</w:t>
      </w:r>
      <w:r w:rsidRPr="002A4D67">
        <w:rPr>
          <w:rFonts w:ascii="Calibri" w:eastAsia="Calibri" w:hAnsi="Calibri" w:cs="Calibri"/>
        </w:rPr>
        <w:t xml:space="preserve">: </w:t>
      </w:r>
    </w:p>
    <w:p w14:paraId="19D0C7A3" w14:textId="5C4F625B" w:rsidR="002A4D67" w:rsidRPr="002A4D67" w:rsidRDefault="002A4D67" w:rsidP="006C1C37">
      <w:pPr>
        <w:numPr>
          <w:ilvl w:val="0"/>
          <w:numId w:val="1"/>
        </w:numPr>
        <w:spacing w:after="0" w:line="240" w:lineRule="auto"/>
        <w:jc w:val="both"/>
        <w:rPr>
          <w:rFonts w:ascii="Calibri" w:eastAsia="Times New Roman" w:hAnsi="Calibri" w:cs="Calibri"/>
          <w:sz w:val="23"/>
          <w:szCs w:val="23"/>
        </w:rPr>
      </w:pPr>
      <w:r w:rsidRPr="002A4D67">
        <w:rPr>
          <w:rFonts w:ascii="Calibri" w:eastAsia="Times New Roman" w:hAnsi="Calibri" w:cs="Calibri"/>
        </w:rPr>
        <w:t>‘</w:t>
      </w:r>
      <w:r w:rsidRPr="002A4D67">
        <w:rPr>
          <w:rFonts w:ascii="Calibri" w:eastAsia="Times New Roman" w:hAnsi="Calibri" w:cs="Calibri"/>
          <w:sz w:val="23"/>
          <w:szCs w:val="23"/>
        </w:rPr>
        <w:t xml:space="preserve">The competent authority shall set the strictest possible emission limit values </w:t>
      </w:r>
      <w:r w:rsidRPr="002A4D67">
        <w:rPr>
          <w:rFonts w:ascii="Calibri" w:eastAsia="Times New Roman" w:hAnsi="Calibri" w:cs="Calibri"/>
          <w:b/>
          <w:bCs/>
          <w:i/>
          <w:iCs/>
          <w:strike/>
          <w:sz w:val="23"/>
          <w:szCs w:val="23"/>
        </w:rPr>
        <w:t xml:space="preserve">that are consistent with the lowest emissions </w:t>
      </w:r>
      <w:r w:rsidRPr="002A4D67">
        <w:rPr>
          <w:rFonts w:ascii="Calibri" w:eastAsia="Times New Roman" w:hAnsi="Calibri" w:cs="Calibri"/>
          <w:sz w:val="23"/>
          <w:szCs w:val="23"/>
        </w:rPr>
        <w:t>achievable by applying BAT in the installation…’- negative. In addition included: ‘</w:t>
      </w:r>
      <w:r w:rsidRPr="00FA104E">
        <w:rPr>
          <w:rFonts w:ascii="Calibri" w:eastAsia="Times New Roman" w:hAnsi="Calibri" w:cs="Calibri"/>
          <w:b/>
          <w:bCs/>
          <w:i/>
          <w:iCs/>
          <w:sz w:val="23"/>
          <w:szCs w:val="23"/>
        </w:rPr>
        <w:t xml:space="preserve">General binding rules referred to in Article 6 may be applied provided these rules taking into account the best achievable performance while setting </w:t>
      </w:r>
      <w:r w:rsidRPr="00FA104E">
        <w:rPr>
          <w:rFonts w:ascii="Calibri" w:eastAsia="Times New Roman" w:hAnsi="Calibri" w:cs="Calibri"/>
          <w:b/>
          <w:bCs/>
          <w:i/>
          <w:iCs/>
          <w:sz w:val="23"/>
          <w:szCs w:val="23"/>
        </w:rPr>
        <w:lastRenderedPageBreak/>
        <w:t>relevant emission limit values</w:t>
      </w:r>
      <w:r w:rsidRPr="002A4D67">
        <w:rPr>
          <w:rFonts w:ascii="Calibri" w:eastAsia="Times New Roman" w:hAnsi="Calibri" w:cs="Calibri"/>
          <w:i/>
          <w:iCs/>
          <w:sz w:val="23"/>
          <w:szCs w:val="23"/>
        </w:rPr>
        <w:t>.’</w:t>
      </w:r>
      <w:r w:rsidRPr="002A4D67">
        <w:rPr>
          <w:rFonts w:ascii="Calibri" w:eastAsia="Times New Roman" w:hAnsi="Calibri" w:cs="Calibri"/>
          <w:b/>
          <w:bCs/>
          <w:i/>
          <w:iCs/>
          <w:sz w:val="23"/>
          <w:szCs w:val="23"/>
        </w:rPr>
        <w:t xml:space="preserve"> </w:t>
      </w:r>
      <w:r w:rsidRPr="002A4D67">
        <w:rPr>
          <w:rFonts w:ascii="Calibri" w:eastAsia="Times New Roman" w:hAnsi="Calibri" w:cs="Calibri"/>
          <w:sz w:val="23"/>
          <w:szCs w:val="23"/>
        </w:rPr>
        <w:t>It make Art 6</w:t>
      </w:r>
      <w:r w:rsidR="00BA04F8">
        <w:rPr>
          <w:rFonts w:ascii="Calibri" w:eastAsia="Times New Roman" w:hAnsi="Calibri" w:cs="Calibri"/>
          <w:sz w:val="23"/>
          <w:szCs w:val="23"/>
        </w:rPr>
        <w:t xml:space="preserve"> more strict</w:t>
      </w:r>
      <w:r w:rsidR="00D12F15">
        <w:rPr>
          <w:rFonts w:ascii="Calibri" w:eastAsia="Times New Roman" w:hAnsi="Calibri" w:cs="Calibri"/>
          <w:sz w:val="23"/>
          <w:szCs w:val="23"/>
        </w:rPr>
        <w:t xml:space="preserve"> </w:t>
      </w:r>
      <w:r w:rsidR="00D45FB6">
        <w:rPr>
          <w:rFonts w:ascii="Calibri" w:eastAsia="Times New Roman" w:hAnsi="Calibri" w:cs="Calibri"/>
          <w:sz w:val="23"/>
          <w:szCs w:val="23"/>
        </w:rPr>
        <w:t>considering also how to achieve the best performance</w:t>
      </w:r>
      <w:r w:rsidR="00F90F43">
        <w:rPr>
          <w:rFonts w:ascii="Calibri" w:eastAsia="Times New Roman" w:hAnsi="Calibri" w:cs="Calibri"/>
          <w:sz w:val="23"/>
          <w:szCs w:val="23"/>
        </w:rPr>
        <w:t xml:space="preserve"> (</w:t>
      </w:r>
      <w:proofErr w:type="spellStart"/>
      <w:r w:rsidR="00AE692D">
        <w:rPr>
          <w:rFonts w:ascii="Calibri" w:eastAsia="Times New Roman" w:hAnsi="Calibri" w:cs="Calibri"/>
          <w:sz w:val="23"/>
          <w:szCs w:val="23"/>
        </w:rPr>
        <w:t>eg</w:t>
      </w:r>
      <w:proofErr w:type="spellEnd"/>
      <w:r w:rsidR="00AE692D">
        <w:rPr>
          <w:rFonts w:ascii="Calibri" w:eastAsia="Times New Roman" w:hAnsi="Calibri" w:cs="Calibri"/>
          <w:sz w:val="23"/>
          <w:szCs w:val="23"/>
        </w:rPr>
        <w:t xml:space="preserve"> </w:t>
      </w:r>
      <w:r w:rsidR="00F90F43">
        <w:rPr>
          <w:rFonts w:ascii="Calibri" w:eastAsia="Times New Roman" w:hAnsi="Calibri" w:cs="Calibri"/>
          <w:sz w:val="23"/>
          <w:szCs w:val="23"/>
        </w:rPr>
        <w:t>Annex V</w:t>
      </w:r>
      <w:r w:rsidR="00AE692D">
        <w:rPr>
          <w:rFonts w:ascii="Calibri" w:eastAsia="Times New Roman" w:hAnsi="Calibri" w:cs="Calibri"/>
          <w:sz w:val="23"/>
          <w:szCs w:val="23"/>
        </w:rPr>
        <w:t>)</w:t>
      </w:r>
      <w:r w:rsidR="00BA04F8">
        <w:rPr>
          <w:rFonts w:ascii="Calibri" w:eastAsia="Times New Roman" w:hAnsi="Calibri" w:cs="Calibri"/>
          <w:sz w:val="23"/>
          <w:szCs w:val="23"/>
        </w:rPr>
        <w:t>.</w:t>
      </w:r>
    </w:p>
    <w:p w14:paraId="798781B7" w14:textId="77777777" w:rsidR="002A4D67" w:rsidRPr="002A4D67" w:rsidRDefault="002A4D67" w:rsidP="006C1C37">
      <w:pPr>
        <w:numPr>
          <w:ilvl w:val="0"/>
          <w:numId w:val="1"/>
        </w:numPr>
        <w:spacing w:after="0" w:line="240" w:lineRule="auto"/>
        <w:jc w:val="both"/>
        <w:rPr>
          <w:rFonts w:ascii="Calibri" w:eastAsia="Times New Roman" w:hAnsi="Calibri" w:cs="Calibri"/>
          <w:sz w:val="23"/>
          <w:szCs w:val="23"/>
        </w:rPr>
      </w:pPr>
      <w:r w:rsidRPr="002A4D67">
        <w:rPr>
          <w:rFonts w:ascii="Calibri" w:eastAsia="Times New Roman" w:hAnsi="Calibri" w:cs="Calibri"/>
          <w:b/>
          <w:bCs/>
          <w:sz w:val="23"/>
          <w:szCs w:val="23"/>
        </w:rPr>
        <w:t>New point 3b</w:t>
      </w:r>
      <w:r w:rsidRPr="002A4D67">
        <w:rPr>
          <w:rFonts w:ascii="Calibri" w:eastAsia="Times New Roman" w:hAnsi="Calibri" w:cs="Calibri"/>
          <w:sz w:val="23"/>
          <w:szCs w:val="23"/>
        </w:rPr>
        <w:t xml:space="preserve">: </w:t>
      </w:r>
    </w:p>
    <w:p w14:paraId="5E8850F3" w14:textId="77777777" w:rsidR="002A4D67" w:rsidRPr="002A4D67" w:rsidRDefault="002A4D67" w:rsidP="006C1C37">
      <w:pPr>
        <w:numPr>
          <w:ilvl w:val="0"/>
          <w:numId w:val="4"/>
        </w:numPr>
        <w:spacing w:after="0" w:line="240" w:lineRule="auto"/>
        <w:jc w:val="both"/>
        <w:rPr>
          <w:rFonts w:ascii="Calibri" w:eastAsia="Times New Roman" w:hAnsi="Calibri" w:cs="Calibri"/>
          <w:sz w:val="23"/>
          <w:szCs w:val="23"/>
        </w:rPr>
      </w:pPr>
      <w:r w:rsidRPr="002A4D67">
        <w:rPr>
          <w:rFonts w:ascii="Calibri" w:eastAsia="Times New Roman" w:hAnsi="Calibri" w:cs="Calibri"/>
          <w:sz w:val="23"/>
          <w:szCs w:val="23"/>
        </w:rPr>
        <w:t xml:space="preserve">derogations for AEPLs taking into consideration the location and technical characteristics of the installation, which will be justified in the Annex to the permit. It shall be ensured that it shall </w:t>
      </w:r>
      <w:r w:rsidRPr="002A4D67">
        <w:rPr>
          <w:rFonts w:ascii="Calibri" w:eastAsia="Times New Roman" w:hAnsi="Calibri" w:cs="Calibri"/>
        </w:rPr>
        <w:t>achieve a high level of protection of the environment as a whole.</w:t>
      </w:r>
    </w:p>
    <w:p w14:paraId="2E9663B4" w14:textId="3B60821B" w:rsidR="002A4D67" w:rsidRPr="006D0161" w:rsidRDefault="002A4D67" w:rsidP="006C1C37">
      <w:pPr>
        <w:numPr>
          <w:ilvl w:val="0"/>
          <w:numId w:val="4"/>
        </w:numPr>
        <w:spacing w:after="0" w:line="240" w:lineRule="auto"/>
        <w:jc w:val="both"/>
        <w:rPr>
          <w:rFonts w:ascii="Calibri" w:eastAsia="Times New Roman" w:hAnsi="Calibri" w:cs="Calibri"/>
          <w:b/>
          <w:bCs/>
          <w:sz w:val="23"/>
          <w:szCs w:val="23"/>
        </w:rPr>
      </w:pPr>
      <w:r w:rsidRPr="006D0161">
        <w:rPr>
          <w:rFonts w:ascii="Calibri" w:eastAsia="Times New Roman" w:hAnsi="Calibri" w:cs="Calibri"/>
          <w:b/>
          <w:bCs/>
          <w:i/>
          <w:iCs/>
          <w:sz w:val="23"/>
          <w:szCs w:val="23"/>
        </w:rPr>
        <w:t>Through implementing acts</w:t>
      </w:r>
      <w:r w:rsidR="006D0161">
        <w:rPr>
          <w:rFonts w:ascii="Calibri" w:eastAsia="Times New Roman" w:hAnsi="Calibri" w:cs="Calibri"/>
          <w:b/>
          <w:bCs/>
          <w:i/>
          <w:iCs/>
          <w:sz w:val="23"/>
          <w:szCs w:val="23"/>
        </w:rPr>
        <w:t xml:space="preserve"> </w:t>
      </w:r>
      <w:r w:rsidRPr="006D0161">
        <w:rPr>
          <w:rFonts w:ascii="Calibri" w:eastAsia="Times New Roman" w:hAnsi="Calibri" w:cs="Calibri"/>
          <w:b/>
          <w:bCs/>
          <w:i/>
          <w:iCs/>
          <w:sz w:val="23"/>
          <w:szCs w:val="23"/>
        </w:rPr>
        <w:t xml:space="preserve">- a </w:t>
      </w:r>
      <w:proofErr w:type="spellStart"/>
      <w:r w:rsidRPr="006D0161">
        <w:rPr>
          <w:rFonts w:ascii="Calibri" w:eastAsia="Times New Roman" w:hAnsi="Calibri" w:cs="Calibri"/>
          <w:b/>
          <w:bCs/>
          <w:i/>
          <w:iCs/>
          <w:sz w:val="23"/>
          <w:szCs w:val="23"/>
        </w:rPr>
        <w:t>standardised</w:t>
      </w:r>
      <w:proofErr w:type="spellEnd"/>
      <w:r w:rsidRPr="006D0161">
        <w:rPr>
          <w:rFonts w:ascii="Calibri" w:eastAsia="Times New Roman" w:hAnsi="Calibri" w:cs="Calibri"/>
          <w:b/>
          <w:bCs/>
          <w:i/>
          <w:iCs/>
          <w:sz w:val="23"/>
          <w:szCs w:val="23"/>
        </w:rPr>
        <w:t xml:space="preserve"> methodology for undertaking the assessment for the derogations for AEPLs</w:t>
      </w:r>
    </w:p>
    <w:p w14:paraId="5A7BB9AB" w14:textId="3B009F97" w:rsidR="002A4D67" w:rsidRPr="002A4D67" w:rsidRDefault="002A4D67" w:rsidP="006C1C37">
      <w:pPr>
        <w:spacing w:after="0" w:line="240" w:lineRule="auto"/>
        <w:ind w:left="1440"/>
        <w:jc w:val="both"/>
        <w:rPr>
          <w:rFonts w:ascii="Calibri" w:eastAsia="Calibri" w:hAnsi="Calibri" w:cs="Calibri"/>
        </w:rPr>
      </w:pPr>
      <w:r w:rsidRPr="00FE7D0B">
        <w:rPr>
          <w:rFonts w:ascii="Calibri" w:eastAsia="Calibri" w:hAnsi="Calibri" w:cs="Calibri"/>
        </w:rPr>
        <w:t xml:space="preserve">So the AEPLs are still binding based on Art </w:t>
      </w:r>
      <w:r w:rsidR="0071789F" w:rsidRPr="00FE7D0B">
        <w:rPr>
          <w:rFonts w:ascii="Calibri" w:eastAsia="Calibri" w:hAnsi="Calibri" w:cs="Calibri"/>
        </w:rPr>
        <w:t xml:space="preserve">15. </w:t>
      </w:r>
      <w:r w:rsidRPr="00FE7D0B">
        <w:rPr>
          <w:rFonts w:ascii="Calibri" w:eastAsia="Calibri" w:hAnsi="Calibri" w:cs="Calibri"/>
        </w:rPr>
        <w:t>3a</w:t>
      </w:r>
      <w:r w:rsidR="0071789F" w:rsidRPr="00FE7D0B">
        <w:rPr>
          <w:rFonts w:ascii="Calibri" w:eastAsia="Calibri" w:hAnsi="Calibri" w:cs="Calibri"/>
        </w:rPr>
        <w:t xml:space="preserve"> and it </w:t>
      </w:r>
      <w:r w:rsidR="0006244C" w:rsidRPr="00FE7D0B">
        <w:rPr>
          <w:rFonts w:ascii="Calibri" w:eastAsia="Calibri" w:hAnsi="Calibri" w:cs="Calibri"/>
        </w:rPr>
        <w:t xml:space="preserve">limits the flexibility of the derogation process </w:t>
      </w:r>
      <w:r w:rsidR="00686555" w:rsidRPr="00FE7D0B">
        <w:rPr>
          <w:rFonts w:ascii="Calibri" w:eastAsia="Calibri" w:hAnsi="Calibri" w:cs="Calibri"/>
        </w:rPr>
        <w:t>because now not only AELs but also for AEPLs there will be a defined process on how to grant derogation</w:t>
      </w:r>
      <w:r w:rsidRPr="00FE7D0B">
        <w:rPr>
          <w:rFonts w:ascii="Calibri" w:eastAsia="Calibri" w:hAnsi="Calibri" w:cs="Calibri"/>
        </w:rPr>
        <w:t>.</w:t>
      </w:r>
      <w:r w:rsidRPr="002A4D67">
        <w:rPr>
          <w:rFonts w:ascii="Calibri" w:eastAsia="Calibri" w:hAnsi="Calibri" w:cs="Calibri"/>
        </w:rPr>
        <w:t xml:space="preserve"> </w:t>
      </w:r>
      <w:r w:rsidR="00686555">
        <w:rPr>
          <w:rFonts w:ascii="Calibri" w:eastAsia="Calibri" w:hAnsi="Calibri" w:cs="Calibri"/>
        </w:rPr>
        <w:t>In addition,</w:t>
      </w:r>
      <w:r w:rsidRPr="002A4D67">
        <w:rPr>
          <w:rFonts w:ascii="Calibri" w:eastAsia="Calibri" w:hAnsi="Calibri" w:cs="Calibri"/>
        </w:rPr>
        <w:t xml:space="preserve"> derogation for AEPLs will create  additional burden for companies and could delay the permitting process. However, as a worst-case scenario, I think it is better to have a derogation in place than none at all although it might be hard to get them in the future.</w:t>
      </w:r>
    </w:p>
    <w:p w14:paraId="4F8DFA4B" w14:textId="77777777" w:rsidR="00327119" w:rsidRDefault="00327119" w:rsidP="006C1C37">
      <w:pPr>
        <w:spacing w:after="0" w:line="240" w:lineRule="auto"/>
        <w:jc w:val="both"/>
        <w:rPr>
          <w:rFonts w:ascii="Calibri" w:eastAsia="Calibri" w:hAnsi="Calibri" w:cs="Calibri"/>
          <w:b/>
          <w:bCs/>
        </w:rPr>
      </w:pPr>
    </w:p>
    <w:p w14:paraId="578EC7AF" w14:textId="4176CD10" w:rsidR="002A4D67" w:rsidRPr="006164FB" w:rsidRDefault="002A4D67" w:rsidP="006C1C37">
      <w:pPr>
        <w:spacing w:after="0" w:line="240" w:lineRule="auto"/>
        <w:jc w:val="both"/>
        <w:rPr>
          <w:rFonts w:ascii="Calibri" w:eastAsia="Calibri" w:hAnsi="Calibri" w:cs="Calibri"/>
          <w:sz w:val="23"/>
          <w:szCs w:val="23"/>
        </w:rPr>
      </w:pPr>
      <w:r w:rsidRPr="002A4D67">
        <w:rPr>
          <w:rFonts w:ascii="Calibri" w:eastAsia="Calibri" w:hAnsi="Calibri" w:cs="Calibri"/>
          <w:b/>
          <w:bCs/>
        </w:rPr>
        <w:t>Art 16.3:</w:t>
      </w:r>
      <w:r w:rsidRPr="002A4D67">
        <w:rPr>
          <w:rFonts w:ascii="Calibri" w:eastAsia="Calibri" w:hAnsi="Calibri" w:cs="Calibri"/>
        </w:rPr>
        <w:t xml:space="preserve"> requests that the operator provides </w:t>
      </w:r>
      <w:r w:rsidRPr="002A4D67">
        <w:rPr>
          <w:rFonts w:ascii="Calibri" w:eastAsia="Calibri" w:hAnsi="Calibri" w:cs="Calibri"/>
          <w:i/>
          <w:iCs/>
          <w:sz w:val="23"/>
          <w:szCs w:val="23"/>
        </w:rPr>
        <w:t>an assessment of the impact of the derogation on the concentration of the pollutants concerned in the receiving environment. If this is quantifiable, the operator to monitor the concentration of the pollutants concerned in the receiving environment.</w:t>
      </w:r>
      <w:r w:rsidR="006164FB">
        <w:rPr>
          <w:rFonts w:ascii="Calibri" w:eastAsia="Calibri" w:hAnsi="Calibri" w:cs="Calibri"/>
          <w:i/>
          <w:iCs/>
          <w:sz w:val="23"/>
          <w:szCs w:val="23"/>
        </w:rPr>
        <w:t xml:space="preserve"> </w:t>
      </w:r>
      <w:r w:rsidR="006164FB" w:rsidRPr="006164FB">
        <w:rPr>
          <w:rFonts w:ascii="Calibri" w:eastAsia="Calibri" w:hAnsi="Calibri" w:cs="Calibri"/>
          <w:sz w:val="23"/>
          <w:szCs w:val="23"/>
        </w:rPr>
        <w:t xml:space="preserve">This reads </w:t>
      </w:r>
      <w:r w:rsidR="00967EBF">
        <w:rPr>
          <w:rFonts w:ascii="Calibri" w:eastAsia="Calibri" w:hAnsi="Calibri" w:cs="Calibri"/>
          <w:sz w:val="23"/>
          <w:szCs w:val="23"/>
        </w:rPr>
        <w:t>as</w:t>
      </w:r>
      <w:r w:rsidR="006164FB" w:rsidRPr="006164FB">
        <w:rPr>
          <w:rFonts w:ascii="Calibri" w:eastAsia="Calibri" w:hAnsi="Calibri" w:cs="Calibri"/>
          <w:sz w:val="23"/>
          <w:szCs w:val="23"/>
        </w:rPr>
        <w:t xml:space="preserve"> the operator needs to</w:t>
      </w:r>
      <w:r w:rsidR="006164FB">
        <w:rPr>
          <w:rFonts w:ascii="Calibri" w:eastAsia="Calibri" w:hAnsi="Calibri" w:cs="Calibri"/>
          <w:i/>
          <w:iCs/>
          <w:sz w:val="23"/>
          <w:szCs w:val="23"/>
        </w:rPr>
        <w:t xml:space="preserve"> </w:t>
      </w:r>
      <w:r w:rsidR="00A06D6D">
        <w:rPr>
          <w:rFonts w:ascii="Calibri" w:eastAsia="Calibri" w:hAnsi="Calibri" w:cs="Calibri"/>
          <w:sz w:val="23"/>
          <w:szCs w:val="23"/>
        </w:rPr>
        <w:t>provide the assessment before the derogation is granted, and not to monitor</w:t>
      </w:r>
      <w:r w:rsidR="00F51CAE">
        <w:rPr>
          <w:rFonts w:ascii="Calibri" w:eastAsia="Calibri" w:hAnsi="Calibri" w:cs="Calibri"/>
          <w:sz w:val="23"/>
          <w:szCs w:val="23"/>
        </w:rPr>
        <w:t xml:space="preserve"> the impact</w:t>
      </w:r>
      <w:r w:rsidR="00A06D6D">
        <w:rPr>
          <w:rFonts w:ascii="Calibri" w:eastAsia="Calibri" w:hAnsi="Calibri" w:cs="Calibri"/>
          <w:sz w:val="23"/>
          <w:szCs w:val="23"/>
        </w:rPr>
        <w:t xml:space="preserve"> </w:t>
      </w:r>
      <w:r w:rsidR="00F51CAE">
        <w:rPr>
          <w:rFonts w:ascii="Calibri" w:eastAsia="Calibri" w:hAnsi="Calibri" w:cs="Calibri"/>
          <w:sz w:val="23"/>
          <w:szCs w:val="23"/>
        </w:rPr>
        <w:t xml:space="preserve">after the derogation is granted </w:t>
      </w:r>
      <w:r w:rsidR="00A06D6D">
        <w:rPr>
          <w:rFonts w:ascii="Calibri" w:eastAsia="Calibri" w:hAnsi="Calibri" w:cs="Calibri"/>
          <w:sz w:val="23"/>
          <w:szCs w:val="23"/>
        </w:rPr>
        <w:t xml:space="preserve">as in the </w:t>
      </w:r>
      <w:r w:rsidR="008623FB">
        <w:rPr>
          <w:rFonts w:ascii="Calibri" w:eastAsia="Calibri" w:hAnsi="Calibri" w:cs="Calibri"/>
          <w:sz w:val="23"/>
          <w:szCs w:val="23"/>
        </w:rPr>
        <w:t>EC proposal.</w:t>
      </w:r>
    </w:p>
    <w:p w14:paraId="1B8F7A5D" w14:textId="77777777" w:rsidR="002A4D67" w:rsidRPr="002A4D67" w:rsidRDefault="002A4D67" w:rsidP="006C1C37">
      <w:pPr>
        <w:spacing w:after="0" w:line="240" w:lineRule="auto"/>
        <w:jc w:val="both"/>
        <w:rPr>
          <w:rFonts w:ascii="Calibri" w:eastAsia="Calibri" w:hAnsi="Calibri" w:cs="Calibri"/>
          <w:sz w:val="23"/>
          <w:szCs w:val="23"/>
        </w:rPr>
      </w:pPr>
    </w:p>
    <w:p w14:paraId="6A5609F0" w14:textId="0454F8D9" w:rsidR="002A4D67" w:rsidRPr="002A4D67" w:rsidRDefault="002A4D67" w:rsidP="006C1C37">
      <w:pPr>
        <w:spacing w:after="0" w:line="240" w:lineRule="auto"/>
        <w:jc w:val="both"/>
        <w:rPr>
          <w:rFonts w:ascii="Calibri" w:eastAsia="Calibri" w:hAnsi="Calibri" w:cs="Calibri"/>
          <w:sz w:val="23"/>
          <w:szCs w:val="23"/>
        </w:rPr>
      </w:pPr>
      <w:r w:rsidRPr="002A4D67">
        <w:rPr>
          <w:rFonts w:ascii="Calibri" w:eastAsia="Calibri" w:hAnsi="Calibri" w:cs="Calibri"/>
          <w:b/>
          <w:bCs/>
          <w:sz w:val="23"/>
          <w:szCs w:val="23"/>
        </w:rPr>
        <w:t xml:space="preserve">Art 18: EQS : </w:t>
      </w:r>
      <w:r w:rsidRPr="002A4D67">
        <w:rPr>
          <w:rFonts w:ascii="Calibri" w:eastAsia="Calibri" w:hAnsi="Calibri" w:cs="Calibri"/>
          <w:i/>
          <w:iCs/>
          <w:sz w:val="23"/>
          <w:szCs w:val="23"/>
        </w:rPr>
        <w:t xml:space="preserve">Where the stricter conditions included in the permit, have a quantifiable or measurable effect on the environment, the competent authority </w:t>
      </w:r>
      <w:r w:rsidRPr="002A4D67">
        <w:rPr>
          <w:rFonts w:ascii="Calibri" w:eastAsia="Calibri" w:hAnsi="Calibri" w:cs="Calibri"/>
          <w:b/>
          <w:bCs/>
          <w:i/>
          <w:iCs/>
          <w:sz w:val="23"/>
          <w:szCs w:val="23"/>
        </w:rPr>
        <w:t>may</w:t>
      </w:r>
      <w:r w:rsidRPr="002A4D67">
        <w:rPr>
          <w:rFonts w:ascii="Calibri" w:eastAsia="Calibri" w:hAnsi="Calibri" w:cs="Calibri"/>
          <w:i/>
          <w:iCs/>
          <w:sz w:val="23"/>
          <w:szCs w:val="23"/>
        </w:rPr>
        <w:t xml:space="preserve"> require the operator to monitor the concentration of the pollutants concerned in the receiving environment. </w:t>
      </w:r>
      <w:r w:rsidR="00145FDE">
        <w:rPr>
          <w:rFonts w:ascii="Calibri" w:eastAsia="Calibri" w:hAnsi="Calibri" w:cs="Calibri"/>
          <w:i/>
          <w:iCs/>
          <w:sz w:val="23"/>
          <w:szCs w:val="23"/>
        </w:rPr>
        <w:t>(Positive)</w:t>
      </w:r>
    </w:p>
    <w:p w14:paraId="01C83952" w14:textId="77777777" w:rsidR="002A4D67" w:rsidRPr="002A4D67" w:rsidRDefault="002A4D67" w:rsidP="006C1C37">
      <w:pPr>
        <w:spacing w:after="0" w:line="240" w:lineRule="auto"/>
        <w:jc w:val="both"/>
        <w:rPr>
          <w:rFonts w:ascii="Calibri" w:eastAsia="Calibri" w:hAnsi="Calibri" w:cs="Calibri"/>
          <w:sz w:val="23"/>
          <w:szCs w:val="23"/>
        </w:rPr>
      </w:pPr>
    </w:p>
    <w:p w14:paraId="794BBF4D" w14:textId="77777777" w:rsidR="002A4D67" w:rsidRPr="002A4D67" w:rsidRDefault="002A4D67" w:rsidP="006C1C37">
      <w:pPr>
        <w:spacing w:after="0" w:line="240" w:lineRule="auto"/>
        <w:jc w:val="both"/>
        <w:rPr>
          <w:rFonts w:ascii="Calibri" w:eastAsia="Calibri" w:hAnsi="Calibri" w:cs="Calibri"/>
          <w:b/>
          <w:bCs/>
          <w:sz w:val="23"/>
          <w:szCs w:val="23"/>
        </w:rPr>
      </w:pPr>
      <w:r w:rsidRPr="002A4D67">
        <w:rPr>
          <w:rFonts w:ascii="Calibri" w:eastAsia="Calibri" w:hAnsi="Calibri" w:cs="Calibri"/>
          <w:b/>
          <w:bCs/>
          <w:sz w:val="23"/>
          <w:szCs w:val="23"/>
        </w:rPr>
        <w:t>EMS:</w:t>
      </w:r>
    </w:p>
    <w:p w14:paraId="69F6D5DF" w14:textId="77777777" w:rsidR="002A4D67" w:rsidRPr="002A4D67" w:rsidRDefault="002A4D67" w:rsidP="006C1C37">
      <w:pPr>
        <w:spacing w:after="0" w:line="240" w:lineRule="auto"/>
        <w:jc w:val="both"/>
        <w:rPr>
          <w:rFonts w:ascii="Calibri" w:eastAsia="Calibri" w:hAnsi="Calibri" w:cs="Calibri"/>
        </w:rPr>
      </w:pPr>
      <w:r w:rsidRPr="002A4D67">
        <w:rPr>
          <w:rFonts w:ascii="Calibri" w:eastAsia="Calibri" w:hAnsi="Calibri" w:cs="Calibri"/>
          <w:b/>
          <w:bCs/>
        </w:rPr>
        <w:t>Art 14a</w:t>
      </w:r>
      <w:r w:rsidRPr="002A4D67">
        <w:rPr>
          <w:rFonts w:ascii="Calibri" w:eastAsia="Calibri" w:hAnsi="Calibri" w:cs="Calibri"/>
        </w:rPr>
        <w:t>: EMS: clarified under point 3a (new) the requirements for MS (take measures at least every 3 years to check the audit done by the audit organization and that the operator reviews its EMS</w:t>
      </w:r>
      <w:r w:rsidRPr="00FE7D0B">
        <w:rPr>
          <w:rFonts w:ascii="Calibri" w:eastAsia="Calibri" w:hAnsi="Calibri" w:cs="Calibri"/>
        </w:rPr>
        <w:t>. However, these are still binding per installation (negative).</w:t>
      </w:r>
    </w:p>
    <w:p w14:paraId="3D77C851" w14:textId="77777777" w:rsidR="002A4D67" w:rsidRPr="002A4D67" w:rsidRDefault="002A4D67" w:rsidP="006C1C37">
      <w:pPr>
        <w:spacing w:before="240" w:after="0" w:line="240" w:lineRule="auto"/>
        <w:jc w:val="both"/>
        <w:rPr>
          <w:rFonts w:ascii="Calibri" w:eastAsia="Calibri" w:hAnsi="Calibri" w:cs="Calibri"/>
          <w:b/>
          <w:bCs/>
        </w:rPr>
      </w:pPr>
      <w:r w:rsidRPr="002A4D67">
        <w:rPr>
          <w:rFonts w:ascii="Calibri" w:eastAsia="Calibri" w:hAnsi="Calibri" w:cs="Calibri"/>
          <w:b/>
          <w:bCs/>
        </w:rPr>
        <w:t xml:space="preserve">Art 27d: </w:t>
      </w:r>
    </w:p>
    <w:p w14:paraId="374CB261" w14:textId="3FB236E1" w:rsidR="002A4D67" w:rsidRPr="002A4D67" w:rsidRDefault="002A4D67" w:rsidP="006C1C37">
      <w:pPr>
        <w:numPr>
          <w:ilvl w:val="0"/>
          <w:numId w:val="3"/>
        </w:numPr>
        <w:spacing w:after="0" w:line="240" w:lineRule="auto"/>
        <w:jc w:val="both"/>
        <w:rPr>
          <w:rFonts w:ascii="Calibri" w:eastAsia="Times New Roman" w:hAnsi="Calibri" w:cs="Calibri"/>
        </w:rPr>
      </w:pPr>
      <w:r w:rsidRPr="002A4D67">
        <w:rPr>
          <w:rFonts w:ascii="Calibri" w:eastAsia="Times New Roman" w:hAnsi="Calibri" w:cs="Calibri"/>
        </w:rPr>
        <w:t>transformation plan: includes reference to the nature, scale and complexity of the installation (positive)</w:t>
      </w:r>
    </w:p>
    <w:p w14:paraId="1463FCBF" w14:textId="77777777" w:rsidR="002A4D67" w:rsidRPr="002A4D67" w:rsidRDefault="002A4D67" w:rsidP="006C1C37">
      <w:pPr>
        <w:numPr>
          <w:ilvl w:val="0"/>
          <w:numId w:val="3"/>
        </w:numPr>
        <w:spacing w:after="0" w:line="240" w:lineRule="auto"/>
        <w:jc w:val="both"/>
        <w:rPr>
          <w:rFonts w:ascii="Calibri" w:eastAsia="Times New Roman" w:hAnsi="Calibri" w:cs="Calibri"/>
        </w:rPr>
      </w:pPr>
      <w:r w:rsidRPr="002A4D67">
        <w:rPr>
          <w:rFonts w:ascii="Calibri" w:eastAsia="Times New Roman" w:hAnsi="Calibri" w:cs="Calibri"/>
        </w:rPr>
        <w:t>added that the non-confidential information of EMS shall be made available (positive)</w:t>
      </w:r>
    </w:p>
    <w:p w14:paraId="27AF51BD" w14:textId="77777777" w:rsidR="002A4D67" w:rsidRDefault="002A4D67" w:rsidP="006C1C37">
      <w:pPr>
        <w:jc w:val="both"/>
        <w:rPr>
          <w:rFonts w:ascii="Calibri" w:eastAsia="Calibri" w:hAnsi="Calibri" w:cs="Times New Roman"/>
          <w:b/>
          <w:bCs/>
        </w:rPr>
      </w:pPr>
    </w:p>
    <w:p w14:paraId="470F2D01" w14:textId="77777777" w:rsidR="00E658C9" w:rsidRPr="00445B82" w:rsidRDefault="00E658C9" w:rsidP="79CD736E">
      <w:pPr>
        <w:jc w:val="both"/>
        <w:rPr>
          <w:rStyle w:val="eop"/>
          <w:rFonts w:ascii="Calibri" w:hAnsi="Calibri" w:cs="Calibri"/>
          <w:color w:val="2E74B5"/>
          <w:sz w:val="24"/>
          <w:szCs w:val="24"/>
          <w:shd w:val="clear" w:color="auto" w:fill="FFFFFF"/>
        </w:rPr>
      </w:pPr>
      <w:r w:rsidRPr="00445B82">
        <w:rPr>
          <w:rStyle w:val="normaltextrun"/>
          <w:rFonts w:ascii="Calibri" w:hAnsi="Calibri" w:cs="Calibri"/>
          <w:b/>
          <w:bCs/>
          <w:color w:val="2E74B5"/>
          <w:sz w:val="24"/>
          <w:szCs w:val="24"/>
          <w:shd w:val="clear" w:color="auto" w:fill="FFFFFF"/>
          <w:lang w:val="en-GB"/>
        </w:rPr>
        <w:t>Legal aspects</w:t>
      </w:r>
      <w:r w:rsidRPr="00445B82">
        <w:rPr>
          <w:rStyle w:val="eop"/>
          <w:rFonts w:ascii="Calibri" w:hAnsi="Calibri" w:cs="Calibri"/>
          <w:color w:val="2E74B5"/>
          <w:sz w:val="24"/>
          <w:szCs w:val="24"/>
          <w:shd w:val="clear" w:color="auto" w:fill="FFFFFF"/>
        </w:rPr>
        <w:t> </w:t>
      </w:r>
    </w:p>
    <w:p w14:paraId="4ADF9B16" w14:textId="7CD97484" w:rsidR="226CDBBF" w:rsidRDefault="226CDBBF" w:rsidP="79CD736E">
      <w:pPr>
        <w:jc w:val="both"/>
        <w:rPr>
          <w:b/>
          <w:bCs/>
        </w:rPr>
      </w:pPr>
      <w:r w:rsidRPr="79CD736E">
        <w:rPr>
          <w:b/>
          <w:bCs/>
        </w:rPr>
        <w:t xml:space="preserve">CBI </w:t>
      </w:r>
    </w:p>
    <w:p w14:paraId="4E7BF057" w14:textId="74A235B3" w:rsidR="000B223B" w:rsidRPr="002C09FA" w:rsidRDefault="002C09FA" w:rsidP="00EE19B3">
      <w:pPr>
        <w:pStyle w:val="paragraph"/>
        <w:numPr>
          <w:ilvl w:val="0"/>
          <w:numId w:val="6"/>
        </w:numPr>
        <w:spacing w:before="0" w:beforeAutospacing="0" w:after="0" w:afterAutospacing="0"/>
        <w:jc w:val="both"/>
        <w:textAlignment w:val="baseline"/>
        <w:rPr>
          <w:rStyle w:val="eop"/>
          <w:rFonts w:ascii="Calibri" w:hAnsi="Calibri" w:cs="Calibri"/>
          <w:sz w:val="22"/>
          <w:szCs w:val="22"/>
          <w:lang w:val="en-GB"/>
        </w:rPr>
      </w:pPr>
      <w:r w:rsidRPr="002C09FA">
        <w:rPr>
          <w:rStyle w:val="eop"/>
          <w:rFonts w:ascii="Calibri" w:hAnsi="Calibri" w:cs="Calibri"/>
          <w:b/>
          <w:bCs/>
          <w:sz w:val="22"/>
          <w:szCs w:val="22"/>
          <w:lang w:val="en-GB"/>
        </w:rPr>
        <w:t>Article 13(2)</w:t>
      </w:r>
      <w:r w:rsidR="00386574">
        <w:rPr>
          <w:rStyle w:val="eop"/>
          <w:rFonts w:ascii="Calibri" w:hAnsi="Calibri" w:cs="Calibri"/>
          <w:b/>
          <w:bCs/>
          <w:sz w:val="22"/>
          <w:szCs w:val="22"/>
          <w:lang w:val="en-GB"/>
        </w:rPr>
        <w:t>.</w:t>
      </w:r>
      <w:r w:rsidRPr="002C09FA">
        <w:rPr>
          <w:rStyle w:val="eop"/>
          <w:rFonts w:ascii="Calibri" w:hAnsi="Calibri" w:cs="Calibri"/>
          <w:b/>
          <w:bCs/>
          <w:sz w:val="22"/>
          <w:szCs w:val="22"/>
          <w:lang w:val="en-GB"/>
        </w:rPr>
        <w:t xml:space="preserve"> </w:t>
      </w:r>
      <w:r w:rsidR="00030783" w:rsidRPr="002C09FA">
        <w:rPr>
          <w:rStyle w:val="eop"/>
          <w:rFonts w:ascii="Calibri" w:hAnsi="Calibri" w:cs="Calibri"/>
          <w:sz w:val="22"/>
          <w:szCs w:val="22"/>
          <w:lang w:val="en-GB"/>
        </w:rPr>
        <w:t xml:space="preserve">Cefic </w:t>
      </w:r>
      <w:r w:rsidR="00EE7A99" w:rsidRPr="00EE7A99">
        <w:rPr>
          <w:rStyle w:val="eop"/>
          <w:rFonts w:ascii="Calibri" w:hAnsi="Calibri" w:cs="Calibri"/>
          <w:b/>
          <w:bCs/>
          <w:sz w:val="22"/>
          <w:szCs w:val="22"/>
          <w:lang w:val="en-GB"/>
        </w:rPr>
        <w:t>recommends</w:t>
      </w:r>
      <w:r w:rsidR="00EE7A99">
        <w:rPr>
          <w:rStyle w:val="eop"/>
          <w:rFonts w:ascii="Calibri" w:hAnsi="Calibri" w:cs="Calibri"/>
          <w:sz w:val="22"/>
          <w:szCs w:val="22"/>
          <w:lang w:val="en-GB"/>
        </w:rPr>
        <w:t xml:space="preserve"> to </w:t>
      </w:r>
      <w:r w:rsidR="001373C1">
        <w:rPr>
          <w:rStyle w:val="eop"/>
          <w:rFonts w:ascii="Calibri" w:hAnsi="Calibri" w:cs="Calibri"/>
          <w:sz w:val="22"/>
          <w:szCs w:val="22"/>
          <w:lang w:val="en-GB"/>
        </w:rPr>
        <w:t>restrict</w:t>
      </w:r>
      <w:r w:rsidR="00196712">
        <w:rPr>
          <w:rStyle w:val="eop"/>
          <w:rFonts w:ascii="Calibri" w:hAnsi="Calibri" w:cs="Calibri"/>
          <w:sz w:val="22"/>
          <w:szCs w:val="22"/>
          <w:lang w:val="en-GB"/>
        </w:rPr>
        <w:t xml:space="preserve"> </w:t>
      </w:r>
      <w:r>
        <w:rPr>
          <w:rStyle w:val="eop"/>
          <w:rFonts w:ascii="Calibri" w:hAnsi="Calibri" w:cs="Calibri"/>
          <w:sz w:val="22"/>
          <w:szCs w:val="22"/>
          <w:lang w:val="en-GB"/>
        </w:rPr>
        <w:t>access to</w:t>
      </w:r>
      <w:r w:rsidR="00066D06" w:rsidRPr="002C09FA">
        <w:rPr>
          <w:rStyle w:val="eop"/>
          <w:rFonts w:ascii="Calibri" w:hAnsi="Calibri" w:cs="Calibri"/>
          <w:sz w:val="22"/>
          <w:szCs w:val="22"/>
          <w:lang w:val="en-GB"/>
        </w:rPr>
        <w:t xml:space="preserve"> confidential and commercially sensitive data </w:t>
      </w:r>
      <w:r w:rsidR="003C1D23">
        <w:rPr>
          <w:rStyle w:val="eop"/>
          <w:rFonts w:ascii="Calibri" w:hAnsi="Calibri" w:cs="Calibri"/>
          <w:sz w:val="22"/>
          <w:szCs w:val="22"/>
          <w:lang w:val="en-GB"/>
        </w:rPr>
        <w:t>facilitated by industrial sites</w:t>
      </w:r>
      <w:r w:rsidR="002E2B4F">
        <w:rPr>
          <w:rStyle w:val="eop"/>
          <w:rFonts w:ascii="Calibri" w:hAnsi="Calibri" w:cs="Calibri"/>
          <w:sz w:val="22"/>
          <w:szCs w:val="22"/>
          <w:lang w:val="en-GB"/>
        </w:rPr>
        <w:t xml:space="preserve"> </w:t>
      </w:r>
      <w:r w:rsidR="00066D06" w:rsidRPr="002C09FA">
        <w:rPr>
          <w:rStyle w:val="eop"/>
          <w:rFonts w:ascii="Calibri" w:hAnsi="Calibri" w:cs="Calibri"/>
          <w:sz w:val="22"/>
          <w:szCs w:val="22"/>
          <w:lang w:val="en-GB"/>
        </w:rPr>
        <w:t>to the Commission and civil servants from ECHA and national competent authorities who are bound by law to an obligation of professional secrecy. R</w:t>
      </w:r>
      <w:r w:rsidR="0060248B" w:rsidRPr="002C09FA">
        <w:rPr>
          <w:rStyle w:val="eop"/>
          <w:rFonts w:ascii="Calibri" w:hAnsi="Calibri" w:cs="Calibri"/>
          <w:sz w:val="22"/>
          <w:szCs w:val="22"/>
          <w:lang w:val="en-GB"/>
        </w:rPr>
        <w:t>epresentatives</w:t>
      </w:r>
      <w:r w:rsidR="00963D40" w:rsidRPr="002C09FA">
        <w:rPr>
          <w:rStyle w:val="eop"/>
          <w:rFonts w:ascii="Calibri" w:hAnsi="Calibri" w:cs="Calibri"/>
          <w:sz w:val="22"/>
          <w:szCs w:val="22"/>
          <w:lang w:val="en-GB"/>
        </w:rPr>
        <w:t xml:space="preserve"> of NGOs promoting the protection of human health or the environment </w:t>
      </w:r>
      <w:r w:rsidR="00CA2ECD" w:rsidRPr="002C09FA">
        <w:rPr>
          <w:rStyle w:val="eop"/>
          <w:rFonts w:ascii="Calibri" w:hAnsi="Calibri" w:cs="Calibri"/>
          <w:sz w:val="22"/>
          <w:szCs w:val="22"/>
          <w:lang w:val="en-GB"/>
        </w:rPr>
        <w:t xml:space="preserve">and representatives of NGOs representing the industries concerned by the BREF should </w:t>
      </w:r>
      <w:r w:rsidR="00407D21" w:rsidRPr="002C09FA">
        <w:rPr>
          <w:rStyle w:val="eop"/>
          <w:rFonts w:ascii="Calibri" w:hAnsi="Calibri" w:cs="Calibri"/>
          <w:sz w:val="22"/>
          <w:szCs w:val="22"/>
          <w:lang w:val="en-GB"/>
        </w:rPr>
        <w:t>only have access to non-confidential information.</w:t>
      </w:r>
      <w:r w:rsidR="003C1D23">
        <w:rPr>
          <w:rStyle w:val="eop"/>
          <w:rFonts w:ascii="Calibri" w:hAnsi="Calibri" w:cs="Calibri"/>
          <w:sz w:val="22"/>
          <w:szCs w:val="22"/>
          <w:lang w:val="en-GB"/>
        </w:rPr>
        <w:t xml:space="preserve"> </w:t>
      </w:r>
      <w:r w:rsidR="00CE11DF" w:rsidRPr="002C09FA">
        <w:rPr>
          <w:rStyle w:val="eop"/>
          <w:rFonts w:ascii="Calibri" w:hAnsi="Calibri" w:cs="Calibri"/>
          <w:sz w:val="22"/>
          <w:szCs w:val="22"/>
          <w:lang w:val="en-GB"/>
        </w:rPr>
        <w:t xml:space="preserve">Data submitted for the purpose of the adoption and review of BREFs includes highly sensitive data on technology and performance, some of which are </w:t>
      </w:r>
      <w:r w:rsidR="00CE11DF" w:rsidRPr="002C09FA">
        <w:rPr>
          <w:rStyle w:val="eop"/>
          <w:rFonts w:ascii="Calibri" w:hAnsi="Calibri" w:cs="Calibri"/>
          <w:sz w:val="22"/>
          <w:szCs w:val="22"/>
          <w:lang w:val="en-GB"/>
        </w:rPr>
        <w:lastRenderedPageBreak/>
        <w:t>sensitive under competition law (e.g. revealing volumes, revealing new technologies).</w:t>
      </w:r>
      <w:r w:rsidR="00E371B6" w:rsidRPr="00E371B6">
        <w:rPr>
          <w:rStyle w:val="eop"/>
          <w:rFonts w:ascii="Calibri" w:hAnsi="Calibri" w:cs="Calibri"/>
          <w:sz w:val="22"/>
          <w:szCs w:val="22"/>
          <w:lang w:val="en-GB"/>
        </w:rPr>
        <w:t xml:space="preserve"> </w:t>
      </w:r>
      <w:r w:rsidR="00E371B6">
        <w:rPr>
          <w:rStyle w:val="eop"/>
          <w:rFonts w:ascii="Calibri" w:hAnsi="Calibri" w:cs="Calibri"/>
          <w:sz w:val="22"/>
          <w:szCs w:val="22"/>
          <w:lang w:val="en-GB"/>
        </w:rPr>
        <w:t>An NDA is unlikely to provide sufficient protection to the entities facilitating the data.</w:t>
      </w:r>
    </w:p>
    <w:p w14:paraId="43C531F8" w14:textId="77777777" w:rsidR="000C55C2" w:rsidRPr="00331470" w:rsidRDefault="000C55C2" w:rsidP="00331470">
      <w:pPr>
        <w:pStyle w:val="paragraph"/>
        <w:spacing w:before="0" w:beforeAutospacing="0" w:after="0" w:afterAutospacing="0"/>
        <w:ind w:left="720"/>
        <w:textAlignment w:val="baseline"/>
        <w:rPr>
          <w:rStyle w:val="eop"/>
          <w:rFonts w:ascii="Calibri" w:hAnsi="Calibri" w:cs="Calibri"/>
          <w:sz w:val="22"/>
          <w:szCs w:val="22"/>
          <w:lang w:val="en-GB"/>
        </w:rPr>
      </w:pPr>
    </w:p>
    <w:p w14:paraId="0C719F80" w14:textId="3D57E304" w:rsidR="00892346" w:rsidRDefault="00892346" w:rsidP="0089234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GB"/>
        </w:rPr>
        <w:t xml:space="preserve">Penalties </w:t>
      </w:r>
    </w:p>
    <w:p w14:paraId="21103BB2" w14:textId="2900B9F2" w:rsidR="00892346" w:rsidRDefault="00892346" w:rsidP="00892346">
      <w:pPr>
        <w:pStyle w:val="paragraph"/>
        <w:spacing w:before="0" w:beforeAutospacing="0" w:after="0" w:afterAutospacing="0"/>
        <w:textAlignment w:val="baseline"/>
        <w:rPr>
          <w:rStyle w:val="eop"/>
          <w:rFonts w:ascii="Calibri" w:hAnsi="Calibri" w:cs="Calibri"/>
          <w:sz w:val="22"/>
          <w:szCs w:val="22"/>
        </w:rPr>
      </w:pPr>
    </w:p>
    <w:p w14:paraId="76D1EB06" w14:textId="7D994B5E" w:rsidR="00350575" w:rsidRDefault="00350575" w:rsidP="00EE19B3">
      <w:pPr>
        <w:pStyle w:val="paragraph"/>
        <w:numPr>
          <w:ilvl w:val="0"/>
          <w:numId w:val="7"/>
        </w:numPr>
        <w:spacing w:before="0" w:beforeAutospacing="0" w:after="0" w:afterAutospacing="0"/>
        <w:jc w:val="both"/>
        <w:textAlignment w:val="baseline"/>
        <w:rPr>
          <w:rStyle w:val="eop"/>
          <w:rFonts w:ascii="Calibri" w:hAnsi="Calibri" w:cs="Calibri"/>
          <w:b/>
          <w:bCs/>
          <w:sz w:val="22"/>
          <w:szCs w:val="22"/>
          <w:lang w:val="en-GB"/>
        </w:rPr>
      </w:pPr>
      <w:r>
        <w:rPr>
          <w:rStyle w:val="eop"/>
          <w:rFonts w:ascii="Calibri" w:hAnsi="Calibri" w:cs="Calibri"/>
          <w:b/>
          <w:bCs/>
          <w:sz w:val="22"/>
          <w:szCs w:val="22"/>
          <w:lang w:val="en-GB"/>
        </w:rPr>
        <w:t xml:space="preserve">Article 79(1). </w:t>
      </w:r>
      <w:r w:rsidRPr="00787105">
        <w:rPr>
          <w:rStyle w:val="eop"/>
          <w:rFonts w:ascii="Calibri" w:hAnsi="Calibri" w:cs="Calibri"/>
          <w:sz w:val="22"/>
          <w:szCs w:val="22"/>
          <w:lang w:val="en-GB"/>
        </w:rPr>
        <w:t>Cefic</w:t>
      </w:r>
      <w:r w:rsidR="00BA687E">
        <w:rPr>
          <w:rStyle w:val="eop"/>
          <w:rFonts w:ascii="Calibri" w:hAnsi="Calibri" w:cs="Calibri"/>
          <w:sz w:val="22"/>
          <w:szCs w:val="22"/>
          <w:lang w:val="en-GB"/>
        </w:rPr>
        <w:t xml:space="preserve"> </w:t>
      </w:r>
      <w:r w:rsidR="00FD6758" w:rsidRPr="00EE7A99">
        <w:rPr>
          <w:rStyle w:val="eop"/>
          <w:rFonts w:ascii="Calibri" w:hAnsi="Calibri" w:cs="Calibri"/>
          <w:b/>
          <w:bCs/>
          <w:sz w:val="22"/>
          <w:szCs w:val="22"/>
          <w:lang w:val="en-GB"/>
        </w:rPr>
        <w:t>recommends</w:t>
      </w:r>
      <w:r w:rsidR="00FD6758">
        <w:rPr>
          <w:rStyle w:val="eop"/>
          <w:rFonts w:ascii="Calibri" w:hAnsi="Calibri" w:cs="Calibri"/>
          <w:sz w:val="22"/>
          <w:szCs w:val="22"/>
          <w:lang w:val="en-GB"/>
        </w:rPr>
        <w:t xml:space="preserve"> the addition of a reference to the need for administrative sanctions to respect the provisions of the Charter of Fundamental Rights of the EU</w:t>
      </w:r>
      <w:r w:rsidR="00EE7A99">
        <w:rPr>
          <w:rStyle w:val="eop"/>
          <w:rFonts w:ascii="Calibri" w:hAnsi="Calibri" w:cs="Calibri"/>
          <w:sz w:val="22"/>
          <w:szCs w:val="22"/>
          <w:lang w:val="en-GB"/>
        </w:rPr>
        <w:t>, including but not limited to the ne bis in idem principle and the proportionality principle.</w:t>
      </w:r>
    </w:p>
    <w:p w14:paraId="1BEA40EC" w14:textId="77B5A2B4" w:rsidR="00331470" w:rsidRPr="00787105" w:rsidRDefault="00331470" w:rsidP="00EE19B3">
      <w:pPr>
        <w:pStyle w:val="paragraph"/>
        <w:numPr>
          <w:ilvl w:val="0"/>
          <w:numId w:val="7"/>
        </w:numPr>
        <w:spacing w:before="0" w:beforeAutospacing="0" w:after="0" w:afterAutospacing="0"/>
        <w:jc w:val="both"/>
        <w:textAlignment w:val="baseline"/>
        <w:rPr>
          <w:rStyle w:val="eop"/>
          <w:rFonts w:ascii="Calibri" w:hAnsi="Calibri" w:cs="Calibri"/>
          <w:b/>
          <w:bCs/>
          <w:sz w:val="22"/>
          <w:szCs w:val="22"/>
          <w:lang w:val="en-GB"/>
        </w:rPr>
      </w:pPr>
      <w:r w:rsidRPr="00787105">
        <w:rPr>
          <w:rStyle w:val="eop"/>
          <w:rFonts w:ascii="Calibri" w:hAnsi="Calibri" w:cs="Calibri"/>
          <w:b/>
          <w:bCs/>
          <w:sz w:val="22"/>
          <w:szCs w:val="22"/>
          <w:lang w:val="en-GB"/>
        </w:rPr>
        <w:t>Art</w:t>
      </w:r>
      <w:r w:rsidR="002C09FA" w:rsidRPr="00787105">
        <w:rPr>
          <w:rStyle w:val="eop"/>
          <w:rFonts w:ascii="Calibri" w:hAnsi="Calibri" w:cs="Calibri"/>
          <w:b/>
          <w:bCs/>
          <w:sz w:val="22"/>
          <w:szCs w:val="22"/>
          <w:lang w:val="en-GB"/>
        </w:rPr>
        <w:t>icle 79(2)</w:t>
      </w:r>
      <w:r w:rsidR="00386574" w:rsidRPr="00787105">
        <w:rPr>
          <w:rStyle w:val="eop"/>
          <w:rFonts w:ascii="Calibri" w:hAnsi="Calibri" w:cs="Calibri"/>
          <w:b/>
          <w:bCs/>
          <w:sz w:val="22"/>
          <w:szCs w:val="22"/>
          <w:lang w:val="en-GB"/>
        </w:rPr>
        <w:t xml:space="preserve">. </w:t>
      </w:r>
      <w:r w:rsidR="00386574" w:rsidRPr="00787105">
        <w:rPr>
          <w:rStyle w:val="eop"/>
          <w:rFonts w:ascii="Calibri" w:hAnsi="Calibri" w:cs="Calibri"/>
          <w:sz w:val="22"/>
          <w:szCs w:val="22"/>
          <w:lang w:val="en-GB"/>
        </w:rPr>
        <w:t xml:space="preserve">Cefic </w:t>
      </w:r>
      <w:r w:rsidR="00386574" w:rsidRPr="00E14C22">
        <w:rPr>
          <w:rStyle w:val="eop"/>
          <w:rFonts w:ascii="Calibri" w:hAnsi="Calibri" w:cs="Calibri"/>
          <w:b/>
          <w:bCs/>
          <w:sz w:val="22"/>
          <w:szCs w:val="22"/>
          <w:lang w:val="en-GB"/>
        </w:rPr>
        <w:t>welcomes</w:t>
      </w:r>
      <w:r w:rsidR="00787105" w:rsidRPr="00787105">
        <w:rPr>
          <w:rStyle w:val="eop"/>
          <w:rFonts w:ascii="Calibri" w:hAnsi="Calibri" w:cs="Calibri"/>
          <w:sz w:val="22"/>
          <w:szCs w:val="22"/>
          <w:lang w:val="en-GB"/>
        </w:rPr>
        <w:t xml:space="preserve"> the p</w:t>
      </w:r>
      <w:r w:rsidR="00787105">
        <w:rPr>
          <w:rStyle w:val="eop"/>
          <w:rFonts w:ascii="Calibri" w:hAnsi="Calibri" w:cs="Calibri"/>
          <w:sz w:val="22"/>
          <w:szCs w:val="22"/>
          <w:lang w:val="en-GB"/>
        </w:rPr>
        <w:t xml:space="preserve">roposal </w:t>
      </w:r>
      <w:r w:rsidR="00EE19B3">
        <w:rPr>
          <w:rStyle w:val="eop"/>
          <w:rFonts w:ascii="Calibri" w:hAnsi="Calibri" w:cs="Calibri"/>
          <w:sz w:val="22"/>
          <w:szCs w:val="22"/>
          <w:lang w:val="en-GB"/>
        </w:rPr>
        <w:t xml:space="preserve">in the Compromise Text </w:t>
      </w:r>
      <w:r w:rsidR="00787105">
        <w:rPr>
          <w:rStyle w:val="eop"/>
          <w:rFonts w:ascii="Calibri" w:hAnsi="Calibri" w:cs="Calibri"/>
          <w:sz w:val="22"/>
          <w:szCs w:val="22"/>
          <w:lang w:val="en-GB"/>
        </w:rPr>
        <w:t xml:space="preserve">to remove the minimum maximum threshold for </w:t>
      </w:r>
      <w:r w:rsidR="00787105" w:rsidRPr="00787105">
        <w:rPr>
          <w:rStyle w:val="eop"/>
          <w:rFonts w:ascii="Calibri" w:hAnsi="Calibri" w:cs="Calibri"/>
          <w:sz w:val="22"/>
          <w:szCs w:val="22"/>
          <w:lang w:val="en-GB"/>
        </w:rPr>
        <w:t>administrative fines linked to IED violations.</w:t>
      </w:r>
      <w:r w:rsidR="00A6385A">
        <w:rPr>
          <w:rStyle w:val="eop"/>
          <w:rFonts w:ascii="Calibri" w:hAnsi="Calibri" w:cs="Calibri"/>
          <w:sz w:val="22"/>
          <w:szCs w:val="22"/>
          <w:lang w:val="en-GB"/>
        </w:rPr>
        <w:t xml:space="preserve"> </w:t>
      </w:r>
      <w:r w:rsidR="00A6385A" w:rsidRPr="00A6385A">
        <w:rPr>
          <w:rStyle w:val="eop"/>
          <w:rFonts w:ascii="Calibri" w:hAnsi="Calibri" w:cs="Calibri"/>
          <w:sz w:val="22"/>
          <w:szCs w:val="22"/>
          <w:lang w:val="en-GB"/>
        </w:rPr>
        <w:t>The amount of administrative fines should be proportionate to the nature of the illegal conduct. Fines should have the main objective to take away the benefits of non-compliance without being excessive.</w:t>
      </w:r>
      <w:r w:rsidR="00372382" w:rsidRPr="00372382">
        <w:t xml:space="preserve"> </w:t>
      </w:r>
      <w:r w:rsidR="00372382" w:rsidRPr="00372382">
        <w:rPr>
          <w:rStyle w:val="eop"/>
          <w:rFonts w:ascii="Calibri" w:hAnsi="Calibri" w:cs="Calibri"/>
          <w:sz w:val="22"/>
          <w:szCs w:val="22"/>
          <w:lang w:val="en-GB"/>
        </w:rPr>
        <w:t>Turnover as a basis to calculate an administrative fine can to lead to unfair results.</w:t>
      </w:r>
    </w:p>
    <w:p w14:paraId="351D6600" w14:textId="77777777" w:rsidR="002C09FA" w:rsidRPr="00787105" w:rsidRDefault="002C09FA" w:rsidP="00350575">
      <w:pPr>
        <w:pStyle w:val="paragraph"/>
        <w:spacing w:before="0" w:beforeAutospacing="0" w:after="0" w:afterAutospacing="0"/>
        <w:ind w:left="720"/>
        <w:textAlignment w:val="baseline"/>
        <w:rPr>
          <w:rStyle w:val="eop"/>
          <w:rFonts w:ascii="Calibri" w:hAnsi="Calibri" w:cs="Calibri"/>
          <w:b/>
          <w:bCs/>
          <w:sz w:val="22"/>
          <w:szCs w:val="22"/>
          <w:lang w:val="en-GB"/>
        </w:rPr>
      </w:pPr>
    </w:p>
    <w:p w14:paraId="4AB61E2B" w14:textId="20EABA68" w:rsidR="00892346" w:rsidRDefault="00892346" w:rsidP="00892346">
      <w:pPr>
        <w:pStyle w:val="paragraph"/>
        <w:spacing w:before="0" w:beforeAutospacing="0" w:after="0" w:afterAutospacing="0"/>
        <w:textAlignment w:val="baseline"/>
        <w:rPr>
          <w:rStyle w:val="normaltextrun"/>
          <w:rFonts w:ascii="Calibri" w:hAnsi="Calibri" w:cs="Calibri"/>
          <w:b/>
          <w:bCs/>
          <w:color w:val="000000"/>
          <w:sz w:val="22"/>
          <w:szCs w:val="22"/>
          <w:shd w:val="clear" w:color="auto" w:fill="FFFFFF"/>
          <w:lang w:val="en-GB"/>
        </w:rPr>
      </w:pPr>
      <w:r>
        <w:rPr>
          <w:rStyle w:val="normaltextrun"/>
          <w:rFonts w:ascii="Calibri" w:hAnsi="Calibri" w:cs="Calibri"/>
          <w:b/>
          <w:bCs/>
          <w:color w:val="000000"/>
          <w:sz w:val="22"/>
          <w:szCs w:val="22"/>
          <w:shd w:val="clear" w:color="auto" w:fill="FFFFFF"/>
          <w:lang w:val="en-GB"/>
        </w:rPr>
        <w:t xml:space="preserve">Compensation </w:t>
      </w:r>
    </w:p>
    <w:p w14:paraId="67FDED2A" w14:textId="77777777" w:rsidR="0066396D" w:rsidRDefault="0066396D" w:rsidP="00892346">
      <w:pPr>
        <w:pStyle w:val="paragraph"/>
        <w:spacing w:before="0" w:beforeAutospacing="0" w:after="0" w:afterAutospacing="0"/>
        <w:textAlignment w:val="baseline"/>
        <w:rPr>
          <w:rFonts w:ascii="Segoe UI" w:hAnsi="Segoe UI" w:cs="Segoe UI"/>
          <w:sz w:val="18"/>
          <w:szCs w:val="18"/>
        </w:rPr>
      </w:pPr>
    </w:p>
    <w:p w14:paraId="439A652C" w14:textId="158F062A" w:rsidR="00B62262" w:rsidRDefault="007D635A" w:rsidP="006C1C37">
      <w:pPr>
        <w:pStyle w:val="ListParagraph"/>
        <w:numPr>
          <w:ilvl w:val="0"/>
          <w:numId w:val="5"/>
        </w:numPr>
        <w:jc w:val="both"/>
        <w:rPr>
          <w:rFonts w:eastAsia="Times New Roman"/>
        </w:rPr>
      </w:pPr>
      <w:r>
        <w:rPr>
          <w:rFonts w:eastAsia="Times New Roman"/>
          <w:b/>
          <w:bCs/>
        </w:rPr>
        <w:t>Article 79a(1)</w:t>
      </w:r>
      <w:r w:rsidR="00FB5EB2">
        <w:rPr>
          <w:rFonts w:eastAsia="Times New Roman"/>
          <w:b/>
          <w:bCs/>
        </w:rPr>
        <w:t xml:space="preserve">. </w:t>
      </w:r>
      <w:r w:rsidR="00426A2D">
        <w:rPr>
          <w:rFonts w:eastAsia="Times New Roman"/>
        </w:rPr>
        <w:t xml:space="preserve">Cefic </w:t>
      </w:r>
      <w:r w:rsidR="009831C0">
        <w:rPr>
          <w:rFonts w:eastAsia="Times New Roman"/>
          <w:b/>
          <w:bCs/>
        </w:rPr>
        <w:t xml:space="preserve">cautions against </w:t>
      </w:r>
      <w:r w:rsidR="009831C0">
        <w:rPr>
          <w:rFonts w:eastAsia="Times New Roman"/>
        </w:rPr>
        <w:t>creating a</w:t>
      </w:r>
      <w:r w:rsidR="006D71EF">
        <w:rPr>
          <w:rFonts w:eastAsia="Times New Roman"/>
        </w:rPr>
        <w:t>n individual</w:t>
      </w:r>
      <w:r w:rsidR="009831C0">
        <w:rPr>
          <w:rFonts w:eastAsia="Times New Roman"/>
        </w:rPr>
        <w:t xml:space="preserve"> right to compensation</w:t>
      </w:r>
      <w:r w:rsidR="00902A08">
        <w:rPr>
          <w:rFonts w:eastAsia="Times New Roman"/>
        </w:rPr>
        <w:t xml:space="preserve"> in </w:t>
      </w:r>
      <w:r w:rsidR="00B62262">
        <w:rPr>
          <w:rFonts w:eastAsia="Times New Roman"/>
        </w:rPr>
        <w:t xml:space="preserve">the </w:t>
      </w:r>
      <w:r w:rsidR="00902A08">
        <w:rPr>
          <w:rFonts w:eastAsia="Times New Roman"/>
        </w:rPr>
        <w:t xml:space="preserve">absence of </w:t>
      </w:r>
      <w:r w:rsidR="00751AF5">
        <w:rPr>
          <w:rFonts w:eastAsia="Times New Roman"/>
        </w:rPr>
        <w:t>a causation link between the emissions</w:t>
      </w:r>
      <w:r w:rsidR="00A83DCD">
        <w:rPr>
          <w:rFonts w:eastAsia="Times New Roman"/>
        </w:rPr>
        <w:t xml:space="preserve"> in violation of the IED </w:t>
      </w:r>
      <w:r w:rsidR="00B62262">
        <w:rPr>
          <w:rFonts w:eastAsia="Times New Roman"/>
        </w:rPr>
        <w:t>and the health damage</w:t>
      </w:r>
      <w:r w:rsidR="00807ECE">
        <w:rPr>
          <w:rFonts w:eastAsia="Times New Roman"/>
        </w:rPr>
        <w:t>. L</w:t>
      </w:r>
      <w:r w:rsidR="00A46F2B">
        <w:rPr>
          <w:rFonts w:eastAsia="Times New Roman"/>
        </w:rPr>
        <w:t>anguage “has occurred as a result of” should be substituted by “was caused by”</w:t>
      </w:r>
      <w:r w:rsidR="00B62262">
        <w:rPr>
          <w:rFonts w:eastAsia="Times New Roman"/>
        </w:rPr>
        <w:t xml:space="preserve">. </w:t>
      </w:r>
      <w:r w:rsidR="00C33FF6">
        <w:rPr>
          <w:rFonts w:eastAsia="Times New Roman"/>
        </w:rPr>
        <w:t xml:space="preserve">It should </w:t>
      </w:r>
      <w:r w:rsidR="0077004D">
        <w:rPr>
          <w:rFonts w:eastAsia="Times New Roman"/>
        </w:rPr>
        <w:t xml:space="preserve">also </w:t>
      </w:r>
      <w:r w:rsidR="00C33FF6">
        <w:rPr>
          <w:rFonts w:eastAsia="Times New Roman"/>
        </w:rPr>
        <w:t xml:space="preserve">be recognized that such right is </w:t>
      </w:r>
      <w:r w:rsidR="0077004D">
        <w:rPr>
          <w:rFonts w:eastAsia="Times New Roman"/>
        </w:rPr>
        <w:t xml:space="preserve">not absolute, and remains </w:t>
      </w:r>
      <w:r w:rsidR="00C33FF6">
        <w:rPr>
          <w:rFonts w:eastAsia="Times New Roman"/>
        </w:rPr>
        <w:t>subject to limitations</w:t>
      </w:r>
      <w:r w:rsidR="00D01FE4">
        <w:rPr>
          <w:rFonts w:eastAsia="Times New Roman"/>
        </w:rPr>
        <w:t xml:space="preserve"> and exceptions</w:t>
      </w:r>
      <w:r w:rsidR="00C33FF6">
        <w:rPr>
          <w:rFonts w:eastAsia="Times New Roman"/>
        </w:rPr>
        <w:t xml:space="preserve"> existing under national civil law.</w:t>
      </w:r>
      <w:r w:rsidR="00A31B59" w:rsidRPr="00A31B59">
        <w:t xml:space="preserve"> </w:t>
      </w:r>
      <w:r w:rsidR="00807ECE" w:rsidRPr="00807ECE">
        <w:rPr>
          <w:lang w:val="en-GB"/>
        </w:rPr>
        <w:t>Fo</w:t>
      </w:r>
      <w:r w:rsidR="00807ECE">
        <w:rPr>
          <w:lang w:val="en-GB"/>
        </w:rPr>
        <w:t>r instance, t</w:t>
      </w:r>
      <w:r w:rsidR="00A31B59" w:rsidRPr="00A31B59">
        <w:rPr>
          <w:rFonts w:eastAsia="Times New Roman"/>
        </w:rPr>
        <w:t>he legal person should not be liable in case the violation was triggered by force majeure.</w:t>
      </w:r>
    </w:p>
    <w:p w14:paraId="4B3AECCD" w14:textId="615F627B" w:rsidR="00464D34" w:rsidRDefault="00D01FE4">
      <w:pPr>
        <w:pStyle w:val="ListParagraph"/>
        <w:numPr>
          <w:ilvl w:val="0"/>
          <w:numId w:val="5"/>
        </w:numPr>
        <w:jc w:val="both"/>
        <w:rPr>
          <w:rFonts w:eastAsia="Times New Roman"/>
        </w:rPr>
      </w:pPr>
      <w:r w:rsidRPr="00A31B59">
        <w:rPr>
          <w:rFonts w:eastAsia="Times New Roman"/>
          <w:b/>
          <w:bCs/>
        </w:rPr>
        <w:t xml:space="preserve">Article </w:t>
      </w:r>
      <w:r w:rsidR="00632D13" w:rsidRPr="00A31B59">
        <w:rPr>
          <w:rFonts w:eastAsia="Times New Roman"/>
          <w:b/>
          <w:bCs/>
        </w:rPr>
        <w:t xml:space="preserve">79a(2). </w:t>
      </w:r>
      <w:r w:rsidR="00E1721D" w:rsidRPr="00A31B59">
        <w:rPr>
          <w:rFonts w:eastAsia="Times New Roman"/>
        </w:rPr>
        <w:t>Cefic</w:t>
      </w:r>
      <w:r w:rsidR="008E4A1A">
        <w:rPr>
          <w:rFonts w:eastAsia="Times New Roman"/>
        </w:rPr>
        <w:t xml:space="preserve"> </w:t>
      </w:r>
      <w:r w:rsidR="008E4A1A" w:rsidRPr="00225382">
        <w:rPr>
          <w:rFonts w:eastAsia="Times New Roman"/>
          <w:b/>
          <w:bCs/>
        </w:rPr>
        <w:t>highly recommends</w:t>
      </w:r>
      <w:r w:rsidR="008E4A1A">
        <w:rPr>
          <w:rFonts w:eastAsia="Times New Roman"/>
        </w:rPr>
        <w:t xml:space="preserve"> t</w:t>
      </w:r>
      <w:r w:rsidR="00C3331D">
        <w:rPr>
          <w:rFonts w:eastAsia="Times New Roman"/>
        </w:rPr>
        <w:t>o include safeguards against abusive litigation</w:t>
      </w:r>
      <w:r w:rsidR="005C0866">
        <w:rPr>
          <w:rFonts w:eastAsia="Times New Roman"/>
        </w:rPr>
        <w:t xml:space="preserve"> on the model of </w:t>
      </w:r>
      <w:r w:rsidR="005C0866" w:rsidRPr="005C0866">
        <w:rPr>
          <w:rFonts w:eastAsia="Times New Roman"/>
        </w:rPr>
        <w:t>Directive (EU) 2020/1828 on representative actions for the protection of the collective interests of consumers</w:t>
      </w:r>
      <w:r w:rsidR="005C0866">
        <w:rPr>
          <w:rFonts w:eastAsia="Times New Roman"/>
        </w:rPr>
        <w:t xml:space="preserve">. </w:t>
      </w:r>
      <w:r w:rsidR="00ED36CE" w:rsidRPr="00ED36CE">
        <w:rPr>
          <w:rFonts w:eastAsia="Times New Roman"/>
        </w:rPr>
        <w:t xml:space="preserve">Article 4(3), 10 and Article 12(1) of Directive (EU) 2020/1828 </w:t>
      </w:r>
      <w:r w:rsidR="00775627">
        <w:rPr>
          <w:rFonts w:eastAsia="Times New Roman"/>
        </w:rPr>
        <w:t>the explicit</w:t>
      </w:r>
      <w:r w:rsidR="00ED36CE" w:rsidRPr="00ED36CE">
        <w:rPr>
          <w:rFonts w:eastAsia="Times New Roman"/>
        </w:rPr>
        <w:t xml:space="preserve"> mutatis mutandis apply to collective actions</w:t>
      </w:r>
      <w:r w:rsidR="00464D34">
        <w:rPr>
          <w:rFonts w:eastAsia="Times New Roman"/>
        </w:rPr>
        <w:t xml:space="preserve"> for compensation referred to in the IED</w:t>
      </w:r>
      <w:r w:rsidR="00F10166">
        <w:rPr>
          <w:rFonts w:eastAsia="Times New Roman"/>
        </w:rPr>
        <w:t xml:space="preserve">. In addition, </w:t>
      </w:r>
      <w:r w:rsidR="00195FEE">
        <w:rPr>
          <w:rFonts w:eastAsia="Times New Roman"/>
        </w:rPr>
        <w:t>consent of the individuals</w:t>
      </w:r>
      <w:r w:rsidR="00775627">
        <w:rPr>
          <w:rFonts w:eastAsia="Times New Roman"/>
        </w:rPr>
        <w:t xml:space="preserve"> affected should be required </w:t>
      </w:r>
      <w:r w:rsidR="00BD53E8">
        <w:rPr>
          <w:rFonts w:eastAsia="Times New Roman"/>
        </w:rPr>
        <w:t>(opt-in mechanism).</w:t>
      </w:r>
    </w:p>
    <w:p w14:paraId="2351FDCC" w14:textId="6A57B75F" w:rsidR="001B4993" w:rsidRDefault="001B4993">
      <w:pPr>
        <w:pStyle w:val="ListParagraph"/>
        <w:numPr>
          <w:ilvl w:val="0"/>
          <w:numId w:val="5"/>
        </w:numPr>
        <w:jc w:val="both"/>
        <w:rPr>
          <w:rFonts w:eastAsia="Times New Roman"/>
        </w:rPr>
      </w:pPr>
      <w:r w:rsidRPr="00FE7D0B">
        <w:rPr>
          <w:rFonts w:eastAsia="Times New Roman"/>
          <w:b/>
          <w:bCs/>
        </w:rPr>
        <w:t>Article 79a(4).</w:t>
      </w:r>
      <w:r w:rsidR="00D86C6A" w:rsidRPr="00FE7D0B">
        <w:rPr>
          <w:rFonts w:eastAsia="Times New Roman"/>
          <w:b/>
          <w:bCs/>
        </w:rPr>
        <w:t xml:space="preserve"> </w:t>
      </w:r>
      <w:r w:rsidR="00D86C6A" w:rsidRPr="00FE7D0B">
        <w:rPr>
          <w:rFonts w:eastAsia="Times New Roman"/>
        </w:rPr>
        <w:t>Cefic</w:t>
      </w:r>
      <w:r w:rsidR="007C595A" w:rsidRPr="00FE7D0B">
        <w:rPr>
          <w:rFonts w:eastAsia="Times New Roman"/>
        </w:rPr>
        <w:t xml:space="preserve"> </w:t>
      </w:r>
      <w:r w:rsidR="007C595A" w:rsidRPr="00FE7D0B">
        <w:rPr>
          <w:rFonts w:eastAsia="Times New Roman"/>
          <w:b/>
          <w:bCs/>
        </w:rPr>
        <w:t xml:space="preserve">strongly </w:t>
      </w:r>
      <w:r w:rsidR="007C6FC3" w:rsidRPr="00FE7D0B">
        <w:rPr>
          <w:rFonts w:eastAsia="Times New Roman"/>
          <w:b/>
          <w:bCs/>
        </w:rPr>
        <w:t>supports</w:t>
      </w:r>
      <w:r w:rsidR="007C595A" w:rsidRPr="00FE7D0B">
        <w:rPr>
          <w:rFonts w:eastAsia="Times New Roman"/>
        </w:rPr>
        <w:t xml:space="preserve"> the proposal in the Compromise Text to remove</w:t>
      </w:r>
      <w:r w:rsidR="00FA3CC2" w:rsidRPr="00FE7D0B">
        <w:rPr>
          <w:rFonts w:eastAsia="Times New Roman"/>
        </w:rPr>
        <w:t xml:space="preserve"> the </w:t>
      </w:r>
      <w:r w:rsidR="00E914A2" w:rsidRPr="00FE7D0B">
        <w:rPr>
          <w:rFonts w:eastAsia="Times New Roman"/>
        </w:rPr>
        <w:t>paragraph 4 of Article 79a</w:t>
      </w:r>
      <w:r w:rsidR="007C6FC3" w:rsidRPr="00FE7D0B">
        <w:rPr>
          <w:rFonts w:eastAsia="Times New Roman"/>
        </w:rPr>
        <w:t xml:space="preserve"> of the Commission proposal. </w:t>
      </w:r>
      <w:r w:rsidR="008C11A3" w:rsidRPr="00FE7D0B">
        <w:rPr>
          <w:rFonts w:eastAsia="Times New Roman"/>
        </w:rPr>
        <w:t>If the burden of proof is reversed, operators would have to prove a negative</w:t>
      </w:r>
      <w:r w:rsidR="008C11A3" w:rsidRPr="008C11A3">
        <w:rPr>
          <w:rFonts w:eastAsia="Times New Roman"/>
        </w:rPr>
        <w:t xml:space="preserve"> (i.e. that the emissions did not cause the health damage), and thus would have to demonstrate beyond reasonable doubt that other causes for the health damage are present. Given that many diseases are correlated with many putative causal factors, furnishing such proof would be impossible, even more so for SMEs.</w:t>
      </w:r>
    </w:p>
    <w:p w14:paraId="79FB52F2" w14:textId="77777777" w:rsidR="00615C1F" w:rsidRPr="00FA0A38" w:rsidRDefault="00615C1F" w:rsidP="00FA0A38">
      <w:pPr>
        <w:pStyle w:val="ListParagraph"/>
        <w:jc w:val="both"/>
        <w:rPr>
          <w:rFonts w:eastAsia="Times New Roman"/>
        </w:rPr>
      </w:pPr>
    </w:p>
    <w:p w14:paraId="1B7092E6" w14:textId="48C044FD" w:rsidR="00524E09" w:rsidRDefault="00524E09" w:rsidP="006C1C37">
      <w:pPr>
        <w:jc w:val="both"/>
      </w:pPr>
    </w:p>
    <w:p w14:paraId="13238A09" w14:textId="77777777" w:rsidR="00524E09" w:rsidRDefault="00524E09" w:rsidP="006C1C37">
      <w:pPr>
        <w:jc w:val="both"/>
      </w:pPr>
    </w:p>
    <w:sectPr w:rsidR="00524E0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CC46" w14:textId="77777777" w:rsidR="00FB3251" w:rsidRDefault="00FB3251" w:rsidP="00323730">
      <w:pPr>
        <w:spacing w:after="0" w:line="240" w:lineRule="auto"/>
      </w:pPr>
      <w:r>
        <w:separator/>
      </w:r>
    </w:p>
  </w:endnote>
  <w:endnote w:type="continuationSeparator" w:id="0">
    <w:p w14:paraId="49EC099A" w14:textId="77777777" w:rsidR="00FB3251" w:rsidRDefault="00FB3251" w:rsidP="00323730">
      <w:pPr>
        <w:spacing w:after="0" w:line="240" w:lineRule="auto"/>
      </w:pPr>
      <w:r>
        <w:continuationSeparator/>
      </w:r>
    </w:p>
  </w:endnote>
  <w:endnote w:type="continuationNotice" w:id="1">
    <w:p w14:paraId="531B7B23" w14:textId="77777777" w:rsidR="00FB3251" w:rsidRDefault="00FB32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528109"/>
      <w:docPartObj>
        <w:docPartGallery w:val="Page Numbers (Bottom of Page)"/>
        <w:docPartUnique/>
      </w:docPartObj>
    </w:sdtPr>
    <w:sdtEndPr>
      <w:rPr>
        <w:noProof/>
      </w:rPr>
    </w:sdtEndPr>
    <w:sdtContent>
      <w:p w14:paraId="144FD13F" w14:textId="500D13CC" w:rsidR="00323730" w:rsidRDefault="003237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48D220" w14:textId="77777777" w:rsidR="00323730" w:rsidRDefault="00323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E227" w14:textId="77777777" w:rsidR="00FB3251" w:rsidRDefault="00FB3251" w:rsidP="00323730">
      <w:pPr>
        <w:spacing w:after="0" w:line="240" w:lineRule="auto"/>
      </w:pPr>
      <w:r>
        <w:separator/>
      </w:r>
    </w:p>
  </w:footnote>
  <w:footnote w:type="continuationSeparator" w:id="0">
    <w:p w14:paraId="20F865CC" w14:textId="77777777" w:rsidR="00FB3251" w:rsidRDefault="00FB3251" w:rsidP="00323730">
      <w:pPr>
        <w:spacing w:after="0" w:line="240" w:lineRule="auto"/>
      </w:pPr>
      <w:r>
        <w:continuationSeparator/>
      </w:r>
    </w:p>
  </w:footnote>
  <w:footnote w:type="continuationNotice" w:id="1">
    <w:p w14:paraId="0A3B216E" w14:textId="77777777" w:rsidR="00FB3251" w:rsidRDefault="00FB32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0EC"/>
    <w:multiLevelType w:val="hybridMultilevel"/>
    <w:tmpl w:val="4CCA3A8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3D126A2"/>
    <w:multiLevelType w:val="hybridMultilevel"/>
    <w:tmpl w:val="7F2E777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A8E226D"/>
    <w:multiLevelType w:val="hybridMultilevel"/>
    <w:tmpl w:val="C942A59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3" w15:restartNumberingAfterBreak="0">
    <w:nsid w:val="0DFC20F5"/>
    <w:multiLevelType w:val="hybridMultilevel"/>
    <w:tmpl w:val="9D5ECBA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D8A73C7"/>
    <w:multiLevelType w:val="hybridMultilevel"/>
    <w:tmpl w:val="48B0ED40"/>
    <w:lvl w:ilvl="0" w:tplc="0C000003">
      <w:start w:val="1"/>
      <w:numFmt w:val="bullet"/>
      <w:lvlText w:val="o"/>
      <w:lvlJc w:val="left"/>
      <w:pPr>
        <w:ind w:left="1440" w:hanging="360"/>
      </w:pPr>
      <w:rPr>
        <w:rFonts w:ascii="Courier New" w:hAnsi="Courier New" w:cs="Courier New" w:hint="default"/>
      </w:rPr>
    </w:lvl>
    <w:lvl w:ilvl="1" w:tplc="0C000003">
      <w:start w:val="1"/>
      <w:numFmt w:val="bullet"/>
      <w:lvlText w:val="o"/>
      <w:lvlJc w:val="left"/>
      <w:pPr>
        <w:ind w:left="2160" w:hanging="360"/>
      </w:pPr>
      <w:rPr>
        <w:rFonts w:ascii="Courier New" w:hAnsi="Courier New" w:cs="Courier New" w:hint="default"/>
      </w:rPr>
    </w:lvl>
    <w:lvl w:ilvl="2" w:tplc="0C000005">
      <w:start w:val="1"/>
      <w:numFmt w:val="bullet"/>
      <w:lvlText w:val=""/>
      <w:lvlJc w:val="left"/>
      <w:pPr>
        <w:ind w:left="2880" w:hanging="360"/>
      </w:pPr>
      <w:rPr>
        <w:rFonts w:ascii="Wingdings" w:hAnsi="Wingdings" w:hint="default"/>
      </w:rPr>
    </w:lvl>
    <w:lvl w:ilvl="3" w:tplc="0C000001">
      <w:start w:val="1"/>
      <w:numFmt w:val="bullet"/>
      <w:lvlText w:val=""/>
      <w:lvlJc w:val="left"/>
      <w:pPr>
        <w:ind w:left="3600" w:hanging="360"/>
      </w:pPr>
      <w:rPr>
        <w:rFonts w:ascii="Symbol" w:hAnsi="Symbol" w:hint="default"/>
      </w:rPr>
    </w:lvl>
    <w:lvl w:ilvl="4" w:tplc="0C000003">
      <w:start w:val="1"/>
      <w:numFmt w:val="bullet"/>
      <w:lvlText w:val="o"/>
      <w:lvlJc w:val="left"/>
      <w:pPr>
        <w:ind w:left="4320" w:hanging="360"/>
      </w:pPr>
      <w:rPr>
        <w:rFonts w:ascii="Courier New" w:hAnsi="Courier New" w:cs="Courier New" w:hint="default"/>
      </w:rPr>
    </w:lvl>
    <w:lvl w:ilvl="5" w:tplc="0C000005">
      <w:start w:val="1"/>
      <w:numFmt w:val="bullet"/>
      <w:lvlText w:val=""/>
      <w:lvlJc w:val="left"/>
      <w:pPr>
        <w:ind w:left="5040" w:hanging="360"/>
      </w:pPr>
      <w:rPr>
        <w:rFonts w:ascii="Wingdings" w:hAnsi="Wingdings" w:hint="default"/>
      </w:rPr>
    </w:lvl>
    <w:lvl w:ilvl="6" w:tplc="0C000001">
      <w:start w:val="1"/>
      <w:numFmt w:val="bullet"/>
      <w:lvlText w:val=""/>
      <w:lvlJc w:val="left"/>
      <w:pPr>
        <w:ind w:left="5760" w:hanging="360"/>
      </w:pPr>
      <w:rPr>
        <w:rFonts w:ascii="Symbol" w:hAnsi="Symbol" w:hint="default"/>
      </w:rPr>
    </w:lvl>
    <w:lvl w:ilvl="7" w:tplc="0C000003">
      <w:start w:val="1"/>
      <w:numFmt w:val="bullet"/>
      <w:lvlText w:val="o"/>
      <w:lvlJc w:val="left"/>
      <w:pPr>
        <w:ind w:left="6480" w:hanging="360"/>
      </w:pPr>
      <w:rPr>
        <w:rFonts w:ascii="Courier New" w:hAnsi="Courier New" w:cs="Courier New" w:hint="default"/>
      </w:rPr>
    </w:lvl>
    <w:lvl w:ilvl="8" w:tplc="0C000005">
      <w:start w:val="1"/>
      <w:numFmt w:val="bullet"/>
      <w:lvlText w:val=""/>
      <w:lvlJc w:val="left"/>
      <w:pPr>
        <w:ind w:left="7200" w:hanging="360"/>
      </w:pPr>
      <w:rPr>
        <w:rFonts w:ascii="Wingdings" w:hAnsi="Wingdings" w:hint="default"/>
      </w:rPr>
    </w:lvl>
  </w:abstractNum>
  <w:abstractNum w:abstractNumId="5" w15:restartNumberingAfterBreak="0">
    <w:nsid w:val="2BE93821"/>
    <w:multiLevelType w:val="hybridMultilevel"/>
    <w:tmpl w:val="1FF2FE90"/>
    <w:lvl w:ilvl="0" w:tplc="0C000003">
      <w:start w:val="1"/>
      <w:numFmt w:val="bullet"/>
      <w:lvlText w:val="o"/>
      <w:lvlJc w:val="left"/>
      <w:pPr>
        <w:ind w:left="1440" w:hanging="360"/>
      </w:pPr>
      <w:rPr>
        <w:rFonts w:ascii="Courier New" w:hAnsi="Courier New" w:cs="Courier New" w:hint="default"/>
      </w:rPr>
    </w:lvl>
    <w:lvl w:ilvl="1" w:tplc="0C000003">
      <w:start w:val="1"/>
      <w:numFmt w:val="bullet"/>
      <w:lvlText w:val="o"/>
      <w:lvlJc w:val="left"/>
      <w:pPr>
        <w:ind w:left="2160" w:hanging="360"/>
      </w:pPr>
      <w:rPr>
        <w:rFonts w:ascii="Courier New" w:hAnsi="Courier New" w:cs="Courier New" w:hint="default"/>
      </w:rPr>
    </w:lvl>
    <w:lvl w:ilvl="2" w:tplc="0C000005">
      <w:start w:val="1"/>
      <w:numFmt w:val="bullet"/>
      <w:lvlText w:val=""/>
      <w:lvlJc w:val="left"/>
      <w:pPr>
        <w:ind w:left="2880" w:hanging="360"/>
      </w:pPr>
      <w:rPr>
        <w:rFonts w:ascii="Wingdings" w:hAnsi="Wingdings" w:hint="default"/>
      </w:rPr>
    </w:lvl>
    <w:lvl w:ilvl="3" w:tplc="0C000001">
      <w:start w:val="1"/>
      <w:numFmt w:val="bullet"/>
      <w:lvlText w:val=""/>
      <w:lvlJc w:val="left"/>
      <w:pPr>
        <w:ind w:left="3600" w:hanging="360"/>
      </w:pPr>
      <w:rPr>
        <w:rFonts w:ascii="Symbol" w:hAnsi="Symbol" w:hint="default"/>
      </w:rPr>
    </w:lvl>
    <w:lvl w:ilvl="4" w:tplc="0C000003">
      <w:start w:val="1"/>
      <w:numFmt w:val="bullet"/>
      <w:lvlText w:val="o"/>
      <w:lvlJc w:val="left"/>
      <w:pPr>
        <w:ind w:left="4320" w:hanging="360"/>
      </w:pPr>
      <w:rPr>
        <w:rFonts w:ascii="Courier New" w:hAnsi="Courier New" w:cs="Courier New" w:hint="default"/>
      </w:rPr>
    </w:lvl>
    <w:lvl w:ilvl="5" w:tplc="0C000005">
      <w:start w:val="1"/>
      <w:numFmt w:val="bullet"/>
      <w:lvlText w:val=""/>
      <w:lvlJc w:val="left"/>
      <w:pPr>
        <w:ind w:left="5040" w:hanging="360"/>
      </w:pPr>
      <w:rPr>
        <w:rFonts w:ascii="Wingdings" w:hAnsi="Wingdings" w:hint="default"/>
      </w:rPr>
    </w:lvl>
    <w:lvl w:ilvl="6" w:tplc="0C000001">
      <w:start w:val="1"/>
      <w:numFmt w:val="bullet"/>
      <w:lvlText w:val=""/>
      <w:lvlJc w:val="left"/>
      <w:pPr>
        <w:ind w:left="5760" w:hanging="360"/>
      </w:pPr>
      <w:rPr>
        <w:rFonts w:ascii="Symbol" w:hAnsi="Symbol" w:hint="default"/>
      </w:rPr>
    </w:lvl>
    <w:lvl w:ilvl="7" w:tplc="0C000003">
      <w:start w:val="1"/>
      <w:numFmt w:val="bullet"/>
      <w:lvlText w:val="o"/>
      <w:lvlJc w:val="left"/>
      <w:pPr>
        <w:ind w:left="6480" w:hanging="360"/>
      </w:pPr>
      <w:rPr>
        <w:rFonts w:ascii="Courier New" w:hAnsi="Courier New" w:cs="Courier New" w:hint="default"/>
      </w:rPr>
    </w:lvl>
    <w:lvl w:ilvl="8" w:tplc="0C000005">
      <w:start w:val="1"/>
      <w:numFmt w:val="bullet"/>
      <w:lvlText w:val=""/>
      <w:lvlJc w:val="left"/>
      <w:pPr>
        <w:ind w:left="7200" w:hanging="360"/>
      </w:pPr>
      <w:rPr>
        <w:rFonts w:ascii="Wingdings" w:hAnsi="Wingdings" w:hint="default"/>
      </w:rPr>
    </w:lvl>
  </w:abstractNum>
  <w:abstractNum w:abstractNumId="6" w15:restartNumberingAfterBreak="0">
    <w:nsid w:val="388C175E"/>
    <w:multiLevelType w:val="hybridMultilevel"/>
    <w:tmpl w:val="4D9E2D3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7" w15:restartNumberingAfterBreak="0">
    <w:nsid w:val="7D806194"/>
    <w:multiLevelType w:val="hybridMultilevel"/>
    <w:tmpl w:val="9732F76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num w:numId="1" w16cid:durableId="884415159">
    <w:abstractNumId w:val="7"/>
  </w:num>
  <w:num w:numId="2" w16cid:durableId="665547703">
    <w:abstractNumId w:val="5"/>
  </w:num>
  <w:num w:numId="3" w16cid:durableId="653492017">
    <w:abstractNumId w:val="2"/>
  </w:num>
  <w:num w:numId="4" w16cid:durableId="1235823834">
    <w:abstractNumId w:val="4"/>
  </w:num>
  <w:num w:numId="5" w16cid:durableId="1767068484">
    <w:abstractNumId w:val="6"/>
  </w:num>
  <w:num w:numId="6" w16cid:durableId="359669872">
    <w:abstractNumId w:val="3"/>
  </w:num>
  <w:num w:numId="7" w16cid:durableId="1748376740">
    <w:abstractNumId w:val="1"/>
  </w:num>
  <w:num w:numId="8" w16cid:durableId="20094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zY3NzExs7QwNbVQ0lEKTi0uzszPAykwrQUAZpATrCwAAAA="/>
  </w:docVars>
  <w:rsids>
    <w:rsidRoot w:val="32BC1C29"/>
    <w:rsid w:val="00027F5D"/>
    <w:rsid w:val="00030783"/>
    <w:rsid w:val="000366B4"/>
    <w:rsid w:val="00054F59"/>
    <w:rsid w:val="00056A94"/>
    <w:rsid w:val="0006244C"/>
    <w:rsid w:val="00063B6C"/>
    <w:rsid w:val="00066D06"/>
    <w:rsid w:val="00084546"/>
    <w:rsid w:val="000A0D36"/>
    <w:rsid w:val="000A492A"/>
    <w:rsid w:val="000B223B"/>
    <w:rsid w:val="000B2588"/>
    <w:rsid w:val="000C2383"/>
    <w:rsid w:val="000C55C2"/>
    <w:rsid w:val="000C6875"/>
    <w:rsid w:val="000E73B0"/>
    <w:rsid w:val="000F075B"/>
    <w:rsid w:val="00104443"/>
    <w:rsid w:val="001049E8"/>
    <w:rsid w:val="00131159"/>
    <w:rsid w:val="001368D2"/>
    <w:rsid w:val="001373C1"/>
    <w:rsid w:val="001418A4"/>
    <w:rsid w:val="00145FDE"/>
    <w:rsid w:val="00187853"/>
    <w:rsid w:val="00195FEE"/>
    <w:rsid w:val="00196712"/>
    <w:rsid w:val="001B4993"/>
    <w:rsid w:val="001B54EB"/>
    <w:rsid w:val="001E4587"/>
    <w:rsid w:val="00224C27"/>
    <w:rsid w:val="00225382"/>
    <w:rsid w:val="002801CA"/>
    <w:rsid w:val="00285408"/>
    <w:rsid w:val="002A2D22"/>
    <w:rsid w:val="002A4D67"/>
    <w:rsid w:val="002B01D0"/>
    <w:rsid w:val="002C09FA"/>
    <w:rsid w:val="002C71C6"/>
    <w:rsid w:val="002E2B4F"/>
    <w:rsid w:val="003051AA"/>
    <w:rsid w:val="00315B0A"/>
    <w:rsid w:val="00316427"/>
    <w:rsid w:val="00323730"/>
    <w:rsid w:val="00327119"/>
    <w:rsid w:val="00331470"/>
    <w:rsid w:val="00335793"/>
    <w:rsid w:val="00350575"/>
    <w:rsid w:val="003717EB"/>
    <w:rsid w:val="00372382"/>
    <w:rsid w:val="00377BA2"/>
    <w:rsid w:val="00380C8D"/>
    <w:rsid w:val="00386574"/>
    <w:rsid w:val="00390417"/>
    <w:rsid w:val="003C1D23"/>
    <w:rsid w:val="003D13F6"/>
    <w:rsid w:val="003F1BF0"/>
    <w:rsid w:val="00400077"/>
    <w:rsid w:val="00407D21"/>
    <w:rsid w:val="00416264"/>
    <w:rsid w:val="00426A2D"/>
    <w:rsid w:val="00443075"/>
    <w:rsid w:val="00445B82"/>
    <w:rsid w:val="00457A59"/>
    <w:rsid w:val="00464D34"/>
    <w:rsid w:val="00470D45"/>
    <w:rsid w:val="00482B5C"/>
    <w:rsid w:val="00484622"/>
    <w:rsid w:val="004A17E7"/>
    <w:rsid w:val="004D6DAF"/>
    <w:rsid w:val="004E5E6B"/>
    <w:rsid w:val="004F1A14"/>
    <w:rsid w:val="004F6AD7"/>
    <w:rsid w:val="004F7067"/>
    <w:rsid w:val="0050174D"/>
    <w:rsid w:val="00510EB9"/>
    <w:rsid w:val="00524A4A"/>
    <w:rsid w:val="00524E09"/>
    <w:rsid w:val="00533C6E"/>
    <w:rsid w:val="005461EB"/>
    <w:rsid w:val="005541DF"/>
    <w:rsid w:val="00561ED9"/>
    <w:rsid w:val="00570F03"/>
    <w:rsid w:val="005A5FAD"/>
    <w:rsid w:val="005C0866"/>
    <w:rsid w:val="005C1C54"/>
    <w:rsid w:val="005D5569"/>
    <w:rsid w:val="005E12C1"/>
    <w:rsid w:val="0060248B"/>
    <w:rsid w:val="00615C1F"/>
    <w:rsid w:val="006164FB"/>
    <w:rsid w:val="00632D13"/>
    <w:rsid w:val="00643288"/>
    <w:rsid w:val="006526BF"/>
    <w:rsid w:val="00661A28"/>
    <w:rsid w:val="0066396D"/>
    <w:rsid w:val="00686555"/>
    <w:rsid w:val="006953CB"/>
    <w:rsid w:val="006A1B40"/>
    <w:rsid w:val="006A372C"/>
    <w:rsid w:val="006C1C37"/>
    <w:rsid w:val="006C6572"/>
    <w:rsid w:val="006D0161"/>
    <w:rsid w:val="006D3DC3"/>
    <w:rsid w:val="006D47B9"/>
    <w:rsid w:val="006D47F1"/>
    <w:rsid w:val="006D71EF"/>
    <w:rsid w:val="006E4A00"/>
    <w:rsid w:val="006E6E3C"/>
    <w:rsid w:val="006F67E3"/>
    <w:rsid w:val="006F776F"/>
    <w:rsid w:val="0071789F"/>
    <w:rsid w:val="00751AF5"/>
    <w:rsid w:val="00760F01"/>
    <w:rsid w:val="0077004D"/>
    <w:rsid w:val="00775627"/>
    <w:rsid w:val="00782009"/>
    <w:rsid w:val="00782DE5"/>
    <w:rsid w:val="00787105"/>
    <w:rsid w:val="00787D82"/>
    <w:rsid w:val="007B6553"/>
    <w:rsid w:val="007C595A"/>
    <w:rsid w:val="007C6FC3"/>
    <w:rsid w:val="007C761D"/>
    <w:rsid w:val="007D001B"/>
    <w:rsid w:val="007D635A"/>
    <w:rsid w:val="007D7FA5"/>
    <w:rsid w:val="00807ECE"/>
    <w:rsid w:val="00835A25"/>
    <w:rsid w:val="008623FB"/>
    <w:rsid w:val="0088315A"/>
    <w:rsid w:val="00892346"/>
    <w:rsid w:val="00893109"/>
    <w:rsid w:val="008937FD"/>
    <w:rsid w:val="008B15CE"/>
    <w:rsid w:val="008C11A3"/>
    <w:rsid w:val="008C6991"/>
    <w:rsid w:val="008D010A"/>
    <w:rsid w:val="008E1556"/>
    <w:rsid w:val="008E4773"/>
    <w:rsid w:val="008E4A1A"/>
    <w:rsid w:val="00902A08"/>
    <w:rsid w:val="00914068"/>
    <w:rsid w:val="00917043"/>
    <w:rsid w:val="00930CD6"/>
    <w:rsid w:val="00934AC0"/>
    <w:rsid w:val="0094095B"/>
    <w:rsid w:val="009409E9"/>
    <w:rsid w:val="00962A16"/>
    <w:rsid w:val="00963D40"/>
    <w:rsid w:val="00967EBF"/>
    <w:rsid w:val="009831C0"/>
    <w:rsid w:val="00986A83"/>
    <w:rsid w:val="009A439D"/>
    <w:rsid w:val="009F4386"/>
    <w:rsid w:val="009F671A"/>
    <w:rsid w:val="00A06D6D"/>
    <w:rsid w:val="00A3193B"/>
    <w:rsid w:val="00A31B59"/>
    <w:rsid w:val="00A370A1"/>
    <w:rsid w:val="00A43ACF"/>
    <w:rsid w:val="00A46F2B"/>
    <w:rsid w:val="00A62F24"/>
    <w:rsid w:val="00A6385A"/>
    <w:rsid w:val="00A66B25"/>
    <w:rsid w:val="00A761CC"/>
    <w:rsid w:val="00A805DB"/>
    <w:rsid w:val="00A83DCD"/>
    <w:rsid w:val="00AA32E9"/>
    <w:rsid w:val="00AB15D6"/>
    <w:rsid w:val="00AC5E97"/>
    <w:rsid w:val="00AC6364"/>
    <w:rsid w:val="00AE22D0"/>
    <w:rsid w:val="00AE692D"/>
    <w:rsid w:val="00AF1BB0"/>
    <w:rsid w:val="00B03A79"/>
    <w:rsid w:val="00B05DCB"/>
    <w:rsid w:val="00B1127B"/>
    <w:rsid w:val="00B20A69"/>
    <w:rsid w:val="00B22ECC"/>
    <w:rsid w:val="00B252B7"/>
    <w:rsid w:val="00B41599"/>
    <w:rsid w:val="00B526F8"/>
    <w:rsid w:val="00B53A34"/>
    <w:rsid w:val="00B62262"/>
    <w:rsid w:val="00B97378"/>
    <w:rsid w:val="00BA04F8"/>
    <w:rsid w:val="00BA4DE8"/>
    <w:rsid w:val="00BA687E"/>
    <w:rsid w:val="00BA7D2E"/>
    <w:rsid w:val="00BB1CF6"/>
    <w:rsid w:val="00BC790F"/>
    <w:rsid w:val="00BD53E8"/>
    <w:rsid w:val="00BE3F9D"/>
    <w:rsid w:val="00C12040"/>
    <w:rsid w:val="00C1453F"/>
    <w:rsid w:val="00C3217C"/>
    <w:rsid w:val="00C3331D"/>
    <w:rsid w:val="00C33FF6"/>
    <w:rsid w:val="00C65CCF"/>
    <w:rsid w:val="00CA2ECD"/>
    <w:rsid w:val="00CC3877"/>
    <w:rsid w:val="00CD4BD6"/>
    <w:rsid w:val="00CD7D01"/>
    <w:rsid w:val="00CE11DF"/>
    <w:rsid w:val="00CE2927"/>
    <w:rsid w:val="00D001D8"/>
    <w:rsid w:val="00D01FE4"/>
    <w:rsid w:val="00D12F15"/>
    <w:rsid w:val="00D1469C"/>
    <w:rsid w:val="00D267DD"/>
    <w:rsid w:val="00D27643"/>
    <w:rsid w:val="00D306E8"/>
    <w:rsid w:val="00D45FB6"/>
    <w:rsid w:val="00D62683"/>
    <w:rsid w:val="00D8693D"/>
    <w:rsid w:val="00D86C6A"/>
    <w:rsid w:val="00DB60D9"/>
    <w:rsid w:val="00DC68D0"/>
    <w:rsid w:val="00DD2179"/>
    <w:rsid w:val="00DE3D02"/>
    <w:rsid w:val="00E105A6"/>
    <w:rsid w:val="00E14C22"/>
    <w:rsid w:val="00E1721D"/>
    <w:rsid w:val="00E371B6"/>
    <w:rsid w:val="00E41511"/>
    <w:rsid w:val="00E41DBC"/>
    <w:rsid w:val="00E474DD"/>
    <w:rsid w:val="00E579B0"/>
    <w:rsid w:val="00E61BD3"/>
    <w:rsid w:val="00E658C9"/>
    <w:rsid w:val="00E67CC8"/>
    <w:rsid w:val="00E7021F"/>
    <w:rsid w:val="00E82E37"/>
    <w:rsid w:val="00E914A2"/>
    <w:rsid w:val="00ED128F"/>
    <w:rsid w:val="00ED36CE"/>
    <w:rsid w:val="00EE19B3"/>
    <w:rsid w:val="00EE7A99"/>
    <w:rsid w:val="00F10166"/>
    <w:rsid w:val="00F41E23"/>
    <w:rsid w:val="00F51CAE"/>
    <w:rsid w:val="00F54750"/>
    <w:rsid w:val="00F82E23"/>
    <w:rsid w:val="00F90F43"/>
    <w:rsid w:val="00F97142"/>
    <w:rsid w:val="00F971C9"/>
    <w:rsid w:val="00F9796E"/>
    <w:rsid w:val="00FA0A38"/>
    <w:rsid w:val="00FA104E"/>
    <w:rsid w:val="00FA3CC2"/>
    <w:rsid w:val="00FB3251"/>
    <w:rsid w:val="00FB5EB2"/>
    <w:rsid w:val="00FB6133"/>
    <w:rsid w:val="00FB7260"/>
    <w:rsid w:val="00FC5975"/>
    <w:rsid w:val="00FD6286"/>
    <w:rsid w:val="00FD6758"/>
    <w:rsid w:val="00FE7D0B"/>
    <w:rsid w:val="00FF2289"/>
    <w:rsid w:val="00FF336E"/>
    <w:rsid w:val="00FF6F63"/>
    <w:rsid w:val="02E8EA6C"/>
    <w:rsid w:val="0361C6F8"/>
    <w:rsid w:val="05194E71"/>
    <w:rsid w:val="0530D9AD"/>
    <w:rsid w:val="06809EE5"/>
    <w:rsid w:val="07B32837"/>
    <w:rsid w:val="07CF6DEE"/>
    <w:rsid w:val="09F5E6A2"/>
    <w:rsid w:val="0AB5E46F"/>
    <w:rsid w:val="0C313C04"/>
    <w:rsid w:val="0EB6F8ED"/>
    <w:rsid w:val="0FED014D"/>
    <w:rsid w:val="10C9B3B4"/>
    <w:rsid w:val="135BFE4D"/>
    <w:rsid w:val="15487EEE"/>
    <w:rsid w:val="191450E5"/>
    <w:rsid w:val="1A54F1D7"/>
    <w:rsid w:val="1C288664"/>
    <w:rsid w:val="1C41F501"/>
    <w:rsid w:val="1DE72149"/>
    <w:rsid w:val="1E35E5B9"/>
    <w:rsid w:val="2015FB80"/>
    <w:rsid w:val="226CDBBF"/>
    <w:rsid w:val="23CEAA14"/>
    <w:rsid w:val="28BEF4A4"/>
    <w:rsid w:val="29CBAC0A"/>
    <w:rsid w:val="2C515611"/>
    <w:rsid w:val="2CB519DB"/>
    <w:rsid w:val="2FD0C985"/>
    <w:rsid w:val="32BC1C29"/>
    <w:rsid w:val="346F276A"/>
    <w:rsid w:val="366D4B33"/>
    <w:rsid w:val="3766AF85"/>
    <w:rsid w:val="37FC1773"/>
    <w:rsid w:val="3C4831E2"/>
    <w:rsid w:val="3FD6ABE1"/>
    <w:rsid w:val="41360D12"/>
    <w:rsid w:val="465CB49F"/>
    <w:rsid w:val="478A6196"/>
    <w:rsid w:val="47D2DB14"/>
    <w:rsid w:val="48B567F0"/>
    <w:rsid w:val="48C48250"/>
    <w:rsid w:val="4906AC2D"/>
    <w:rsid w:val="49555CF8"/>
    <w:rsid w:val="49808D1C"/>
    <w:rsid w:val="4A7AEF52"/>
    <w:rsid w:val="4B25959E"/>
    <w:rsid w:val="4BA1D438"/>
    <w:rsid w:val="4C4EDC21"/>
    <w:rsid w:val="4CAB8B2C"/>
    <w:rsid w:val="4E375C1B"/>
    <w:rsid w:val="51C7619B"/>
    <w:rsid w:val="560863B0"/>
    <w:rsid w:val="56E0DEA6"/>
    <w:rsid w:val="5750B04B"/>
    <w:rsid w:val="57722132"/>
    <w:rsid w:val="58BFC67D"/>
    <w:rsid w:val="59025EF6"/>
    <w:rsid w:val="5A633253"/>
    <w:rsid w:val="5C2ED3D0"/>
    <w:rsid w:val="5E033952"/>
    <w:rsid w:val="61DB1710"/>
    <w:rsid w:val="6315D78B"/>
    <w:rsid w:val="632F28AA"/>
    <w:rsid w:val="661639ED"/>
    <w:rsid w:val="66395975"/>
    <w:rsid w:val="6828379C"/>
    <w:rsid w:val="6903D553"/>
    <w:rsid w:val="6A96E611"/>
    <w:rsid w:val="6AF2734B"/>
    <w:rsid w:val="6CAF6AA2"/>
    <w:rsid w:val="6CC17D5C"/>
    <w:rsid w:val="6E4EC11F"/>
    <w:rsid w:val="6EEE0A66"/>
    <w:rsid w:val="6F36CC8C"/>
    <w:rsid w:val="70710738"/>
    <w:rsid w:val="7075CCE9"/>
    <w:rsid w:val="7289FCBE"/>
    <w:rsid w:val="77B36E3B"/>
    <w:rsid w:val="77C83F7F"/>
    <w:rsid w:val="79CD736E"/>
    <w:rsid w:val="7A2B39F8"/>
    <w:rsid w:val="7E405546"/>
    <w:rsid w:val="7F8D05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1C29"/>
  <w15:chartTrackingRefBased/>
  <w15:docId w15:val="{3C5330D4-BD5B-4BD5-9DF8-0721C0D1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15C1F"/>
    <w:pPr>
      <w:spacing w:after="0" w:line="240" w:lineRule="auto"/>
      <w:ind w:left="720"/>
    </w:pPr>
    <w:rPr>
      <w:rFonts w:ascii="Calibri" w:hAnsi="Calibri" w:cs="Calibri"/>
    </w:rPr>
  </w:style>
  <w:style w:type="paragraph" w:styleId="Header">
    <w:name w:val="header"/>
    <w:basedOn w:val="Normal"/>
    <w:link w:val="HeaderChar"/>
    <w:uiPriority w:val="99"/>
    <w:unhideWhenUsed/>
    <w:rsid w:val="00323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30"/>
  </w:style>
  <w:style w:type="paragraph" w:styleId="Footer">
    <w:name w:val="footer"/>
    <w:basedOn w:val="Normal"/>
    <w:link w:val="FooterChar"/>
    <w:uiPriority w:val="99"/>
    <w:unhideWhenUsed/>
    <w:rsid w:val="00323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30"/>
  </w:style>
  <w:style w:type="character" w:customStyle="1" w:styleId="normaltextrun">
    <w:name w:val="normaltextrun"/>
    <w:basedOn w:val="DefaultParagraphFont"/>
    <w:rsid w:val="00E658C9"/>
  </w:style>
  <w:style w:type="character" w:customStyle="1" w:styleId="eop">
    <w:name w:val="eop"/>
    <w:basedOn w:val="DefaultParagraphFont"/>
    <w:rsid w:val="00E658C9"/>
  </w:style>
  <w:style w:type="paragraph" w:customStyle="1" w:styleId="paragraph">
    <w:name w:val="paragraph"/>
    <w:basedOn w:val="Normal"/>
    <w:rsid w:val="0089234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D47F1"/>
    <w:pPr>
      <w:spacing w:after="0" w:line="240" w:lineRule="auto"/>
    </w:pPr>
  </w:style>
  <w:style w:type="character" w:styleId="CommentReference">
    <w:name w:val="annotation reference"/>
    <w:basedOn w:val="DefaultParagraphFont"/>
    <w:uiPriority w:val="99"/>
    <w:semiHidden/>
    <w:unhideWhenUsed/>
    <w:rsid w:val="00F97142"/>
    <w:rPr>
      <w:sz w:val="16"/>
      <w:szCs w:val="16"/>
    </w:rPr>
  </w:style>
  <w:style w:type="paragraph" w:styleId="CommentText">
    <w:name w:val="annotation text"/>
    <w:basedOn w:val="Normal"/>
    <w:link w:val="CommentTextChar"/>
    <w:uiPriority w:val="99"/>
    <w:unhideWhenUsed/>
    <w:rsid w:val="00F97142"/>
    <w:pPr>
      <w:spacing w:line="240" w:lineRule="auto"/>
    </w:pPr>
    <w:rPr>
      <w:sz w:val="20"/>
      <w:szCs w:val="20"/>
    </w:rPr>
  </w:style>
  <w:style w:type="character" w:customStyle="1" w:styleId="CommentTextChar">
    <w:name w:val="Comment Text Char"/>
    <w:basedOn w:val="DefaultParagraphFont"/>
    <w:link w:val="CommentText"/>
    <w:uiPriority w:val="99"/>
    <w:rsid w:val="00F97142"/>
    <w:rPr>
      <w:sz w:val="20"/>
      <w:szCs w:val="20"/>
    </w:rPr>
  </w:style>
  <w:style w:type="paragraph" w:styleId="CommentSubject">
    <w:name w:val="annotation subject"/>
    <w:basedOn w:val="CommentText"/>
    <w:next w:val="CommentText"/>
    <w:link w:val="CommentSubjectChar"/>
    <w:uiPriority w:val="99"/>
    <w:semiHidden/>
    <w:unhideWhenUsed/>
    <w:rsid w:val="00F97142"/>
    <w:rPr>
      <w:b/>
      <w:bCs/>
    </w:rPr>
  </w:style>
  <w:style w:type="character" w:customStyle="1" w:styleId="CommentSubjectChar">
    <w:name w:val="Comment Subject Char"/>
    <w:basedOn w:val="CommentTextChar"/>
    <w:link w:val="CommentSubject"/>
    <w:uiPriority w:val="99"/>
    <w:semiHidden/>
    <w:rsid w:val="00F97142"/>
    <w:rPr>
      <w:b/>
      <w:bCs/>
      <w:sz w:val="20"/>
      <w:szCs w:val="20"/>
    </w:rPr>
  </w:style>
  <w:style w:type="character" w:styleId="Mention">
    <w:name w:val="Mention"/>
    <w:basedOn w:val="DefaultParagraphFont"/>
    <w:uiPriority w:val="99"/>
    <w:unhideWhenUsed/>
    <w:rsid w:val="00F971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86541">
      <w:bodyDiv w:val="1"/>
      <w:marLeft w:val="0"/>
      <w:marRight w:val="0"/>
      <w:marTop w:val="0"/>
      <w:marBottom w:val="0"/>
      <w:divBdr>
        <w:top w:val="none" w:sz="0" w:space="0" w:color="auto"/>
        <w:left w:val="none" w:sz="0" w:space="0" w:color="auto"/>
        <w:bottom w:val="none" w:sz="0" w:space="0" w:color="auto"/>
        <w:right w:val="none" w:sz="0" w:space="0" w:color="auto"/>
      </w:divBdr>
    </w:div>
    <w:div w:id="859852637">
      <w:bodyDiv w:val="1"/>
      <w:marLeft w:val="0"/>
      <w:marRight w:val="0"/>
      <w:marTop w:val="0"/>
      <w:marBottom w:val="0"/>
      <w:divBdr>
        <w:top w:val="none" w:sz="0" w:space="0" w:color="auto"/>
        <w:left w:val="none" w:sz="0" w:space="0" w:color="auto"/>
        <w:bottom w:val="none" w:sz="0" w:space="0" w:color="auto"/>
        <w:right w:val="none" w:sz="0" w:space="0" w:color="auto"/>
      </w:divBdr>
    </w:div>
    <w:div w:id="1055663169">
      <w:bodyDiv w:val="1"/>
      <w:marLeft w:val="0"/>
      <w:marRight w:val="0"/>
      <w:marTop w:val="0"/>
      <w:marBottom w:val="0"/>
      <w:divBdr>
        <w:top w:val="none" w:sz="0" w:space="0" w:color="auto"/>
        <w:left w:val="none" w:sz="0" w:space="0" w:color="auto"/>
        <w:bottom w:val="none" w:sz="0" w:space="0" w:color="auto"/>
        <w:right w:val="none" w:sz="0" w:space="0" w:color="auto"/>
      </w:divBdr>
      <w:divsChild>
        <w:div w:id="232354922">
          <w:marLeft w:val="0"/>
          <w:marRight w:val="0"/>
          <w:marTop w:val="0"/>
          <w:marBottom w:val="0"/>
          <w:divBdr>
            <w:top w:val="none" w:sz="0" w:space="0" w:color="auto"/>
            <w:left w:val="none" w:sz="0" w:space="0" w:color="auto"/>
            <w:bottom w:val="none" w:sz="0" w:space="0" w:color="auto"/>
            <w:right w:val="none" w:sz="0" w:space="0" w:color="auto"/>
          </w:divBdr>
        </w:div>
        <w:div w:id="1534229987">
          <w:marLeft w:val="0"/>
          <w:marRight w:val="0"/>
          <w:marTop w:val="0"/>
          <w:marBottom w:val="0"/>
          <w:divBdr>
            <w:top w:val="none" w:sz="0" w:space="0" w:color="auto"/>
            <w:left w:val="none" w:sz="0" w:space="0" w:color="auto"/>
            <w:bottom w:val="none" w:sz="0" w:space="0" w:color="auto"/>
            <w:right w:val="none" w:sz="0" w:space="0" w:color="auto"/>
          </w:divBdr>
        </w:div>
      </w:divsChild>
    </w:div>
    <w:div w:id="11740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EFIC_Doc" ma:contentTypeID="0x010100CC1452B3D32F8440B544A8D906354C2B0057F20C878AB107429D7B0F5806075B7D" ma:contentTypeVersion="53" ma:contentTypeDescription="" ma:contentTypeScope="" ma:versionID="c1fb9df51475c4933477487229bb2121">
  <xsd:schema xmlns:xsd="http://www.w3.org/2001/XMLSchema" xmlns:xs="http://www.w3.org/2001/XMLSchema" xmlns:p="http://schemas.microsoft.com/office/2006/metadata/properties" xmlns:ns2="063f955d-52cd-40b2-80f5-70171ea2be06" targetNamespace="http://schemas.microsoft.com/office/2006/metadata/properties" ma:root="true" ma:fieldsID="5ac6c9692a9393536ef7648d6b50e619" ns2:_="">
    <xsd:import namespace="063f955d-52cd-40b2-80f5-70171ea2be06"/>
    <xsd:element name="properties">
      <xsd:complexType>
        <xsd:sequence>
          <xsd:element name="documentManagement">
            <xsd:complexType>
              <xsd:all>
                <xsd:element ref="ns2:mf725ba62fce447fb9bbcc06eaaae514" minOccurs="0"/>
                <xsd:element ref="ns2:TaxCatchAll" minOccurs="0"/>
                <xsd:element ref="ns2:TaxCatchAllLabel" minOccurs="0"/>
                <xsd:element ref="ns2:c48dca2c4d3f41848d6c6bfa73049c67" minOccurs="0"/>
                <xsd:element ref="ns2:Document_comments" minOccurs="0"/>
                <xsd:element ref="ns2:Expiration_date" minOccurs="0"/>
                <xsd:element ref="ns2:AI__x0025__Duplicate_candidate" minOccurs="0"/>
                <xsd:element ref="ns2:AI__x0025__Relevance_A" minOccurs="0"/>
                <xsd:element ref="ns2:AI__x0025__Relevance_B" minOccurs="0"/>
                <xsd:element ref="ns2:AI_Batch_reference" minOccurs="0"/>
                <xsd:element ref="ns2:AI_Classification_A" minOccurs="0"/>
                <xsd:element ref="ns2:AI_Classification_B" minOccurs="0"/>
                <xsd:element ref="ns2:AI_Classification_has_been_requested" minOccurs="0"/>
                <xsd:element ref="ns2:AI_Cluster" minOccurs="0"/>
                <xsd:element ref="ns2:AI_Duplicate_status" minOccurs="0"/>
                <xsd:element ref="ns2:AI_Initial_directory" minOccurs="0"/>
                <xsd:element ref="ns2:AI_Labelling_error" minOccurs="0"/>
                <xsd:element ref="ns2:f56f3b9b03444df3b2ef6aaf7c0cbaa6" minOccurs="0"/>
                <xsd:element ref="ns2:AI_Requested__x0020_manual_classification" minOccurs="0"/>
                <xsd:element ref="ns2:AI_SHP_Reference" minOccurs="0"/>
                <xsd:element ref="ns2:AI_Waiting_for_auto_classification" minOccurs="0"/>
                <xsd:element ref="ns2:i3815fca76db49ac95ea420f7cf911c6" minOccurs="0"/>
                <xsd:element ref="ns2:e88422c06c974aee9bbadae853be99f3" minOccurs="0"/>
                <xsd:element ref="ns2:Context" minOccurs="0"/>
                <xsd:element ref="ns2:Doc_Language" minOccurs="0"/>
                <xsd:element ref="ns2:AI_AIDB_status_TXT" minOccurs="0"/>
                <xsd:element ref="ns2:jdb7fc4e974a45188d91caad41c9ef17" minOccurs="0"/>
                <xsd:element ref="ns2:AI_AIDB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f955d-52cd-40b2-80f5-70171ea2be06" elementFormDefault="qualified">
    <xsd:import namespace="http://schemas.microsoft.com/office/2006/documentManagement/types"/>
    <xsd:import namespace="http://schemas.microsoft.com/office/infopath/2007/PartnerControls"/>
    <xsd:element name="mf725ba62fce447fb9bbcc06eaaae514" ma:index="8" ma:taxonomy="true" ma:internalName="mf725ba62fce447fb9bbcc06eaaae514" ma:taxonomyFieldName="Document_status" ma:displayName="Doc status" ma:default="7;#Being worked on|61239119-fb6b-4477-99a9-0d9e8dd1a49e" ma:fieldId="{6f725ba6-2fce-447f-b9bb-cc06eaaae514}" ma:sspId="51ab7c41-b059-4fba-bc0c-4efa77139169" ma:termSetId="20c9d287-53e8-4803-b29d-4667889bb30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1e4a6c7-ffa3-4f74-9dc2-2d528674baa1}" ma:internalName="TaxCatchAll" ma:showField="CatchAllData" ma:web="4c0c3a75-ac74-4d90-8478-8c4d54dc6da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e4a6c7-ffa3-4f74-9dc2-2d528674baa1}" ma:internalName="TaxCatchAllLabel" ma:readOnly="true" ma:showField="CatchAllDataLabel" ma:web="4c0c3a75-ac74-4d90-8478-8c4d54dc6daa">
      <xsd:complexType>
        <xsd:complexContent>
          <xsd:extension base="dms:MultiChoiceLookup">
            <xsd:sequence>
              <xsd:element name="Value" type="dms:Lookup" maxOccurs="unbounded" minOccurs="0" nillable="true"/>
            </xsd:sequence>
          </xsd:extension>
        </xsd:complexContent>
      </xsd:complexType>
    </xsd:element>
    <xsd:element name="c48dca2c4d3f41848d6c6bfa73049c67" ma:index="12" ma:taxonomy="true" ma:internalName="c48dca2c4d3f41848d6c6bfa73049c67" ma:taxonomyFieldName="Document_Type" ma:displayName="Doc type" ma:readOnly="false" ma:default="9;#NA|985ce182-55de-4937-95b7-506adedf733b" ma:fieldId="{c48dca2c-4d3f-4184-8d6c-6bfa73049c67}" ma:sspId="51ab7c41-b059-4fba-bc0c-4efa77139169" ma:termSetId="1e542667-cb91-40c1-95af-574bb1f275f6" ma:anchorId="00000000-0000-0000-0000-000000000000" ma:open="false" ma:isKeyword="false">
      <xsd:complexType>
        <xsd:sequence>
          <xsd:element ref="pc:Terms" minOccurs="0" maxOccurs="1"/>
        </xsd:sequence>
      </xsd:complexType>
    </xsd:element>
    <xsd:element name="Document_comments" ma:index="14" nillable="true" ma:displayName="Doc comments" ma:internalName="Document_comments">
      <xsd:simpleType>
        <xsd:restriction base="dms:Note">
          <xsd:maxLength value="255"/>
        </xsd:restriction>
      </xsd:simpleType>
    </xsd:element>
    <xsd:element name="Expiration_date" ma:index="15" nillable="true" ma:displayName="Expiration date" ma:format="DateOnly" ma:internalName="Expiration_date">
      <xsd:simpleType>
        <xsd:restriction base="dms:DateTime"/>
      </xsd:simpleType>
    </xsd:element>
    <xsd:element name="AI__x0025__Duplicate_candidate" ma:index="16" nillable="true" ma:displayName="AI_%_Duplicate_candidate" ma:internalName="AI__x0025__Duplicate_candidate">
      <xsd:simpleType>
        <xsd:restriction base="dms:Text">
          <xsd:maxLength value="255"/>
        </xsd:restriction>
      </xsd:simpleType>
    </xsd:element>
    <xsd:element name="AI__x0025__Relevance_A" ma:index="17" nillable="true" ma:displayName="AI_%_Relevance_A" ma:internalName="AI__x0025__Relevance_A" ma:percentage="TRUE">
      <xsd:simpleType>
        <xsd:restriction base="dms:Number">
          <xsd:maxInclusive value="1.00"/>
        </xsd:restriction>
      </xsd:simpleType>
    </xsd:element>
    <xsd:element name="AI__x0025__Relevance_B" ma:index="18" nillable="true" ma:displayName="AI_%_Relevance_B" ma:internalName="AI__x0025__Relevance_B" ma:percentage="TRUE">
      <xsd:simpleType>
        <xsd:restriction base="dms:Number">
          <xsd:maxInclusive value="1.00"/>
        </xsd:restriction>
      </xsd:simpleType>
    </xsd:element>
    <xsd:element name="AI_Batch_reference" ma:index="19" nillable="true" ma:displayName="AI_Batch_reference" ma:internalName="AI_Batch_reference">
      <xsd:simpleType>
        <xsd:restriction base="dms:Text">
          <xsd:maxLength value="255"/>
        </xsd:restriction>
      </xsd:simpleType>
    </xsd:element>
    <xsd:element name="AI_Classification_A" ma:index="20" nillable="true" ma:displayName="AI_Classification_A" ma:internalName="AI_Classification_A">
      <xsd:simpleType>
        <xsd:restriction base="dms:Text">
          <xsd:maxLength value="255"/>
        </xsd:restriction>
      </xsd:simpleType>
    </xsd:element>
    <xsd:element name="AI_Classification_B" ma:index="21" nillable="true" ma:displayName="AI_Classification_B" ma:internalName="AI_Classification_B">
      <xsd:simpleType>
        <xsd:restriction base="dms:Text">
          <xsd:maxLength value="255"/>
        </xsd:restriction>
      </xsd:simpleType>
    </xsd:element>
    <xsd:element name="AI_Classification_has_been_requested" ma:index="22" nillable="true" ma:displayName="AI_Classification_has_been_requested" ma:default="0" ma:internalName="AI_Classification_has_been_requested">
      <xsd:simpleType>
        <xsd:restriction base="dms:Boolean"/>
      </xsd:simpleType>
    </xsd:element>
    <xsd:element name="AI_Cluster" ma:index="23" nillable="true" ma:displayName="AI_Cluster" ma:internalName="AI_Cluster">
      <xsd:simpleType>
        <xsd:restriction base="dms:Text">
          <xsd:maxLength value="255"/>
        </xsd:restriction>
      </xsd:simpleType>
    </xsd:element>
    <xsd:element name="AI_Duplicate_status" ma:index="24" nillable="true" ma:displayName="AI_Duplicate_status" ma:internalName="AI_Duplicate_status">
      <xsd:simpleType>
        <xsd:restriction base="dms:Text">
          <xsd:maxLength value="255"/>
        </xsd:restriction>
      </xsd:simpleType>
    </xsd:element>
    <xsd:element name="AI_Initial_directory" ma:index="25" nillable="true" ma:displayName="AI_Initial_directory" ma:internalName="AI_Initial_directory">
      <xsd:simpleType>
        <xsd:restriction base="dms:Text">
          <xsd:maxLength value="255"/>
        </xsd:restriction>
      </xsd:simpleType>
    </xsd:element>
    <xsd:element name="AI_Labelling_error" ma:index="26" nillable="true" ma:displayName="AI_Labelling_error" ma:default="0" ma:internalName="AI_Labelling_error">
      <xsd:simpleType>
        <xsd:restriction base="dms:Boolean"/>
      </xsd:simpleType>
    </xsd:element>
    <xsd:element name="f56f3b9b03444df3b2ef6aaf7c0cbaa6" ma:index="27" nillable="true" ma:taxonomy="true" ma:internalName="f56f3b9b03444df3b2ef6aaf7c0cbaa6" ma:taxonomyFieldName="AI_Normalisation_status" ma:displayName="AI_Normalisation_status" ma:default="" ma:fieldId="{f56f3b9b-0344-4df3-b2ef-6aaf7c0cbaa6}" ma:sspId="51ab7c41-b059-4fba-bc0c-4efa77139169" ma:termSetId="a566f7a0-90fb-4cfd-a025-f7a3da074993" ma:anchorId="00000000-0000-0000-0000-000000000000" ma:open="false" ma:isKeyword="false">
      <xsd:complexType>
        <xsd:sequence>
          <xsd:element ref="pc:Terms" minOccurs="0" maxOccurs="1"/>
        </xsd:sequence>
      </xsd:complexType>
    </xsd:element>
    <xsd:element name="AI_Requested__x0020_manual_classification" ma:index="29" nillable="true" ma:displayName="AI_Requested_ manual_classification" ma:default="0" ma:internalName="AI_Requested__x0020_manual_classification">
      <xsd:simpleType>
        <xsd:restriction base="dms:Boolean"/>
      </xsd:simpleType>
    </xsd:element>
    <xsd:element name="AI_SHP_Reference" ma:index="30" nillable="true" ma:displayName="AI_SHP_Reference" ma:hidden="true" ma:internalName="AI_SHP_Reference" ma:readOnly="false">
      <xsd:simpleType>
        <xsd:restriction base="dms:Text">
          <xsd:maxLength value="255"/>
        </xsd:restriction>
      </xsd:simpleType>
    </xsd:element>
    <xsd:element name="AI_Waiting_for_auto_classification" ma:index="31" nillable="true" ma:displayName="AI_Waiting_for_auto_classification" ma:default="0" ma:internalName="AI_Waiting_for_auto_classification">
      <xsd:simpleType>
        <xsd:restriction base="dms:Boolean"/>
      </xsd:simpleType>
    </xsd:element>
    <xsd:element name="i3815fca76db49ac95ea420f7cf911c6" ma:index="32" ma:taxonomy="true" ma:internalName="i3815fca76db49ac95ea420f7cf911c6" ma:taxonomyFieldName="Confidentiality" ma:displayName="Confidentiality" ma:default="8;#3 - Internal use only|444dad51-745a-4285-abc9-4365fac0ec25" ma:fieldId="{23815fca-76db-49ac-95ea-420f7cf911c6}" ma:sspId="51ab7c41-b059-4fba-bc0c-4efa77139169" ma:termSetId="4ce234e3-b8ca-4796-8882-4f21ffe1b85d" ma:anchorId="00000000-0000-0000-0000-000000000000" ma:open="false" ma:isKeyword="false">
      <xsd:complexType>
        <xsd:sequence>
          <xsd:element ref="pc:Terms" minOccurs="0" maxOccurs="1"/>
        </xsd:sequence>
      </xsd:complexType>
    </xsd:element>
    <xsd:element name="e88422c06c974aee9bbadae853be99f3" ma:index="34" ma:taxonomy="true" ma:internalName="e88422c06c974aee9bbadae853be99f3" ma:taxonomyFieldName="GDPR" ma:displayName="GDPR" ma:readOnly="false" ma:default="10;#NA|3fbde490-865b-454f-b890-2db0972ec210" ma:fieldId="{e88422c0-6c97-4aee-9bba-dae853be99f3}" ma:sspId="51ab7c41-b059-4fba-bc0c-4efa77139169" ma:termSetId="a70036e0-1808-4628-8c65-155ea273b160" ma:anchorId="00000000-0000-0000-0000-000000000000" ma:open="false" ma:isKeyword="false">
      <xsd:complexType>
        <xsd:sequence>
          <xsd:element ref="pc:Terms" minOccurs="0" maxOccurs="1"/>
        </xsd:sequence>
      </xsd:complexType>
    </xsd:element>
    <xsd:element name="Context" ma:index="36" nillable="true" ma:displayName="Context" ma:internalName="Context">
      <xsd:simpleType>
        <xsd:restriction base="dms:Note">
          <xsd:maxLength value="255"/>
        </xsd:restriction>
      </xsd:simpleType>
    </xsd:element>
    <xsd:element name="Doc_Language" ma:index="37" nillable="true" ma:displayName="Doc language" ma:internalName="Doc_Language">
      <xsd:simpleType>
        <xsd:restriction base="dms:Text">
          <xsd:maxLength value="255"/>
        </xsd:restriction>
      </xsd:simpleType>
    </xsd:element>
    <xsd:element name="AI_AIDB_status_TXT" ma:index="38" nillable="true" ma:displayName="AI_AIDB_status_TXT" ma:internalName="AI_AIDB_status_TXT">
      <xsd:simpleType>
        <xsd:restriction base="dms:Text">
          <xsd:maxLength value="255"/>
        </xsd:restriction>
      </xsd:simpleType>
    </xsd:element>
    <xsd:element name="jdb7fc4e974a45188d91caad41c9ef17" ma:index="39" nillable="true" ma:taxonomy="true" ma:internalName="jdb7fc4e974a45188d91caad41c9ef17" ma:taxonomyFieldName="AI_AIDB_status_MM" ma:displayName="AI_AIDB_status_MM" ma:default="" ma:fieldId="{3db7fc4e-974a-4518-8d91-caad41c9ef17}" ma:sspId="51ab7c41-b059-4fba-bc0c-4efa77139169" ma:termSetId="c9536394-d76c-413e-9bc5-a7e833b62c44" ma:anchorId="00000000-0000-0000-0000-000000000000" ma:open="false" ma:isKeyword="false">
      <xsd:complexType>
        <xsd:sequence>
          <xsd:element ref="pc:Terms" minOccurs="0" maxOccurs="1"/>
        </xsd:sequence>
      </xsd:complexType>
    </xsd:element>
    <xsd:element name="AI_AIDB_ID" ma:index="41" nillable="true" ma:displayName="AI_AIDB_ID" ma:internalName="AI_AIDB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comments xmlns="063f955d-52cd-40b2-80f5-70171ea2be06" xsi:nil="true"/>
    <AI_Cluster xmlns="063f955d-52cd-40b2-80f5-70171ea2be06" xsi:nil="true"/>
    <AI_Initial_directory xmlns="063f955d-52cd-40b2-80f5-70171ea2be06" xsi:nil="true"/>
    <AI__x0025__Relevance_B xmlns="063f955d-52cd-40b2-80f5-70171ea2be06" xsi:nil="true"/>
    <mf725ba62fce447fb9bbcc06eaaae514 xmlns="063f955d-52cd-40b2-80f5-70171ea2be06">
      <Terms xmlns="http://schemas.microsoft.com/office/infopath/2007/PartnerControls">
        <TermInfo xmlns="http://schemas.microsoft.com/office/infopath/2007/PartnerControls">
          <TermName xmlns="http://schemas.microsoft.com/office/infopath/2007/PartnerControls">Being worked on</TermName>
          <TermId xmlns="http://schemas.microsoft.com/office/infopath/2007/PartnerControls">61239119-fb6b-4477-99a9-0d9e8dd1a49e</TermId>
        </TermInfo>
      </Terms>
    </mf725ba62fce447fb9bbcc06eaaae514>
    <TaxCatchAll xmlns="063f955d-52cd-40b2-80f5-70171ea2be06">
      <Value>10</Value>
      <Value>9</Value>
      <Value>8</Value>
      <Value>7</Value>
    </TaxCatchAll>
    <Expiration_date xmlns="063f955d-52cd-40b2-80f5-70171ea2be06" xsi:nil="true"/>
    <AI_SHP_Reference xmlns="063f955d-52cd-40b2-80f5-70171ea2be06" xsi:nil="true"/>
    <AI_Duplicate_status xmlns="063f955d-52cd-40b2-80f5-70171ea2be06" xsi:nil="true"/>
    <Context xmlns="063f955d-52cd-40b2-80f5-70171ea2be06" xsi:nil="true"/>
    <AI__x0025__Relevance_A xmlns="063f955d-52cd-40b2-80f5-70171ea2be06" xsi:nil="true"/>
    <AI_Batch_reference xmlns="063f955d-52cd-40b2-80f5-70171ea2be06" xsi:nil="true"/>
    <AI_Labelling_error xmlns="063f955d-52cd-40b2-80f5-70171ea2be06">false</AI_Labelling_error>
    <jdb7fc4e974a45188d91caad41c9ef17 xmlns="063f955d-52cd-40b2-80f5-70171ea2be06">
      <Terms xmlns="http://schemas.microsoft.com/office/infopath/2007/PartnerControls"/>
    </jdb7fc4e974a45188d91caad41c9ef17>
    <AI_Requested__x0020_manual_classification xmlns="063f955d-52cd-40b2-80f5-70171ea2be06">false</AI_Requested__x0020_manual_classification>
    <Doc_Language xmlns="063f955d-52cd-40b2-80f5-70171ea2be06" xsi:nil="true"/>
    <AI_AIDB_ID xmlns="063f955d-52cd-40b2-80f5-70171ea2be06" xsi:nil="true"/>
    <AI_Classification_B xmlns="063f955d-52cd-40b2-80f5-70171ea2be06" xsi:nil="true"/>
    <AI_AIDB_status_TXT xmlns="063f955d-52cd-40b2-80f5-70171ea2be06" xsi:nil="true"/>
    <AI_Classification_A xmlns="063f955d-52cd-40b2-80f5-70171ea2be06" xsi:nil="true"/>
    <i3815fca76db49ac95ea420f7cf911c6 xmlns="063f955d-52cd-40b2-80f5-70171ea2be06">
      <Terms xmlns="http://schemas.microsoft.com/office/infopath/2007/PartnerControls">
        <TermInfo xmlns="http://schemas.microsoft.com/office/infopath/2007/PartnerControls">
          <TermName xmlns="http://schemas.microsoft.com/office/infopath/2007/PartnerControls">3 - Internal use only</TermName>
          <TermId xmlns="http://schemas.microsoft.com/office/infopath/2007/PartnerControls">444dad51-745a-4285-abc9-4365fac0ec25</TermId>
        </TermInfo>
      </Terms>
    </i3815fca76db49ac95ea420f7cf911c6>
    <AI__x0025__Duplicate_candidate xmlns="063f955d-52cd-40b2-80f5-70171ea2be06" xsi:nil="true"/>
    <AI_Waiting_for_auto_classification xmlns="063f955d-52cd-40b2-80f5-70171ea2be06">false</AI_Waiting_for_auto_classification>
    <f56f3b9b03444df3b2ef6aaf7c0cbaa6 xmlns="063f955d-52cd-40b2-80f5-70171ea2be06">
      <Terms xmlns="http://schemas.microsoft.com/office/infopath/2007/PartnerControls"/>
    </f56f3b9b03444df3b2ef6aaf7c0cbaa6>
    <e88422c06c974aee9bbadae853be99f3 xmlns="063f955d-52cd-40b2-80f5-70171ea2be06">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3fbde490-865b-454f-b890-2db0972ec210</TermId>
        </TermInfo>
      </Terms>
    </e88422c06c974aee9bbadae853be99f3>
    <AI_Classification_has_been_requested xmlns="063f955d-52cd-40b2-80f5-70171ea2be06">false</AI_Classification_has_been_requested>
    <c48dca2c4d3f41848d6c6bfa73049c67 xmlns="063f955d-52cd-40b2-80f5-70171ea2be06">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985ce182-55de-4937-95b7-506adedf733b</TermId>
        </TermInfo>
      </Terms>
    </c48dca2c4d3f41848d6c6bfa73049c67>
  </documentManagement>
</p:properties>
</file>

<file path=customXml/item3.xml><?xml version="1.0" encoding="utf-8"?>
<?mso-contentType ?>
<SharedContentType xmlns="Microsoft.SharePoint.Taxonomy.ContentTypeSync" SourceId="51ab7c41-b059-4fba-bc0c-4efa77139169" ContentTypeId="0x010100CC1452B3D32F8440B544A8D906354C2B" PreviousValue="false" LastSyncTimeStamp="2022-02-24T13:33:19.327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4D845-A548-42DE-8559-69653BE9B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f955d-52cd-40b2-80f5-70171ea2b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0BF3E-2D9C-4A02-86D6-5D43BCB9DE28}">
  <ds:schemaRefs>
    <ds:schemaRef ds:uri="http://schemas.microsoft.com/office/infopath/2007/PartnerControls"/>
    <ds:schemaRef ds:uri="http://purl.org/dc/dcmitype/"/>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063f955d-52cd-40b2-80f5-70171ea2be06"/>
    <ds:schemaRef ds:uri="http://schemas.microsoft.com/office/2006/metadata/properties"/>
  </ds:schemaRefs>
</ds:datastoreItem>
</file>

<file path=customXml/itemProps3.xml><?xml version="1.0" encoding="utf-8"?>
<ds:datastoreItem xmlns:ds="http://schemas.openxmlformats.org/officeDocument/2006/customXml" ds:itemID="{4AD904D0-E478-433B-9BC6-938AD3B61E21}">
  <ds:schemaRefs>
    <ds:schemaRef ds:uri="Microsoft.SharePoint.Taxonomy.ContentTypeSync"/>
  </ds:schemaRefs>
</ds:datastoreItem>
</file>

<file path=customXml/itemProps4.xml><?xml version="1.0" encoding="utf-8"?>
<ds:datastoreItem xmlns:ds="http://schemas.openxmlformats.org/officeDocument/2006/customXml" ds:itemID="{512B488D-DD5A-4085-BD9F-5D9CC6BB51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6999</Characters>
  <Application>Microsoft Office Word</Application>
  <DocSecurity>0</DocSecurity>
  <Lines>58</Lines>
  <Paragraphs>16</Paragraphs>
  <ScaleCrop>false</ScaleCrop>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BLAJ Ioana Alexandra</dc:creator>
  <cp:keywords/>
  <dc:description/>
  <cp:lastModifiedBy>BLAJ Ioana Alexandra</cp:lastModifiedBy>
  <cp:revision>2</cp:revision>
  <dcterms:created xsi:type="dcterms:W3CDTF">2023-01-26T14:14:00Z</dcterms:created>
  <dcterms:modified xsi:type="dcterms:W3CDTF">2023-01-26T14:14:00Z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0x010100CC1452B3D32F8440B544A8D906354C2B0057F20C878AB107429D7B0F5806075B7D</vt:lpwstr>
  </property>
  <property fmtid="{D5CDD505-2E9C-101B-9397-08002B2CF9AE}" pid="3" name="AI_Normalisation_status">
    <vt:lpwstr/>
  </property>
  <property fmtid="{D5CDD505-2E9C-101B-9397-08002B2CF9AE}" pid="4" name="AI_AIDB_status_MM">
    <vt:lpwstr/>
  </property>
  <property fmtid="{D5CDD505-2E9C-101B-9397-08002B2CF9AE}" pid="5" name="Document_status">
    <vt:lpwstr>7;#Being worked on|61239119-fb6b-4477-99a9-0d9e8dd1a49e</vt:lpwstr>
  </property>
  <property fmtid="{D5CDD505-2E9C-101B-9397-08002B2CF9AE}" pid="6" name="Confidentiality">
    <vt:lpwstr>8;#3 - Internal use only|444dad51-745a-4285-abc9-4365fac0ec25</vt:lpwstr>
  </property>
  <property fmtid="{D5CDD505-2E9C-101B-9397-08002B2CF9AE}" pid="7" name="Document_Type">
    <vt:lpwstr>9;#NA|985ce182-55de-4937-95b7-506adedf733b</vt:lpwstr>
  </property>
  <property fmtid="{D5CDD505-2E9C-101B-9397-08002B2CF9AE}" pid="8" name="GDPR">
    <vt:lpwstr>10;#NA|3fbde490-865b-454f-b890-2db0972ec210</vt:lpwstr>
  </property>
  <property fmtid="{D5CDD505-2E9C-101B-9397-08002B2CF9AE}" pid="9" name="TaxKeyword">
    <vt:lpwstr/>
  </property>
  <property fmtid="{D5CDD505-2E9C-101B-9397-08002B2CF9AE}" pid="10" name="TaxKeywordTaxHTField">
    <vt:lpwstr/>
  </property>
  <property fmtid="{D5CDD505-2E9C-101B-9397-08002B2CF9AE}" pid="11" name="SharedWithUsers">
    <vt:lpwstr>2841;#GARCIA William</vt:lpwstr>
  </property>
</Properties>
</file>