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2D8D5" w14:textId="46673111" w:rsidR="00C04AA1" w:rsidRPr="009A55B8" w:rsidRDefault="00B65DEE">
      <w:pPr>
        <w:rPr>
          <w:rFonts w:ascii="Times New Roman" w:hAnsi="Times New Roman" w:cs="Times New Roman"/>
          <w:b/>
          <w:sz w:val="24"/>
          <w:szCs w:val="24"/>
        </w:rPr>
      </w:pPr>
      <w:r w:rsidRPr="009A55B8">
        <w:rPr>
          <w:rFonts w:ascii="Times New Roman" w:hAnsi="Times New Roman" w:cs="Times New Roman"/>
          <w:b/>
          <w:sz w:val="24"/>
          <w:szCs w:val="24"/>
        </w:rPr>
        <w:t>Lisa</w:t>
      </w:r>
      <w:r w:rsidR="002F7278">
        <w:rPr>
          <w:rFonts w:ascii="Times New Roman" w:hAnsi="Times New Roman" w:cs="Times New Roman"/>
          <w:b/>
          <w:sz w:val="24"/>
          <w:szCs w:val="24"/>
        </w:rPr>
        <w:t xml:space="preserve"> </w:t>
      </w:r>
      <w:r w:rsidRPr="009A55B8">
        <w:rPr>
          <w:rFonts w:ascii="Times New Roman" w:hAnsi="Times New Roman" w:cs="Times New Roman"/>
          <w:b/>
          <w:sz w:val="24"/>
          <w:szCs w:val="24"/>
        </w:rPr>
        <w:t>2</w:t>
      </w:r>
      <w:r w:rsidR="009A55B8" w:rsidRPr="009A55B8">
        <w:rPr>
          <w:rFonts w:ascii="Times New Roman" w:hAnsi="Times New Roman" w:cs="Times New Roman"/>
          <w:b/>
          <w:sz w:val="24"/>
          <w:szCs w:val="24"/>
        </w:rPr>
        <w:t xml:space="preserve">. </w:t>
      </w:r>
      <w:r w:rsidR="003B2906" w:rsidRPr="009A55B8">
        <w:rPr>
          <w:rFonts w:ascii="Times New Roman" w:hAnsi="Times New Roman" w:cs="Times New Roman"/>
          <w:b/>
          <w:sz w:val="24"/>
          <w:szCs w:val="24"/>
        </w:rPr>
        <w:t xml:space="preserve">Märkuste tabel: </w:t>
      </w:r>
      <w:r w:rsidR="00FE5D89">
        <w:rPr>
          <w:rFonts w:ascii="Times New Roman" w:eastAsia="Times New Roman" w:hAnsi="Times New Roman" w:cs="Times New Roman"/>
          <w:b/>
          <w:bCs/>
          <w:sz w:val="24"/>
          <w:szCs w:val="24"/>
          <w:lang w:eastAsia="ar-SA"/>
        </w:rPr>
        <w:t xml:space="preserve">Euroopa Liidu nullsaastepaketi asulareovee direktiivi uuendamise ja pinna- ja põhjavee saasteainete nimekirja uuendamise </w:t>
      </w:r>
      <w:r w:rsidR="00B0748B">
        <w:rPr>
          <w:rFonts w:ascii="Times New Roman" w:eastAsia="Times New Roman" w:hAnsi="Times New Roman" w:cs="Times New Roman"/>
          <w:b/>
          <w:bCs/>
          <w:sz w:val="24"/>
          <w:szCs w:val="24"/>
          <w:lang w:eastAsia="ar-SA"/>
        </w:rPr>
        <w:t>algatus</w:t>
      </w:r>
      <w:r w:rsidR="00FE5D89">
        <w:rPr>
          <w:rFonts w:ascii="Times New Roman" w:eastAsia="Times New Roman" w:hAnsi="Times New Roman" w:cs="Times New Roman"/>
          <w:b/>
          <w:bCs/>
          <w:sz w:val="24"/>
          <w:szCs w:val="24"/>
          <w:lang w:eastAsia="ar-SA"/>
        </w:rPr>
        <w:t>ed</w:t>
      </w:r>
    </w:p>
    <w:p w14:paraId="4EB5344D" w14:textId="77777777" w:rsidR="0034386F" w:rsidRPr="009A55B8" w:rsidRDefault="0034386F">
      <w:pPr>
        <w:rPr>
          <w:rFonts w:ascii="Times New Roman" w:hAnsi="Times New Roman" w:cs="Times New Roman"/>
          <w:sz w:val="24"/>
          <w:szCs w:val="24"/>
        </w:rPr>
      </w:pPr>
    </w:p>
    <w:tbl>
      <w:tblPr>
        <w:tblStyle w:val="Kontuurtabel"/>
        <w:tblW w:w="14737" w:type="dxa"/>
        <w:tblLayout w:type="fixed"/>
        <w:tblLook w:val="04A0" w:firstRow="1" w:lastRow="0" w:firstColumn="1" w:lastColumn="0" w:noHBand="0" w:noVBand="1"/>
      </w:tblPr>
      <w:tblGrid>
        <w:gridCol w:w="2263"/>
        <w:gridCol w:w="6804"/>
        <w:gridCol w:w="5670"/>
      </w:tblGrid>
      <w:tr w:rsidR="002E77DB" w:rsidRPr="009A55B8" w14:paraId="3C28B495" w14:textId="77777777" w:rsidTr="002F7278">
        <w:tc>
          <w:tcPr>
            <w:tcW w:w="2263" w:type="dxa"/>
          </w:tcPr>
          <w:p w14:paraId="18A44E68" w14:textId="77777777" w:rsidR="0034386F" w:rsidRPr="009A55B8" w:rsidRDefault="0034386F">
            <w:pPr>
              <w:rPr>
                <w:rFonts w:ascii="Times New Roman" w:hAnsi="Times New Roman" w:cs="Times New Roman"/>
                <w:sz w:val="24"/>
                <w:szCs w:val="24"/>
              </w:rPr>
            </w:pPr>
            <w:r w:rsidRPr="009A55B8">
              <w:rPr>
                <w:rFonts w:ascii="Times New Roman" w:hAnsi="Times New Roman" w:cs="Times New Roman"/>
                <w:sz w:val="24"/>
                <w:szCs w:val="24"/>
              </w:rPr>
              <w:t>Märkuse esitaja</w:t>
            </w:r>
          </w:p>
        </w:tc>
        <w:tc>
          <w:tcPr>
            <w:tcW w:w="6804" w:type="dxa"/>
          </w:tcPr>
          <w:p w14:paraId="7260BCDA" w14:textId="77777777" w:rsidR="0034386F" w:rsidRPr="009A55B8" w:rsidRDefault="0034386F">
            <w:pPr>
              <w:rPr>
                <w:rFonts w:ascii="Times New Roman" w:hAnsi="Times New Roman" w:cs="Times New Roman"/>
                <w:sz w:val="24"/>
                <w:szCs w:val="24"/>
              </w:rPr>
            </w:pPr>
            <w:r w:rsidRPr="009A55B8">
              <w:rPr>
                <w:rFonts w:ascii="Times New Roman" w:hAnsi="Times New Roman" w:cs="Times New Roman"/>
                <w:sz w:val="24"/>
                <w:szCs w:val="24"/>
              </w:rPr>
              <w:t>Märkuse sisu</w:t>
            </w:r>
          </w:p>
        </w:tc>
        <w:tc>
          <w:tcPr>
            <w:tcW w:w="5670" w:type="dxa"/>
          </w:tcPr>
          <w:p w14:paraId="0439E592" w14:textId="77777777" w:rsidR="0034386F" w:rsidRPr="009A55B8" w:rsidRDefault="002E77DB">
            <w:pPr>
              <w:rPr>
                <w:rFonts w:ascii="Times New Roman" w:hAnsi="Times New Roman" w:cs="Times New Roman"/>
                <w:sz w:val="24"/>
                <w:szCs w:val="24"/>
              </w:rPr>
            </w:pPr>
            <w:r w:rsidRPr="009A55B8">
              <w:rPr>
                <w:rFonts w:ascii="Times New Roman" w:hAnsi="Times New Roman" w:cs="Times New Roman"/>
                <w:sz w:val="24"/>
                <w:szCs w:val="24"/>
              </w:rPr>
              <w:t>Kommentaar</w:t>
            </w:r>
          </w:p>
        </w:tc>
      </w:tr>
      <w:tr w:rsidR="003B2906" w:rsidRPr="009A55B8" w14:paraId="1D979589" w14:textId="77777777" w:rsidTr="002F7278">
        <w:tc>
          <w:tcPr>
            <w:tcW w:w="2263" w:type="dxa"/>
          </w:tcPr>
          <w:p w14:paraId="00A487DB" w14:textId="4806526D" w:rsidR="003B2906" w:rsidRPr="009A55B8" w:rsidRDefault="00DE72D1">
            <w:pPr>
              <w:rPr>
                <w:rFonts w:ascii="Times New Roman" w:hAnsi="Times New Roman" w:cs="Times New Roman"/>
                <w:sz w:val="24"/>
                <w:szCs w:val="24"/>
              </w:rPr>
            </w:pPr>
            <w:r>
              <w:rPr>
                <w:rFonts w:ascii="Times New Roman" w:hAnsi="Times New Roman" w:cs="Times New Roman"/>
                <w:sz w:val="24"/>
                <w:szCs w:val="24"/>
              </w:rPr>
              <w:t xml:space="preserve">Eesti </w:t>
            </w:r>
            <w:r w:rsidRPr="00DE72D1">
              <w:rPr>
                <w:rFonts w:ascii="Times New Roman" w:hAnsi="Times New Roman" w:cs="Times New Roman"/>
                <w:sz w:val="24"/>
                <w:szCs w:val="24"/>
              </w:rPr>
              <w:t>Kaubandus-Tööstuskoda</w:t>
            </w:r>
          </w:p>
        </w:tc>
        <w:tc>
          <w:tcPr>
            <w:tcW w:w="6804" w:type="dxa"/>
          </w:tcPr>
          <w:p w14:paraId="74D382E5" w14:textId="77777777" w:rsidR="00DE72D1" w:rsidRPr="00DE72D1" w:rsidRDefault="00DE72D1" w:rsidP="00DE72D1">
            <w:pPr>
              <w:jc w:val="both"/>
              <w:rPr>
                <w:rFonts w:ascii="Times New Roman" w:hAnsi="Times New Roman" w:cs="Times New Roman"/>
                <w:sz w:val="24"/>
                <w:szCs w:val="24"/>
              </w:rPr>
            </w:pPr>
            <w:r w:rsidRPr="00DE72D1">
              <w:rPr>
                <w:rFonts w:ascii="Times New Roman" w:hAnsi="Times New Roman" w:cs="Times New Roman"/>
                <w:sz w:val="24"/>
                <w:szCs w:val="24"/>
              </w:rPr>
              <w:t xml:space="preserve">Saame väga hästi aru, et seoses uute ELi kliima- ja energiaeesmärkidega peab ka veesektori tegevus avaldama senisest vähem mõju keskkonnale. Selleks peab veesektor tegema muu hulgas suuremahulisi investeeringuid. Samas on vee-ettevõtjad andnud teada, et nende investeerimisvõimekus on hetkel madal. Leiame, et Eesti seisukohtades tuleks toetada selliseid muudatusi, mis on mõistlikud ja vee-ettevõtjatele jõukohased. Samas peab Eesti olema vastu muudatusele, millega kaasneb ebamõistlikult suur kulu, kuid marginaalne positiivne mõju keskkonnale. Näiteks on vee-ettevõtjad andnud teada, et lämmastiku piirnormi rangemaks muutmine ei too keskkonnale märkimisväärset kasu, kuid sellega võivad vee-ettevõtjatele kaasneda miljonitesse eurodesse ulatuvad investeeringud. Lisaks võiksid muudatused jätta igale liikmesriigile rohkem otsustusõigust, kuidas muuta veesektori tegevust keskkonnasõbralikumaks. Näiteks oleme saanud vee-ettevõtjatelt tagasisidet, et sademevee osas võiks mõelda sellele, kuidas planeeringute abil vähendada sademevee teket ning sellisel juhul väheneb ka vajadus sademevett koguda ja puhastada. Samuti on vee-ettevõtjad teinud ettepaneku muuta reoveesettega seonduvaid sätteid, et seda oleks võimalik senisest lihtsamalt töödelda.  </w:t>
            </w:r>
          </w:p>
          <w:p w14:paraId="715179A2" w14:textId="77777777" w:rsidR="00DE72D1" w:rsidRPr="00DE72D1" w:rsidRDefault="00DE72D1" w:rsidP="00DE72D1">
            <w:pPr>
              <w:jc w:val="both"/>
              <w:rPr>
                <w:rFonts w:ascii="Times New Roman" w:hAnsi="Times New Roman" w:cs="Times New Roman"/>
                <w:sz w:val="24"/>
                <w:szCs w:val="24"/>
              </w:rPr>
            </w:pPr>
            <w:r w:rsidRPr="00DE72D1">
              <w:rPr>
                <w:rFonts w:ascii="Times New Roman" w:hAnsi="Times New Roman" w:cs="Times New Roman"/>
                <w:sz w:val="24"/>
                <w:szCs w:val="24"/>
              </w:rPr>
              <w:t xml:space="preserve"> </w:t>
            </w:r>
          </w:p>
          <w:p w14:paraId="42FC9A3A" w14:textId="5DB43229" w:rsidR="003B2906" w:rsidRPr="009A55B8" w:rsidRDefault="00DE72D1" w:rsidP="00DE72D1">
            <w:pPr>
              <w:jc w:val="both"/>
              <w:rPr>
                <w:rFonts w:ascii="Times New Roman" w:hAnsi="Times New Roman" w:cs="Times New Roman"/>
                <w:sz w:val="24"/>
                <w:szCs w:val="24"/>
              </w:rPr>
            </w:pPr>
            <w:r w:rsidRPr="00DE72D1">
              <w:rPr>
                <w:rFonts w:ascii="Times New Roman" w:hAnsi="Times New Roman" w:cs="Times New Roman"/>
                <w:sz w:val="24"/>
                <w:szCs w:val="24"/>
              </w:rPr>
              <w:t>Kokkuvõttes soovitame selle teema ja Eesti seisukohtade kujundamise osas teha aktiivset koostööd vee-ettevõtete liiduga.</w:t>
            </w:r>
          </w:p>
        </w:tc>
        <w:tc>
          <w:tcPr>
            <w:tcW w:w="5670" w:type="dxa"/>
            <w:shd w:val="clear" w:color="auto" w:fill="auto"/>
          </w:tcPr>
          <w:p w14:paraId="6FB5695A" w14:textId="52275BEA" w:rsidR="003B2906" w:rsidRPr="009A55B8" w:rsidRDefault="00845E59" w:rsidP="009A55B8">
            <w:pPr>
              <w:rPr>
                <w:rFonts w:ascii="Times New Roman" w:hAnsi="Times New Roman" w:cs="Times New Roman"/>
                <w:sz w:val="24"/>
                <w:szCs w:val="24"/>
              </w:rPr>
            </w:pPr>
            <w:r>
              <w:rPr>
                <w:rFonts w:ascii="Times New Roman" w:hAnsi="Times New Roman" w:cs="Times New Roman"/>
                <w:sz w:val="24"/>
                <w:szCs w:val="24"/>
              </w:rPr>
              <w:t>Arvestatud</w:t>
            </w:r>
          </w:p>
        </w:tc>
      </w:tr>
      <w:tr w:rsidR="00241893" w:rsidRPr="009A55B8" w14:paraId="4BF0D5FE" w14:textId="77777777" w:rsidTr="002F7278">
        <w:tc>
          <w:tcPr>
            <w:tcW w:w="2263" w:type="dxa"/>
          </w:tcPr>
          <w:p w14:paraId="5B507BB7" w14:textId="571F72EA" w:rsidR="00241893" w:rsidRPr="009A55B8" w:rsidRDefault="00DE72D1" w:rsidP="00DB3467">
            <w:pPr>
              <w:rPr>
                <w:rFonts w:ascii="Times New Roman" w:hAnsi="Times New Roman" w:cs="Times New Roman"/>
                <w:sz w:val="24"/>
                <w:szCs w:val="24"/>
              </w:rPr>
            </w:pPr>
            <w:r>
              <w:rPr>
                <w:rFonts w:ascii="Times New Roman" w:hAnsi="Times New Roman" w:cs="Times New Roman"/>
                <w:sz w:val="24"/>
                <w:szCs w:val="24"/>
              </w:rPr>
              <w:t>Ravimiamet</w:t>
            </w:r>
          </w:p>
        </w:tc>
        <w:tc>
          <w:tcPr>
            <w:tcW w:w="6804" w:type="dxa"/>
          </w:tcPr>
          <w:p w14:paraId="2BC88BED" w14:textId="77777777" w:rsidR="00DE72D1" w:rsidRPr="00DE72D1" w:rsidRDefault="00DE72D1" w:rsidP="00DE72D1">
            <w:pPr>
              <w:jc w:val="both"/>
              <w:rPr>
                <w:rFonts w:ascii="Times New Roman" w:hAnsi="Times New Roman" w:cs="Times New Roman"/>
                <w:sz w:val="24"/>
                <w:szCs w:val="24"/>
              </w:rPr>
            </w:pPr>
            <w:r w:rsidRPr="00DE72D1">
              <w:rPr>
                <w:rFonts w:ascii="Times New Roman" w:hAnsi="Times New Roman" w:cs="Times New Roman"/>
                <w:sz w:val="24"/>
                <w:szCs w:val="24"/>
              </w:rPr>
              <w:t xml:space="preserve">Täname, et olete pöördunud seoses Euroopa Komisjoni 26.10 asulareovee direktiivi ja pinna- ja põhjavee saasteainete õigusaktide läbivaatamiste algatustega Ravimiameti poole arvamuse ja ettepanekute saamiseks, sh võimalike erihuvide esinemise kohta. Euroopa Komisjoni algatused hetke seisuga ei avalda mõju ravimi ohutusele, kvaliteedile ja efektiivsusele (Ravimiameti järelevalve), kuid meie hinnangul avaldab sellisel viisil planeeritud muudatused </w:t>
            </w:r>
            <w:r w:rsidRPr="00DE72D1">
              <w:rPr>
                <w:rFonts w:ascii="Times New Roman" w:hAnsi="Times New Roman" w:cs="Times New Roman"/>
                <w:sz w:val="24"/>
                <w:szCs w:val="24"/>
              </w:rPr>
              <w:lastRenderedPageBreak/>
              <w:t>olulist mõju ravimi hinnale, võib avaldada mõju ravimi kättesaadavusele ning tekitab ebavõrdsust liikmesriikide ravimi ostjatele ja patsientidele. Toome välja kokkuvõtteks võimalikud murekohad, millele tuleks juhtida Euroopa Komisjoni tähelepanu ja millega on vajalik tegeleda:</w:t>
            </w:r>
          </w:p>
          <w:p w14:paraId="47ACD7FE" w14:textId="77777777" w:rsidR="00DE72D1" w:rsidRPr="00DE72D1" w:rsidRDefault="00DE72D1" w:rsidP="00DE72D1">
            <w:pPr>
              <w:jc w:val="both"/>
              <w:rPr>
                <w:rFonts w:ascii="Times New Roman" w:hAnsi="Times New Roman" w:cs="Times New Roman"/>
                <w:sz w:val="24"/>
                <w:szCs w:val="24"/>
              </w:rPr>
            </w:pPr>
          </w:p>
          <w:p w14:paraId="4CE6FD65" w14:textId="4E990C8A" w:rsidR="00DE72D1" w:rsidRPr="00AA7097" w:rsidRDefault="00AA7097" w:rsidP="00AA7097">
            <w:pPr>
              <w:jc w:val="both"/>
              <w:rPr>
                <w:rFonts w:ascii="Times New Roman" w:hAnsi="Times New Roman" w:cs="Times New Roman"/>
                <w:sz w:val="24"/>
                <w:szCs w:val="24"/>
              </w:rPr>
            </w:pPr>
            <w:r w:rsidRPr="00AA7097">
              <w:rPr>
                <w:rFonts w:ascii="Times New Roman" w:hAnsi="Times New Roman" w:cs="Times New Roman"/>
                <w:sz w:val="24"/>
                <w:szCs w:val="24"/>
              </w:rPr>
              <w:t>1.</w:t>
            </w:r>
            <w:r>
              <w:rPr>
                <w:rFonts w:ascii="Times New Roman" w:hAnsi="Times New Roman" w:cs="Times New Roman"/>
                <w:sz w:val="24"/>
                <w:szCs w:val="24"/>
              </w:rPr>
              <w:tab/>
            </w:r>
            <w:r w:rsidR="00DE72D1" w:rsidRPr="00AA7097">
              <w:rPr>
                <w:rFonts w:ascii="Times New Roman" w:hAnsi="Times New Roman" w:cs="Times New Roman"/>
                <w:sz w:val="24"/>
                <w:szCs w:val="24"/>
              </w:rPr>
              <w:t>Kavandi kohaselt toimub tootja vastutuse mehhanism selliselt, et ravimi pakendi hinnale lisatav summa sõltub liikmesriiki sisseveetud ravimite kogusest. Kuna keskkonna investeeringud (näiteks puhastusseadmete loomiseks ja ülalpidamiseks) on suurusjärgus samad olenemata liikmesriigi suurusest, tekkib olukord, milles väiksematele riikidele on lisatav summa pakendile oluliselt suurem võrreldes suuremate liikmesriikidega ehk siis juba eos on kavandisse sisse kirjutatud liikmesriikide patsientide ebavõrdne kohtlemine;</w:t>
            </w:r>
          </w:p>
          <w:p w14:paraId="1947B451" w14:textId="77777777" w:rsidR="00AA7097" w:rsidRPr="00AA7097" w:rsidRDefault="00AA7097" w:rsidP="00AA7097"/>
          <w:p w14:paraId="5493E887" w14:textId="77777777" w:rsidR="00DE72D1" w:rsidRDefault="00DE72D1" w:rsidP="00DE72D1">
            <w:pPr>
              <w:jc w:val="both"/>
              <w:rPr>
                <w:rFonts w:ascii="Times New Roman" w:hAnsi="Times New Roman" w:cs="Times New Roman"/>
                <w:sz w:val="24"/>
                <w:szCs w:val="24"/>
              </w:rPr>
            </w:pPr>
            <w:r w:rsidRPr="00DE72D1">
              <w:rPr>
                <w:rFonts w:ascii="Times New Roman" w:hAnsi="Times New Roman" w:cs="Times New Roman"/>
                <w:sz w:val="24"/>
                <w:szCs w:val="24"/>
              </w:rPr>
              <w:t>2.</w:t>
            </w:r>
            <w:r w:rsidRPr="00DE72D1">
              <w:rPr>
                <w:rFonts w:ascii="Times New Roman" w:hAnsi="Times New Roman" w:cs="Times New Roman"/>
                <w:sz w:val="24"/>
                <w:szCs w:val="24"/>
              </w:rPr>
              <w:tab/>
              <w:t>Tekkib vastuolu seniste keskkonnatasude rakendamise üldise põhimõttega – saastab vähem, maksab vähem. Hetke kavandi kohaselt aga on vastupidi (kasutatavad ravimi kogused väiksemad võrreldes suuremate liikmesriikidega, kuid samas patsient hakkab ravimi eest tasuma rohkem võrreldes suuremates liikmesriikides elavate patsientidega);</w:t>
            </w:r>
          </w:p>
          <w:p w14:paraId="5254C649" w14:textId="77777777" w:rsidR="00AA7097" w:rsidRPr="00DE72D1" w:rsidRDefault="00AA7097" w:rsidP="00DE72D1">
            <w:pPr>
              <w:jc w:val="both"/>
              <w:rPr>
                <w:rFonts w:ascii="Times New Roman" w:hAnsi="Times New Roman" w:cs="Times New Roman"/>
                <w:sz w:val="24"/>
                <w:szCs w:val="24"/>
              </w:rPr>
            </w:pPr>
          </w:p>
          <w:p w14:paraId="494C5EE8" w14:textId="77777777" w:rsidR="00DE72D1" w:rsidRDefault="00DE72D1" w:rsidP="00DE72D1">
            <w:pPr>
              <w:jc w:val="both"/>
              <w:rPr>
                <w:rFonts w:ascii="Times New Roman" w:hAnsi="Times New Roman" w:cs="Times New Roman"/>
                <w:sz w:val="24"/>
                <w:szCs w:val="24"/>
              </w:rPr>
            </w:pPr>
            <w:r w:rsidRPr="00DE72D1">
              <w:rPr>
                <w:rFonts w:ascii="Times New Roman" w:hAnsi="Times New Roman" w:cs="Times New Roman"/>
                <w:sz w:val="24"/>
                <w:szCs w:val="24"/>
              </w:rPr>
              <w:t>3.</w:t>
            </w:r>
            <w:r w:rsidRPr="00DE72D1">
              <w:rPr>
                <w:rFonts w:ascii="Times New Roman" w:hAnsi="Times New Roman" w:cs="Times New Roman"/>
                <w:sz w:val="24"/>
                <w:szCs w:val="24"/>
              </w:rPr>
              <w:tab/>
              <w:t xml:space="preserve">Valdavalt tulevad ravimid Eestisse läbi erinevate liikmesriikide (vahelaod, </w:t>
            </w:r>
            <w:proofErr w:type="spellStart"/>
            <w:r w:rsidRPr="00DE72D1">
              <w:rPr>
                <w:rFonts w:ascii="Times New Roman" w:hAnsi="Times New Roman" w:cs="Times New Roman"/>
                <w:sz w:val="24"/>
                <w:szCs w:val="24"/>
              </w:rPr>
              <w:t>konsignatsioonilaod</w:t>
            </w:r>
            <w:proofErr w:type="spellEnd"/>
            <w:r w:rsidRPr="00DE72D1">
              <w:rPr>
                <w:rFonts w:ascii="Times New Roman" w:hAnsi="Times New Roman" w:cs="Times New Roman"/>
                <w:sz w:val="24"/>
                <w:szCs w:val="24"/>
              </w:rPr>
              <w:t xml:space="preserve"> jne) ehk mitte otse tootjalt. Mis muuhulgas tähendaks sellisel juhul vajadust rakendada liikmesriikidele keskkonnatasu vabastusi või juba tasutud tagastusnõuete mehhanismi. Ravimeid Eestisse toovad sisse valdavalt ravimi hulgimüügi tegevusloa omajad aga mitte ravimi tootmise tegevusloa omajad, kellele lasub kavandi kohaselt vastutus. Erinevad tasu vabastus ja/või tagastuse süsteemid võivad mõjutada ka ravimi kättesaadavust (oma kohmakuse tõttu);  </w:t>
            </w:r>
          </w:p>
          <w:p w14:paraId="2078BE47" w14:textId="77777777" w:rsidR="00AA7097" w:rsidRPr="00DE72D1" w:rsidRDefault="00AA7097" w:rsidP="00DE72D1">
            <w:pPr>
              <w:jc w:val="both"/>
              <w:rPr>
                <w:rFonts w:ascii="Times New Roman" w:hAnsi="Times New Roman" w:cs="Times New Roman"/>
                <w:sz w:val="24"/>
                <w:szCs w:val="24"/>
              </w:rPr>
            </w:pPr>
          </w:p>
          <w:p w14:paraId="11E1B849" w14:textId="77777777" w:rsidR="00DE72D1" w:rsidRDefault="00DE72D1" w:rsidP="00DE72D1">
            <w:pPr>
              <w:jc w:val="both"/>
              <w:rPr>
                <w:rFonts w:ascii="Times New Roman" w:hAnsi="Times New Roman" w:cs="Times New Roman"/>
                <w:sz w:val="24"/>
                <w:szCs w:val="24"/>
              </w:rPr>
            </w:pPr>
            <w:r w:rsidRPr="00DE72D1">
              <w:rPr>
                <w:rFonts w:ascii="Times New Roman" w:hAnsi="Times New Roman" w:cs="Times New Roman"/>
                <w:sz w:val="24"/>
                <w:szCs w:val="24"/>
              </w:rPr>
              <w:t>4.</w:t>
            </w:r>
            <w:r w:rsidRPr="00DE72D1">
              <w:rPr>
                <w:rFonts w:ascii="Times New Roman" w:hAnsi="Times New Roman" w:cs="Times New Roman"/>
                <w:sz w:val="24"/>
                <w:szCs w:val="24"/>
              </w:rPr>
              <w:tab/>
              <w:t xml:space="preserve">Arvestada tuleb asjaoluga, et ravimite turustamisel on lubatud paralleelimport (paralleelne turustamine hõlmad ravimi </w:t>
            </w:r>
            <w:r w:rsidRPr="00DE72D1">
              <w:rPr>
                <w:rFonts w:ascii="Times New Roman" w:hAnsi="Times New Roman" w:cs="Times New Roman"/>
                <w:sz w:val="24"/>
                <w:szCs w:val="24"/>
              </w:rPr>
              <w:lastRenderedPageBreak/>
              <w:t>ümberpakendamist ja märgistamist) ehk siis tekkivad korduvad maksustamise olukorrad (tootja vastutust on juba rakendatud sisseveol liikmesriiki), milles ravim tegelikult ümberpakendatult ja märgistatult läheb teise liikmesriiki või üldse kolmandasse riiki. Sealjuures ei ole paralleelimportija enam ravimi tootja, vaid ravimi hulgimüüja. Paralleelimpordi loa omaja võib asuda ka teises liikmesriigis;</w:t>
            </w:r>
          </w:p>
          <w:p w14:paraId="53287672" w14:textId="77777777" w:rsidR="00AA7097" w:rsidRPr="00DE72D1" w:rsidRDefault="00AA7097" w:rsidP="00DE72D1">
            <w:pPr>
              <w:jc w:val="both"/>
              <w:rPr>
                <w:rFonts w:ascii="Times New Roman" w:hAnsi="Times New Roman" w:cs="Times New Roman"/>
                <w:sz w:val="24"/>
                <w:szCs w:val="24"/>
              </w:rPr>
            </w:pPr>
          </w:p>
          <w:p w14:paraId="1B677F5F" w14:textId="77777777" w:rsidR="00DE72D1" w:rsidRPr="00DE72D1" w:rsidRDefault="00DE72D1" w:rsidP="00DE72D1">
            <w:pPr>
              <w:jc w:val="both"/>
              <w:rPr>
                <w:rFonts w:ascii="Times New Roman" w:hAnsi="Times New Roman" w:cs="Times New Roman"/>
                <w:sz w:val="24"/>
                <w:szCs w:val="24"/>
              </w:rPr>
            </w:pPr>
            <w:r w:rsidRPr="00DE72D1">
              <w:rPr>
                <w:rFonts w:ascii="Times New Roman" w:hAnsi="Times New Roman" w:cs="Times New Roman"/>
                <w:sz w:val="24"/>
                <w:szCs w:val="24"/>
              </w:rPr>
              <w:t>5.</w:t>
            </w:r>
            <w:r w:rsidRPr="00DE72D1">
              <w:rPr>
                <w:rFonts w:ascii="Times New Roman" w:hAnsi="Times New Roman" w:cs="Times New Roman"/>
                <w:sz w:val="24"/>
                <w:szCs w:val="24"/>
              </w:rPr>
              <w:tab/>
              <w:t xml:space="preserve">Arvestama peab, et erinevad liikmesriigid kasutavad tervishoiusiseseid kompensatsiooni mehhanisme ravimi hinnale (soodusravimid, hinnakokkulepped jne). Seega võib pakutud tootja vastutuse süsteem avaldada mõju ka Eesti Haigekassa eelarvele. Arvestama peab asjaoluga, et tootja vastutusena lisandunud keskkonnatasu puhul ei toimuks retsepti soodustuse arvelt kompenseerimist, kuna rakendatava tasu ja ravimi hinna kompenseerimise sihtotstarbed on erinevad. </w:t>
            </w:r>
          </w:p>
          <w:p w14:paraId="6C8E117D" w14:textId="77777777" w:rsidR="00DE72D1" w:rsidRPr="00DE72D1" w:rsidRDefault="00DE72D1" w:rsidP="00DE72D1">
            <w:pPr>
              <w:jc w:val="both"/>
              <w:rPr>
                <w:rFonts w:ascii="Times New Roman" w:hAnsi="Times New Roman" w:cs="Times New Roman"/>
                <w:sz w:val="24"/>
                <w:szCs w:val="24"/>
              </w:rPr>
            </w:pPr>
          </w:p>
          <w:p w14:paraId="2141C82C" w14:textId="77777777" w:rsidR="00DE72D1" w:rsidRPr="00DE72D1" w:rsidRDefault="00DE72D1" w:rsidP="00DE72D1">
            <w:pPr>
              <w:jc w:val="both"/>
              <w:rPr>
                <w:rFonts w:ascii="Times New Roman" w:hAnsi="Times New Roman" w:cs="Times New Roman"/>
                <w:sz w:val="24"/>
                <w:szCs w:val="24"/>
              </w:rPr>
            </w:pPr>
            <w:r w:rsidRPr="00DE72D1">
              <w:rPr>
                <w:rFonts w:ascii="Times New Roman" w:hAnsi="Times New Roman" w:cs="Times New Roman"/>
                <w:sz w:val="24"/>
                <w:szCs w:val="24"/>
              </w:rPr>
              <w:t xml:space="preserve">Vajalik on hinnata mõjusid ravimi hinnale arvestades liikmesriigi suurust ning liikmesriikides ravimi hinna kompenseerimise mehhanismide esinemist või puudumist. Kavandist nähtub, et pakutud süsteem (hetkel küll üldine) toob kaasa ebavõrdsust liikmesriikides ravimi ostjatele/patsientidele ravimi hinna osas, arvestades ravimite logistilist liikumist liikmesriikide vahel ka negatiivset mõju ravimite kättesaadavusele ning valdavas osas keskkonnatasu vabastuse ja tagastuse rakendamise ja keerukuse. </w:t>
            </w:r>
          </w:p>
          <w:p w14:paraId="73A8F8DA" w14:textId="77777777" w:rsidR="00DE72D1" w:rsidRPr="00DE72D1" w:rsidRDefault="00DE72D1" w:rsidP="00DE72D1">
            <w:pPr>
              <w:jc w:val="both"/>
              <w:rPr>
                <w:rFonts w:ascii="Times New Roman" w:hAnsi="Times New Roman" w:cs="Times New Roman"/>
                <w:sz w:val="24"/>
                <w:szCs w:val="24"/>
              </w:rPr>
            </w:pPr>
          </w:p>
          <w:p w14:paraId="345FBE3B" w14:textId="77777777" w:rsidR="00DE72D1" w:rsidRPr="00DE72D1" w:rsidRDefault="00DE72D1" w:rsidP="00DE72D1">
            <w:pPr>
              <w:jc w:val="both"/>
              <w:rPr>
                <w:rFonts w:ascii="Times New Roman" w:hAnsi="Times New Roman" w:cs="Times New Roman"/>
                <w:sz w:val="24"/>
                <w:szCs w:val="24"/>
              </w:rPr>
            </w:pPr>
            <w:r w:rsidRPr="00DE72D1">
              <w:rPr>
                <w:rFonts w:ascii="Times New Roman" w:hAnsi="Times New Roman" w:cs="Times New Roman"/>
                <w:sz w:val="24"/>
                <w:szCs w:val="24"/>
              </w:rPr>
              <w:t xml:space="preserve">Ravimitega seotud toimingutelt tasude korjamine ei ole ELis täiesti uus tegevus, kuna ravimi tootjatelt ja </w:t>
            </w:r>
            <w:proofErr w:type="spellStart"/>
            <w:r w:rsidRPr="00DE72D1">
              <w:rPr>
                <w:rFonts w:ascii="Times New Roman" w:hAnsi="Times New Roman" w:cs="Times New Roman"/>
                <w:sz w:val="24"/>
                <w:szCs w:val="24"/>
              </w:rPr>
              <w:t>turustajatelt</w:t>
            </w:r>
            <w:proofErr w:type="spellEnd"/>
            <w:r w:rsidRPr="00DE72D1">
              <w:rPr>
                <w:rFonts w:ascii="Times New Roman" w:hAnsi="Times New Roman" w:cs="Times New Roman"/>
                <w:sz w:val="24"/>
                <w:szCs w:val="24"/>
              </w:rPr>
              <w:t xml:space="preserve"> (hulgimüüjatelt, apteekidelt) kogutakse tasusid ka liikmesriikides tegutsevate ravimi ehtsuse kontrollikeskuste kaudu. Võimalik, et arvestades ravimi logistilist eripära ja Liikmesriikide erinevusi ravimi hinnastamisel ja kompenseerimisel, on käesoleval juhul rakendatav sarnane süsteem. Ravimiameti hinnangul on ühetaoline pakendi hinna lisa ravimi käitlejatele vähem koormavam, selgem ja tagaks patsientide suhtes võrdsema kohtlemise.  </w:t>
            </w:r>
          </w:p>
          <w:p w14:paraId="58119ACC" w14:textId="77777777" w:rsidR="00DE72D1" w:rsidRPr="00DE72D1" w:rsidRDefault="00DE72D1" w:rsidP="00DE72D1">
            <w:pPr>
              <w:jc w:val="both"/>
              <w:rPr>
                <w:rFonts w:ascii="Times New Roman" w:hAnsi="Times New Roman" w:cs="Times New Roman"/>
                <w:sz w:val="24"/>
                <w:szCs w:val="24"/>
              </w:rPr>
            </w:pPr>
          </w:p>
          <w:p w14:paraId="366C7B3F" w14:textId="77777777" w:rsidR="00DE72D1" w:rsidRPr="00DE72D1" w:rsidRDefault="00DE72D1" w:rsidP="00DE72D1">
            <w:pPr>
              <w:jc w:val="both"/>
              <w:rPr>
                <w:rFonts w:ascii="Times New Roman" w:hAnsi="Times New Roman" w:cs="Times New Roman"/>
                <w:sz w:val="24"/>
                <w:szCs w:val="24"/>
              </w:rPr>
            </w:pPr>
            <w:r w:rsidRPr="00DE72D1">
              <w:rPr>
                <w:rFonts w:ascii="Times New Roman" w:hAnsi="Times New Roman" w:cs="Times New Roman"/>
                <w:sz w:val="24"/>
                <w:szCs w:val="24"/>
              </w:rPr>
              <w:t>Eeltoodust tulenevalt oleks meie hinnangul vajalik kaasata aruteludesse Ravimitootjate Liit, Eesti Haigekassa ja Sotsiaalministeerium. Kui tekkib küsimusi, vastame meeleldi. Samuti on meil võimalik mõjude hindamisel aidata ravimite ja ravimi käitlejate statistiliste andmetega.</w:t>
            </w:r>
          </w:p>
          <w:p w14:paraId="39A6F83E" w14:textId="77777777" w:rsidR="00AA09F9" w:rsidRPr="009A55B8" w:rsidRDefault="00AA09F9" w:rsidP="0024794D">
            <w:pPr>
              <w:jc w:val="both"/>
              <w:rPr>
                <w:rFonts w:ascii="Times New Roman" w:hAnsi="Times New Roman" w:cs="Times New Roman"/>
                <w:sz w:val="24"/>
                <w:szCs w:val="24"/>
              </w:rPr>
            </w:pPr>
          </w:p>
        </w:tc>
        <w:tc>
          <w:tcPr>
            <w:tcW w:w="5670" w:type="dxa"/>
          </w:tcPr>
          <w:p w14:paraId="558E376B" w14:textId="1057BE1D" w:rsidR="00241893" w:rsidRPr="009A55B8" w:rsidRDefault="00845E59" w:rsidP="009A55B8">
            <w:pPr>
              <w:rPr>
                <w:rFonts w:ascii="Times New Roman" w:hAnsi="Times New Roman" w:cs="Times New Roman"/>
                <w:sz w:val="24"/>
                <w:szCs w:val="24"/>
              </w:rPr>
            </w:pPr>
            <w:r>
              <w:rPr>
                <w:rFonts w:ascii="Times New Roman" w:hAnsi="Times New Roman" w:cs="Times New Roman"/>
                <w:sz w:val="24"/>
                <w:szCs w:val="24"/>
              </w:rPr>
              <w:lastRenderedPageBreak/>
              <w:t>Arvestatud</w:t>
            </w:r>
          </w:p>
        </w:tc>
      </w:tr>
      <w:tr w:rsidR="008336AD" w:rsidRPr="009A55B8" w14:paraId="003CA306" w14:textId="77777777" w:rsidTr="002F7278">
        <w:tc>
          <w:tcPr>
            <w:tcW w:w="2263" w:type="dxa"/>
          </w:tcPr>
          <w:p w14:paraId="714E4E1B" w14:textId="7D9F3EA3" w:rsidR="00AA09F9" w:rsidRPr="009A55B8" w:rsidRDefault="00DE72D1" w:rsidP="008336AD">
            <w:pPr>
              <w:rPr>
                <w:rFonts w:ascii="Times New Roman" w:hAnsi="Times New Roman" w:cs="Times New Roman"/>
                <w:sz w:val="24"/>
                <w:szCs w:val="24"/>
              </w:rPr>
            </w:pPr>
            <w:r>
              <w:rPr>
                <w:rFonts w:ascii="Times New Roman" w:hAnsi="Times New Roman" w:cs="Times New Roman"/>
                <w:sz w:val="24"/>
                <w:szCs w:val="24"/>
              </w:rPr>
              <w:lastRenderedPageBreak/>
              <w:t>Maaeluministeerium</w:t>
            </w:r>
          </w:p>
        </w:tc>
        <w:tc>
          <w:tcPr>
            <w:tcW w:w="6804" w:type="dxa"/>
          </w:tcPr>
          <w:p w14:paraId="0AA5FE42" w14:textId="77777777" w:rsidR="00DE72D1" w:rsidRDefault="00DE72D1" w:rsidP="00DE72D1">
            <w:pPr>
              <w:jc w:val="both"/>
              <w:rPr>
                <w:rFonts w:ascii="Times New Roman" w:hAnsi="Times New Roman" w:cs="Times New Roman"/>
                <w:sz w:val="24"/>
                <w:szCs w:val="24"/>
              </w:rPr>
            </w:pPr>
            <w:r w:rsidRPr="00DE72D1">
              <w:rPr>
                <w:rFonts w:ascii="Times New Roman" w:hAnsi="Times New Roman" w:cs="Times New Roman"/>
                <w:sz w:val="24"/>
                <w:szCs w:val="24"/>
              </w:rPr>
              <w:t xml:space="preserve">Nõustume vajadusega uuendada ja arendada vee raamdirektiivi, põhjaveedirektiivi, asulareovee direktiivi ja keskkonnakvaliteedi standardite direktiivi nõudeid eesmärgiga saavutada kõrgetasemeline veekeskkonna ja </w:t>
            </w:r>
            <w:proofErr w:type="spellStart"/>
            <w:r w:rsidRPr="00DE72D1">
              <w:rPr>
                <w:rFonts w:ascii="Times New Roman" w:hAnsi="Times New Roman" w:cs="Times New Roman"/>
                <w:sz w:val="24"/>
                <w:szCs w:val="24"/>
              </w:rPr>
              <w:t>inimtervise</w:t>
            </w:r>
            <w:proofErr w:type="spellEnd"/>
            <w:r w:rsidRPr="00DE72D1">
              <w:rPr>
                <w:rFonts w:ascii="Times New Roman" w:hAnsi="Times New Roman" w:cs="Times New Roman"/>
                <w:sz w:val="24"/>
                <w:szCs w:val="24"/>
              </w:rPr>
              <w:t xml:space="preserve"> kaitse ning toetada Euroopa rohepöörde ambitsiooni. Seoses tööstuse ja tehnoloogia arenguga muutub ajas ka oluliste saasteainete nimekiri, kuhu on lisandunud uute kemikaalide kõrval ka ravimijäägid, mikroplast ja antibiootikumresistentne geenimaterjal. Keskkonnasaastus ja selle pidurdamine pakub teadusele järjest suuremaid väljakutseid. Veekeskkonna seisundi ja kvaliteedi muutuste täpsemaks hindamiseks on vajalik arendada seiremeetodeid ning võimaldada nende andmete paremat kättesaadavust ja tõhusamat kasutust. Samuti on oluline tähelepanu pöörata erinevate saasteainete koosmõjule nii veeökosüsteemis kui inimorganismis.</w:t>
            </w:r>
          </w:p>
          <w:p w14:paraId="2E08CF5B" w14:textId="77777777" w:rsidR="00DE72D1" w:rsidRPr="00DE72D1" w:rsidRDefault="00DE72D1" w:rsidP="00DE72D1">
            <w:pPr>
              <w:jc w:val="both"/>
              <w:rPr>
                <w:rFonts w:ascii="Times New Roman" w:hAnsi="Times New Roman" w:cs="Times New Roman"/>
                <w:sz w:val="24"/>
                <w:szCs w:val="24"/>
              </w:rPr>
            </w:pPr>
          </w:p>
          <w:p w14:paraId="1D17D536" w14:textId="77777777" w:rsidR="00DE72D1" w:rsidRDefault="00DE72D1" w:rsidP="00DE72D1">
            <w:pPr>
              <w:jc w:val="both"/>
              <w:rPr>
                <w:rFonts w:ascii="Times New Roman" w:hAnsi="Times New Roman" w:cs="Times New Roman"/>
                <w:sz w:val="24"/>
                <w:szCs w:val="24"/>
              </w:rPr>
            </w:pPr>
            <w:r w:rsidRPr="00DE72D1">
              <w:rPr>
                <w:rFonts w:ascii="Times New Roman" w:hAnsi="Times New Roman" w:cs="Times New Roman"/>
                <w:sz w:val="24"/>
                <w:szCs w:val="24"/>
              </w:rPr>
              <w:t> Nõustume ka eesmärgi ja vajadusega vähendada asulareovee punktkoormust veekogudele, kasutada paremini reovee koostise informatsiooni rahvatervise hüvanguks ning rakendada enam saastaja maksab põhimõtet. Leiame samas, et nende ambitsioonikate uuenduste juures on oluline pöörata tähelepanu muudatuste kulutõhususele ja teha jõupingutusi innovatiivsete mõjusate lahenduste leidmise nimel. See tähendab ka püüdu panustada enam veereostuse vältimise ja ennetusmeetmetele (vältimine ja ennetamine on odavam kui hilisem veepuhastus ja keskkonnale tekitatud kahju). Vajadus tuleneb sellest, et näiteks senisest rohkem madala kontsentratsiooniga ja suurema täpsusastmega erinevate saasteainete analüüside tegemist tähendab suuremaid seire- ja analüüsikulusid.</w:t>
            </w:r>
          </w:p>
          <w:p w14:paraId="2307A4CF" w14:textId="77777777" w:rsidR="00DE72D1" w:rsidRPr="00DE72D1" w:rsidRDefault="00DE72D1" w:rsidP="00DE72D1">
            <w:pPr>
              <w:jc w:val="both"/>
              <w:rPr>
                <w:rFonts w:ascii="Times New Roman" w:hAnsi="Times New Roman" w:cs="Times New Roman"/>
                <w:sz w:val="24"/>
                <w:szCs w:val="24"/>
              </w:rPr>
            </w:pPr>
          </w:p>
          <w:p w14:paraId="365B4B0A" w14:textId="77777777" w:rsidR="00DE72D1" w:rsidRDefault="00DE72D1" w:rsidP="00DE72D1">
            <w:pPr>
              <w:jc w:val="both"/>
              <w:rPr>
                <w:rFonts w:ascii="Times New Roman" w:hAnsi="Times New Roman" w:cs="Times New Roman"/>
                <w:sz w:val="24"/>
                <w:szCs w:val="24"/>
              </w:rPr>
            </w:pPr>
            <w:r w:rsidRPr="00DE72D1">
              <w:rPr>
                <w:rFonts w:ascii="Times New Roman" w:hAnsi="Times New Roman" w:cs="Times New Roman"/>
                <w:sz w:val="24"/>
                <w:szCs w:val="24"/>
              </w:rPr>
              <w:lastRenderedPageBreak/>
              <w:t xml:space="preserve"> Mikroobide resistentsus (AMR) on oluline valdkondade ülene teema. Hetkel puuduvad usaldusväärsed andmed ja uurimismeetodid mikroobide resistentsuse olukorra hindamiseks veekeskkonnas. Teadmiste suurendamiseks on vaja kehtestada seirekohustus </w:t>
            </w:r>
            <w:proofErr w:type="spellStart"/>
            <w:r w:rsidRPr="00DE72D1">
              <w:rPr>
                <w:rFonts w:ascii="Times New Roman" w:hAnsi="Times New Roman" w:cs="Times New Roman"/>
                <w:sz w:val="24"/>
                <w:szCs w:val="24"/>
              </w:rPr>
              <w:t>AMR-i</w:t>
            </w:r>
            <w:proofErr w:type="spellEnd"/>
            <w:r w:rsidRPr="00DE72D1">
              <w:rPr>
                <w:rFonts w:ascii="Times New Roman" w:hAnsi="Times New Roman" w:cs="Times New Roman"/>
                <w:sz w:val="24"/>
                <w:szCs w:val="24"/>
              </w:rPr>
              <w:t xml:space="preserve"> esinemise kohta, et saada vajalikke andmeid ja võtta tulevikus vastu asjakohaseid meetmeid. Toetame Üks Tervis põhimõttel lähenemist ravimijääkide ning antibiootikumresistentsete geenide seireks põhjavee, pinnavee ja asulareovee puhastamisel.</w:t>
            </w:r>
          </w:p>
          <w:p w14:paraId="6633AE5E" w14:textId="77777777" w:rsidR="00DE72D1" w:rsidRPr="00DE72D1" w:rsidRDefault="00DE72D1" w:rsidP="00DE72D1">
            <w:pPr>
              <w:jc w:val="both"/>
              <w:rPr>
                <w:rFonts w:ascii="Times New Roman" w:hAnsi="Times New Roman" w:cs="Times New Roman"/>
                <w:sz w:val="24"/>
                <w:szCs w:val="24"/>
              </w:rPr>
            </w:pPr>
          </w:p>
          <w:p w14:paraId="6A4D3BCF" w14:textId="14CC8587" w:rsidR="00DE72D1" w:rsidRDefault="00DE72D1" w:rsidP="00DE72D1">
            <w:pPr>
              <w:jc w:val="both"/>
              <w:rPr>
                <w:rFonts w:ascii="Times New Roman" w:hAnsi="Times New Roman" w:cs="Times New Roman"/>
                <w:sz w:val="24"/>
                <w:szCs w:val="24"/>
              </w:rPr>
            </w:pPr>
            <w:r w:rsidRPr="00DE72D1">
              <w:rPr>
                <w:rFonts w:ascii="Times New Roman" w:hAnsi="Times New Roman" w:cs="Times New Roman"/>
                <w:sz w:val="24"/>
                <w:szCs w:val="24"/>
              </w:rPr>
              <w:t> Taimekaitsevahendite jääkide seire puhul on oluline tagada seniste andmete ja metoodikate edaspidine võrreldavus nii Eestis, lähiriikid</w:t>
            </w:r>
            <w:r>
              <w:rPr>
                <w:rFonts w:ascii="Times New Roman" w:hAnsi="Times New Roman" w:cs="Times New Roman"/>
                <w:sz w:val="24"/>
                <w:szCs w:val="24"/>
              </w:rPr>
              <w:t xml:space="preserve">es kui ka Euroopa Liidus, eriti </w:t>
            </w:r>
            <w:r w:rsidRPr="00DE72D1">
              <w:rPr>
                <w:rFonts w:ascii="Times New Roman" w:hAnsi="Times New Roman" w:cs="Times New Roman"/>
                <w:sz w:val="24"/>
                <w:szCs w:val="24"/>
              </w:rPr>
              <w:t>kui muudetakse läviväärtuseid. Samuti on oluline lähtuda kohalikust põllumajandushooajast ehk taimekaitsevahendite seire planeerimisel tuleb arvestada nende kasutamise perioodiga, konkreetsete seiratavate toimeainete keemilise püsivuse ja lagunemisajaga vees ning teiste ainete koosmõjuga (informatsiooni olemasolu korral).</w:t>
            </w:r>
          </w:p>
          <w:p w14:paraId="052B38EE" w14:textId="77777777" w:rsidR="00DE72D1" w:rsidRPr="00DE72D1" w:rsidRDefault="00DE72D1" w:rsidP="00DE72D1">
            <w:pPr>
              <w:jc w:val="both"/>
              <w:rPr>
                <w:rFonts w:ascii="Times New Roman" w:hAnsi="Times New Roman" w:cs="Times New Roman"/>
                <w:sz w:val="24"/>
                <w:szCs w:val="24"/>
              </w:rPr>
            </w:pPr>
          </w:p>
          <w:p w14:paraId="2FFC69B0" w14:textId="77777777" w:rsidR="00DE72D1" w:rsidRDefault="00DE72D1" w:rsidP="00DE72D1">
            <w:pPr>
              <w:jc w:val="both"/>
              <w:rPr>
                <w:rFonts w:ascii="Times New Roman" w:hAnsi="Times New Roman" w:cs="Times New Roman"/>
                <w:sz w:val="24"/>
                <w:szCs w:val="24"/>
              </w:rPr>
            </w:pPr>
            <w:r w:rsidRPr="00DE72D1">
              <w:rPr>
                <w:rFonts w:ascii="Times New Roman" w:hAnsi="Times New Roman" w:cs="Times New Roman"/>
                <w:sz w:val="24"/>
                <w:szCs w:val="24"/>
              </w:rPr>
              <w:t xml:space="preserve"> Pinnavee ja põhjavee saasteainete nimekirja regulaarne ülevaatamine ja ajakohastamine, võttes arvesse teaduse ja tehnika arengut, on oluline keskkonna ja rahva tervise kaitsmisel. Rahva tervise kaitse eesmärgil on oluline, et saasteainete sisaldus pinna- ja põhjavees oleks toksikoloogiliselt vastuvõetaval tasemel ning saasteainete piirmäärad/kvaliteedistandardid seatakse piisavalt madalad, seejuures arvestades vee kui kokkupuute allika osatähtsust, ainete </w:t>
            </w:r>
            <w:proofErr w:type="spellStart"/>
            <w:r w:rsidRPr="00DE72D1">
              <w:rPr>
                <w:rFonts w:ascii="Times New Roman" w:hAnsi="Times New Roman" w:cs="Times New Roman"/>
                <w:sz w:val="24"/>
                <w:szCs w:val="24"/>
              </w:rPr>
              <w:t>bioakumuleeruvuse</w:t>
            </w:r>
            <w:proofErr w:type="spellEnd"/>
            <w:r w:rsidRPr="00DE72D1">
              <w:rPr>
                <w:rFonts w:ascii="Times New Roman" w:hAnsi="Times New Roman" w:cs="Times New Roman"/>
                <w:sz w:val="24"/>
                <w:szCs w:val="24"/>
              </w:rPr>
              <w:t xml:space="preserve"> võimet ning laborite analüütilist võimekust. Näiteks </w:t>
            </w:r>
            <w:proofErr w:type="spellStart"/>
            <w:r w:rsidRPr="00DE72D1">
              <w:rPr>
                <w:rFonts w:ascii="Times New Roman" w:hAnsi="Times New Roman" w:cs="Times New Roman"/>
                <w:sz w:val="24"/>
                <w:szCs w:val="24"/>
              </w:rPr>
              <w:t>perfluoroalküülühendite</w:t>
            </w:r>
            <w:proofErr w:type="spellEnd"/>
            <w:r w:rsidRPr="00DE72D1">
              <w:rPr>
                <w:rFonts w:ascii="Times New Roman" w:hAnsi="Times New Roman" w:cs="Times New Roman"/>
                <w:sz w:val="24"/>
                <w:szCs w:val="24"/>
              </w:rPr>
              <w:t xml:space="preserve"> (PFAS) osas on Euroopa Toiduohutusamet oma arvamuses jõudnud järeldusele, et osa Euroopa elanikkonnast saab toiduga PFAS-e koguses, mis ületab </w:t>
            </w:r>
            <w:proofErr w:type="spellStart"/>
            <w:r w:rsidRPr="00DE72D1">
              <w:rPr>
                <w:rFonts w:ascii="Times New Roman" w:hAnsi="Times New Roman" w:cs="Times New Roman"/>
                <w:sz w:val="24"/>
                <w:szCs w:val="24"/>
              </w:rPr>
              <w:t>ohutuslävendit</w:t>
            </w:r>
            <w:proofErr w:type="spellEnd"/>
            <w:r w:rsidRPr="00DE72D1">
              <w:rPr>
                <w:rFonts w:ascii="Times New Roman" w:hAnsi="Times New Roman" w:cs="Times New Roman"/>
                <w:sz w:val="24"/>
                <w:szCs w:val="24"/>
              </w:rPr>
              <w:t xml:space="preserve"> (lubatav (talutav) nädalakogus (TWI) 4.4 </w:t>
            </w:r>
            <w:proofErr w:type="spellStart"/>
            <w:r w:rsidRPr="00DE72D1">
              <w:rPr>
                <w:rFonts w:ascii="Times New Roman" w:hAnsi="Times New Roman" w:cs="Times New Roman"/>
                <w:sz w:val="24"/>
                <w:szCs w:val="24"/>
              </w:rPr>
              <w:t>ng</w:t>
            </w:r>
            <w:proofErr w:type="spellEnd"/>
            <w:r w:rsidRPr="00DE72D1">
              <w:rPr>
                <w:rFonts w:ascii="Times New Roman" w:hAnsi="Times New Roman" w:cs="Times New Roman"/>
                <w:sz w:val="24"/>
                <w:szCs w:val="24"/>
              </w:rPr>
              <w:t xml:space="preserve"> kehakaalu kg kohta nädalas). Seetõttu on oluline vähendada kokkupuudet PFAS-</w:t>
            </w:r>
            <w:proofErr w:type="spellStart"/>
            <w:r w:rsidRPr="00DE72D1">
              <w:rPr>
                <w:rFonts w:ascii="Times New Roman" w:hAnsi="Times New Roman" w:cs="Times New Roman"/>
                <w:sz w:val="24"/>
                <w:szCs w:val="24"/>
              </w:rPr>
              <w:t>idega</w:t>
            </w:r>
            <w:proofErr w:type="spellEnd"/>
            <w:r w:rsidRPr="00DE72D1">
              <w:rPr>
                <w:rFonts w:ascii="Times New Roman" w:hAnsi="Times New Roman" w:cs="Times New Roman"/>
                <w:sz w:val="24"/>
                <w:szCs w:val="24"/>
              </w:rPr>
              <w:t xml:space="preserve"> ning võtta järelmeetmeid, et vältida nende kandumist toitu, sööta ning joogivette, sh loomade joogivette.</w:t>
            </w:r>
          </w:p>
          <w:p w14:paraId="67B536EB" w14:textId="77777777" w:rsidR="00DE72D1" w:rsidRPr="00DE72D1" w:rsidRDefault="00DE72D1" w:rsidP="00DE72D1">
            <w:pPr>
              <w:jc w:val="both"/>
              <w:rPr>
                <w:rFonts w:ascii="Times New Roman" w:hAnsi="Times New Roman" w:cs="Times New Roman"/>
                <w:sz w:val="24"/>
                <w:szCs w:val="24"/>
              </w:rPr>
            </w:pPr>
          </w:p>
          <w:p w14:paraId="64176408" w14:textId="016F5796" w:rsidR="00AA09F9" w:rsidRPr="009A55B8" w:rsidRDefault="00DE72D1" w:rsidP="00DE72D1">
            <w:pPr>
              <w:jc w:val="both"/>
              <w:rPr>
                <w:rFonts w:ascii="Times New Roman" w:hAnsi="Times New Roman" w:cs="Times New Roman"/>
                <w:sz w:val="24"/>
                <w:szCs w:val="24"/>
              </w:rPr>
            </w:pPr>
            <w:r w:rsidRPr="00DE72D1">
              <w:rPr>
                <w:rFonts w:ascii="Times New Roman" w:hAnsi="Times New Roman" w:cs="Times New Roman"/>
                <w:sz w:val="24"/>
                <w:szCs w:val="24"/>
              </w:rPr>
              <w:lastRenderedPageBreak/>
              <w:t xml:space="preserve"> Puhastatud reovee laialdasemal taaskasutusel nähakse leevendust toime tulla üha suureneva survega veevarudele. On oluline, et puhastatud asulareovee taaskasutamisel, näiteks niisutamise eesmärgil põllumajanduses, järgitakse juba reovee puhastamisel lisaks vee taaskasutuse miinimumnõuetele (määrus (EL) 2020/741) ka muid eriseadustest tulenevaid nõudeid (näiteks nõuded, mis on sätestatud määrustes (EÜ) nr 1881/2006 (teatud toidu saasteainete piirnormid toidus), (EÜ) nr 396/2005 (pestitsiidide jääkide piirnormid), (EÜ) nr 183/2005 (söödahügieen) jne), et taaskasutusvee kasutamine ei tooks kaasa toodangu saastumist. Näiteks pöörati viimasel aastakümnel suuremat tähelepanu erinevates riikides </w:t>
            </w:r>
            <w:proofErr w:type="spellStart"/>
            <w:r w:rsidRPr="00DE72D1">
              <w:rPr>
                <w:rFonts w:ascii="Times New Roman" w:hAnsi="Times New Roman" w:cs="Times New Roman"/>
                <w:sz w:val="24"/>
                <w:szCs w:val="24"/>
              </w:rPr>
              <w:t>perkloraadi</w:t>
            </w:r>
            <w:proofErr w:type="spellEnd"/>
            <w:r w:rsidRPr="00DE72D1">
              <w:rPr>
                <w:rFonts w:ascii="Times New Roman" w:hAnsi="Times New Roman" w:cs="Times New Roman"/>
                <w:sz w:val="24"/>
                <w:szCs w:val="24"/>
              </w:rPr>
              <w:t xml:space="preserve"> sisaldusele puu- ja köögiviljades. </w:t>
            </w:r>
            <w:proofErr w:type="spellStart"/>
            <w:r w:rsidRPr="00DE72D1">
              <w:rPr>
                <w:rFonts w:ascii="Times New Roman" w:hAnsi="Times New Roman" w:cs="Times New Roman"/>
                <w:sz w:val="24"/>
                <w:szCs w:val="24"/>
              </w:rPr>
              <w:t>Perkloraate</w:t>
            </w:r>
            <w:proofErr w:type="spellEnd"/>
            <w:r w:rsidRPr="00DE72D1">
              <w:rPr>
                <w:rFonts w:ascii="Times New Roman" w:hAnsi="Times New Roman" w:cs="Times New Roman"/>
                <w:sz w:val="24"/>
                <w:szCs w:val="24"/>
              </w:rPr>
              <w:t xml:space="preserve"> leidub nii looduslikult keskkonnas (võib moodustuda atmosfääris ning </w:t>
            </w:r>
            <w:proofErr w:type="spellStart"/>
            <w:r w:rsidRPr="00DE72D1">
              <w:rPr>
                <w:rFonts w:ascii="Times New Roman" w:hAnsi="Times New Roman" w:cs="Times New Roman"/>
                <w:sz w:val="24"/>
                <w:szCs w:val="24"/>
              </w:rPr>
              <w:t>sadeneda</w:t>
            </w:r>
            <w:proofErr w:type="spellEnd"/>
            <w:r w:rsidRPr="00DE72D1">
              <w:rPr>
                <w:rFonts w:ascii="Times New Roman" w:hAnsi="Times New Roman" w:cs="Times New Roman"/>
                <w:sz w:val="24"/>
                <w:szCs w:val="24"/>
              </w:rPr>
              <w:t xml:space="preserve"> pinnasesse, põhjavette) kui inimtegevuse tulemusena (lämmastikväetiste kasutamine, </w:t>
            </w:r>
            <w:proofErr w:type="spellStart"/>
            <w:r w:rsidRPr="00DE72D1">
              <w:rPr>
                <w:rFonts w:ascii="Times New Roman" w:hAnsi="Times New Roman" w:cs="Times New Roman"/>
                <w:sz w:val="24"/>
                <w:szCs w:val="24"/>
              </w:rPr>
              <w:t>ammoniumperkloraadi</w:t>
            </w:r>
            <w:proofErr w:type="spellEnd"/>
            <w:r w:rsidRPr="00DE72D1">
              <w:rPr>
                <w:rFonts w:ascii="Times New Roman" w:hAnsi="Times New Roman" w:cs="Times New Roman"/>
                <w:sz w:val="24"/>
                <w:szCs w:val="24"/>
              </w:rPr>
              <w:t xml:space="preserve"> valmistamisel ja kasutamisel ning muu tööstustegevus – metallitööstus, plasti tootmine). Toit saastub </w:t>
            </w:r>
            <w:proofErr w:type="spellStart"/>
            <w:r w:rsidRPr="00DE72D1">
              <w:rPr>
                <w:rFonts w:ascii="Times New Roman" w:hAnsi="Times New Roman" w:cs="Times New Roman"/>
                <w:sz w:val="24"/>
                <w:szCs w:val="24"/>
              </w:rPr>
              <w:t>perkloraatidega</w:t>
            </w:r>
            <w:proofErr w:type="spellEnd"/>
            <w:r w:rsidRPr="00DE72D1">
              <w:rPr>
                <w:rFonts w:ascii="Times New Roman" w:hAnsi="Times New Roman" w:cs="Times New Roman"/>
                <w:sz w:val="24"/>
                <w:szCs w:val="24"/>
              </w:rPr>
              <w:t xml:space="preserve"> vee, pinnase ja väetiste kasutamise kaudu.</w:t>
            </w:r>
          </w:p>
        </w:tc>
        <w:tc>
          <w:tcPr>
            <w:tcW w:w="5670" w:type="dxa"/>
          </w:tcPr>
          <w:p w14:paraId="70657B6B" w14:textId="50C3CFCD" w:rsidR="008336AD" w:rsidRPr="009A55B8" w:rsidRDefault="00151664" w:rsidP="008336AD">
            <w:pPr>
              <w:rPr>
                <w:rFonts w:ascii="Times New Roman" w:hAnsi="Times New Roman" w:cs="Times New Roman"/>
                <w:sz w:val="24"/>
                <w:szCs w:val="24"/>
              </w:rPr>
            </w:pPr>
            <w:r>
              <w:rPr>
                <w:rFonts w:ascii="Times New Roman" w:hAnsi="Times New Roman" w:cs="Times New Roman"/>
                <w:sz w:val="24"/>
                <w:szCs w:val="24"/>
              </w:rPr>
              <w:lastRenderedPageBreak/>
              <w:t>Arvestatud</w:t>
            </w:r>
          </w:p>
        </w:tc>
      </w:tr>
      <w:tr w:rsidR="00AA09F9" w:rsidRPr="009A55B8" w14:paraId="667C12A2" w14:textId="77777777" w:rsidTr="002F7278">
        <w:tc>
          <w:tcPr>
            <w:tcW w:w="2263" w:type="dxa"/>
          </w:tcPr>
          <w:p w14:paraId="3146C711" w14:textId="54E0BDCF" w:rsidR="00AA09F9" w:rsidRPr="00AA09F9" w:rsidRDefault="00DE72D1" w:rsidP="00AA09F9">
            <w:pPr>
              <w:rPr>
                <w:rFonts w:ascii="Times New Roman" w:hAnsi="Times New Roman" w:cs="Times New Roman"/>
                <w:sz w:val="24"/>
                <w:szCs w:val="24"/>
              </w:rPr>
            </w:pPr>
            <w:r>
              <w:rPr>
                <w:rFonts w:ascii="Times New Roman" w:hAnsi="Times New Roman" w:cs="Times New Roman"/>
                <w:sz w:val="24"/>
                <w:szCs w:val="24"/>
              </w:rPr>
              <w:lastRenderedPageBreak/>
              <w:t>Keskkonnaagentuur</w:t>
            </w:r>
          </w:p>
        </w:tc>
        <w:tc>
          <w:tcPr>
            <w:tcW w:w="6804" w:type="dxa"/>
          </w:tcPr>
          <w:p w14:paraId="209D852A" w14:textId="2C961FB4" w:rsidR="00AA09F9" w:rsidRPr="00AA09F9" w:rsidRDefault="00DE72D1" w:rsidP="00AA09F9">
            <w:pPr>
              <w:jc w:val="both"/>
              <w:rPr>
                <w:rFonts w:ascii="Times New Roman" w:hAnsi="Times New Roman" w:cs="Times New Roman"/>
                <w:sz w:val="24"/>
                <w:szCs w:val="24"/>
              </w:rPr>
            </w:pPr>
            <w:r w:rsidRPr="00DE72D1">
              <w:rPr>
                <w:rFonts w:ascii="Times New Roman" w:hAnsi="Times New Roman" w:cs="Times New Roman"/>
                <w:sz w:val="24"/>
                <w:szCs w:val="24"/>
              </w:rPr>
              <w:t xml:space="preserve">Anname teada, et </w:t>
            </w:r>
            <w:proofErr w:type="spellStart"/>
            <w:r w:rsidRPr="00DE72D1">
              <w:rPr>
                <w:rFonts w:ascii="Times New Roman" w:hAnsi="Times New Roman" w:cs="Times New Roman"/>
                <w:sz w:val="24"/>
                <w:szCs w:val="24"/>
              </w:rPr>
              <w:t>Keskkonnagentuuril</w:t>
            </w:r>
            <w:proofErr w:type="spellEnd"/>
            <w:r w:rsidRPr="00DE72D1">
              <w:rPr>
                <w:rFonts w:ascii="Times New Roman" w:hAnsi="Times New Roman" w:cs="Times New Roman"/>
                <w:sz w:val="24"/>
                <w:szCs w:val="24"/>
              </w:rPr>
              <w:t xml:space="preserve"> sisulisi ettepanekuid ei ole. Küll aga soovime juhtida tähelepanu, et täiendavate kohustuste rakendamisel peab tekkima ka vastav eelarveline kate nende täitmiseks (täiendavate prioriteetsete ainete seire juhul, kui ei ole integreeritav) ja meetmete karmistamiste ja uute nõuete kehtestamisega peaks kaasas käima ka toetuste pakett ettevõtetele, eelkõige vee-ettevõtetele.</w:t>
            </w:r>
          </w:p>
        </w:tc>
        <w:tc>
          <w:tcPr>
            <w:tcW w:w="5670" w:type="dxa"/>
          </w:tcPr>
          <w:p w14:paraId="560A5C19" w14:textId="5F2E9CF2" w:rsidR="00AA09F9" w:rsidRPr="009A55B8" w:rsidRDefault="00151664" w:rsidP="008336AD">
            <w:pPr>
              <w:rPr>
                <w:rFonts w:ascii="Times New Roman" w:hAnsi="Times New Roman" w:cs="Times New Roman"/>
                <w:sz w:val="24"/>
                <w:szCs w:val="24"/>
              </w:rPr>
            </w:pPr>
            <w:r>
              <w:rPr>
                <w:rFonts w:ascii="Times New Roman" w:hAnsi="Times New Roman" w:cs="Times New Roman"/>
                <w:sz w:val="24"/>
                <w:szCs w:val="24"/>
              </w:rPr>
              <w:t>Arvestatud</w:t>
            </w:r>
          </w:p>
        </w:tc>
      </w:tr>
      <w:tr w:rsidR="00DE72D1" w:rsidRPr="009A55B8" w14:paraId="13EA157D" w14:textId="77777777" w:rsidTr="00D44837">
        <w:tc>
          <w:tcPr>
            <w:tcW w:w="2263" w:type="dxa"/>
          </w:tcPr>
          <w:p w14:paraId="3DA689D8" w14:textId="7FD6DC65" w:rsidR="00DE72D1" w:rsidRPr="00AA09F9" w:rsidRDefault="00DE72D1" w:rsidP="00D44837">
            <w:pPr>
              <w:rPr>
                <w:rFonts w:ascii="Times New Roman" w:hAnsi="Times New Roman" w:cs="Times New Roman"/>
                <w:sz w:val="24"/>
                <w:szCs w:val="24"/>
              </w:rPr>
            </w:pPr>
            <w:r w:rsidRPr="00DE72D1">
              <w:rPr>
                <w:rFonts w:ascii="Times New Roman" w:hAnsi="Times New Roman" w:cs="Times New Roman"/>
                <w:sz w:val="24"/>
                <w:szCs w:val="24"/>
              </w:rPr>
              <w:t>Eesti Vee-ettevõtete Liit</w:t>
            </w:r>
          </w:p>
        </w:tc>
        <w:tc>
          <w:tcPr>
            <w:tcW w:w="6804" w:type="dxa"/>
          </w:tcPr>
          <w:p w14:paraId="792C5389" w14:textId="77777777" w:rsidR="00DE72D1" w:rsidRPr="00DE72D1" w:rsidRDefault="00DE72D1" w:rsidP="00DE72D1">
            <w:pPr>
              <w:jc w:val="both"/>
              <w:rPr>
                <w:rFonts w:ascii="Times New Roman" w:hAnsi="Times New Roman" w:cs="Times New Roman"/>
                <w:sz w:val="24"/>
                <w:szCs w:val="24"/>
              </w:rPr>
            </w:pPr>
            <w:r w:rsidRPr="00DE72D1">
              <w:rPr>
                <w:rFonts w:ascii="Times New Roman" w:hAnsi="Times New Roman" w:cs="Times New Roman"/>
                <w:sz w:val="24"/>
                <w:szCs w:val="24"/>
              </w:rPr>
              <w:t>Eesti Vee-ettevõtete Liit tänab võimaluse eest esitada ELi nullsaaste paketi osas oma seisukohad. Vee-ettevõtted seisavad selle eest, et puhas vesi oleks inimestele ja ökosüsteemile igapäevaselt kättesaadav, kuid kliimaneutraalsuse eesmärkide täitmisel ei tohi tähelepanuta jätta, et kvaliteetne veeteenus peab jääma kättesaadavaks kõigile tarbijatele ka tulevikus.</w:t>
            </w:r>
          </w:p>
          <w:p w14:paraId="348DA994" w14:textId="77777777" w:rsidR="00DE72D1" w:rsidRPr="00DE72D1" w:rsidRDefault="00DE72D1" w:rsidP="00DE72D1">
            <w:pPr>
              <w:jc w:val="both"/>
              <w:rPr>
                <w:rFonts w:ascii="Times New Roman" w:hAnsi="Times New Roman" w:cs="Times New Roman"/>
                <w:sz w:val="24"/>
                <w:szCs w:val="24"/>
              </w:rPr>
            </w:pPr>
          </w:p>
          <w:p w14:paraId="39AF6184" w14:textId="77777777" w:rsidR="00DE72D1" w:rsidRPr="00DE72D1" w:rsidRDefault="00DE72D1" w:rsidP="00DE72D1">
            <w:pPr>
              <w:jc w:val="both"/>
              <w:rPr>
                <w:rFonts w:ascii="Times New Roman" w:hAnsi="Times New Roman" w:cs="Times New Roman"/>
                <w:sz w:val="24"/>
                <w:szCs w:val="24"/>
              </w:rPr>
            </w:pPr>
            <w:r w:rsidRPr="00DE72D1">
              <w:rPr>
                <w:rFonts w:ascii="Times New Roman" w:hAnsi="Times New Roman" w:cs="Times New Roman"/>
                <w:sz w:val="24"/>
                <w:szCs w:val="24"/>
              </w:rPr>
              <w:t xml:space="preserve">Euroopa Komisjoni uus asulareovee puhastamise direktiivi ettepanek juhib reovee sektorit kliima- ja energianeutraalsuse suunas, samas nihutades oluliselt ka reovee puhastamise piirnorme järjest </w:t>
            </w:r>
            <w:r w:rsidRPr="00DE72D1">
              <w:rPr>
                <w:rFonts w:ascii="Times New Roman" w:hAnsi="Times New Roman" w:cs="Times New Roman"/>
                <w:sz w:val="24"/>
                <w:szCs w:val="24"/>
              </w:rPr>
              <w:lastRenderedPageBreak/>
              <w:t>rangemaks. ELi nullsaaste pakett sisaldab hulgaliselt ambitsioonikaid ja innovatiivseid lähenemisi reovee kogumise ja puhastamise nõuete osas, mis juhinduvad rohelise kokkuleppe ja nullsaaste eesmärkidest, kuid seejuures ei saa ära unustada nende eesmärkide saavutamiseks vajaminevate investeeringute ulatust. Peame omalt poolt äärmiselt oluliseks, et täiendavate investeeringute tulemusena jääks veeteenus kõigile tarbijatele kättesaadavaks.</w:t>
            </w:r>
          </w:p>
          <w:p w14:paraId="183CDB20" w14:textId="77777777" w:rsidR="00DE72D1" w:rsidRPr="00DE72D1" w:rsidRDefault="00DE72D1" w:rsidP="00DE72D1">
            <w:pPr>
              <w:jc w:val="both"/>
              <w:rPr>
                <w:rFonts w:ascii="Times New Roman" w:hAnsi="Times New Roman" w:cs="Times New Roman"/>
                <w:sz w:val="24"/>
                <w:szCs w:val="24"/>
              </w:rPr>
            </w:pPr>
          </w:p>
          <w:p w14:paraId="71AF09C1" w14:textId="77777777" w:rsidR="00DE72D1" w:rsidRPr="00DE72D1" w:rsidRDefault="00DE72D1" w:rsidP="00DE72D1">
            <w:pPr>
              <w:jc w:val="both"/>
              <w:rPr>
                <w:rFonts w:ascii="Times New Roman" w:hAnsi="Times New Roman" w:cs="Times New Roman"/>
                <w:sz w:val="24"/>
                <w:szCs w:val="24"/>
              </w:rPr>
            </w:pPr>
            <w:r w:rsidRPr="00DE72D1">
              <w:rPr>
                <w:rFonts w:ascii="Times New Roman" w:hAnsi="Times New Roman" w:cs="Times New Roman"/>
                <w:sz w:val="24"/>
                <w:szCs w:val="24"/>
              </w:rPr>
              <w:t>Eesti Vee-ettevõtete Liidu liikmete näitel lämmastiku piirnorm 6 mg/l võib tähendada kogu mahutipargi ümberehitamist, online anduritega mõõteseadmeid ning automatiseeritumat protsessijuhtimist. Täna Eestis sellised teadmised ja kogemused puuduvad. Nullsaaste eesmärkide täitmisel tuleb arvestada ka sellega, et tehtavad investeeringud kogu oma elukaares ei põhjustaks loodusele suuremat jalajälge, kui saavutatav eesmärk ise. Tartu reoveepuhasti näitel juhitakse kogu heitvesi Emajõkke, mille pikaaegne keskmine vooluhulk on 72 m3/s. Tartu reoveepuhasti juhib Emajõkke aasta keskmisena 24 000 m3 heitvett ööpäevas ehk 278 l/s, mis tähendab et heitvee suhe jõevette on 1/259. Järelikult lämmastiku kontsentratsiooni muutus oleks 0,00000153 korda. Selle alusel julgeme väita, et lämmastiku normi viimine 6 mg/l on kokkuvõttes suurema keskkonna jalajäljega kui tänase piirnormi säilitamine. Oluline on ka arvestada, et selline normi muutus meie keskkonna seisundit ei parandaks. Samas aga investeeringu suurus vee-ettevõttele oleks kuni 20 mln eurot.</w:t>
            </w:r>
          </w:p>
          <w:p w14:paraId="6316149E" w14:textId="77777777" w:rsidR="00DE72D1" w:rsidRPr="00DE72D1" w:rsidRDefault="00DE72D1" w:rsidP="00DE72D1">
            <w:pPr>
              <w:jc w:val="both"/>
              <w:rPr>
                <w:rFonts w:ascii="Times New Roman" w:hAnsi="Times New Roman" w:cs="Times New Roman"/>
                <w:sz w:val="24"/>
                <w:szCs w:val="24"/>
              </w:rPr>
            </w:pPr>
          </w:p>
          <w:p w14:paraId="6121D3A1" w14:textId="77777777" w:rsidR="00DE72D1" w:rsidRPr="00DE72D1" w:rsidRDefault="00DE72D1" w:rsidP="00DE72D1">
            <w:pPr>
              <w:jc w:val="both"/>
              <w:rPr>
                <w:rFonts w:ascii="Times New Roman" w:hAnsi="Times New Roman" w:cs="Times New Roman"/>
                <w:sz w:val="24"/>
                <w:szCs w:val="24"/>
              </w:rPr>
            </w:pPr>
            <w:r w:rsidRPr="00DE72D1">
              <w:rPr>
                <w:rFonts w:ascii="Times New Roman" w:hAnsi="Times New Roman" w:cs="Times New Roman"/>
                <w:sz w:val="24"/>
                <w:szCs w:val="24"/>
              </w:rPr>
              <w:t>Neljanda astme puhastus tähendaks vee-ettevõtjatele 10 kuni 100 mln suurust investeeringut sõltuvalt puhasti suurusest, kuid seejuures tuleb arvesse võtta ka kaasnevat suuremat energiatarvet ning suuremaid hooldus- ja materjalikulusid. Sademevee lahkvoolseks ehitamise investeering võib küündida aga lausa 500 mln euroni.</w:t>
            </w:r>
          </w:p>
          <w:p w14:paraId="69C0A658" w14:textId="77777777" w:rsidR="00DE72D1" w:rsidRPr="00DE72D1" w:rsidRDefault="00DE72D1" w:rsidP="00DE72D1">
            <w:pPr>
              <w:jc w:val="both"/>
              <w:rPr>
                <w:rFonts w:ascii="Times New Roman" w:hAnsi="Times New Roman" w:cs="Times New Roman"/>
                <w:sz w:val="24"/>
                <w:szCs w:val="24"/>
              </w:rPr>
            </w:pPr>
          </w:p>
          <w:p w14:paraId="1EBA7C86" w14:textId="77777777" w:rsidR="00DE72D1" w:rsidRPr="00DE72D1" w:rsidRDefault="00DE72D1" w:rsidP="00DE72D1">
            <w:pPr>
              <w:jc w:val="both"/>
              <w:rPr>
                <w:rFonts w:ascii="Times New Roman" w:hAnsi="Times New Roman" w:cs="Times New Roman"/>
                <w:sz w:val="24"/>
                <w:szCs w:val="24"/>
              </w:rPr>
            </w:pPr>
            <w:r w:rsidRPr="00DE72D1">
              <w:rPr>
                <w:rFonts w:ascii="Times New Roman" w:hAnsi="Times New Roman" w:cs="Times New Roman"/>
                <w:sz w:val="24"/>
                <w:szCs w:val="24"/>
              </w:rPr>
              <w:t xml:space="preserve">Omalt poolt leiame, et Eestis on võimalik suur samm ära teha energianeutraalsuse saavutamiseks läbi reoveesette käitlemise. Selleks tuleks Eestis reoveesete töödelda tsentraalsetes </w:t>
            </w:r>
            <w:proofErr w:type="spellStart"/>
            <w:r w:rsidRPr="00DE72D1">
              <w:rPr>
                <w:rFonts w:ascii="Times New Roman" w:hAnsi="Times New Roman" w:cs="Times New Roman"/>
                <w:sz w:val="24"/>
                <w:szCs w:val="24"/>
              </w:rPr>
              <w:lastRenderedPageBreak/>
              <w:t>biogaasijaamades</w:t>
            </w:r>
            <w:proofErr w:type="spellEnd"/>
            <w:r w:rsidRPr="00DE72D1">
              <w:rPr>
                <w:rFonts w:ascii="Times New Roman" w:hAnsi="Times New Roman" w:cs="Times New Roman"/>
                <w:sz w:val="24"/>
                <w:szCs w:val="24"/>
              </w:rPr>
              <w:t xml:space="preserve"> koos muude </w:t>
            </w:r>
            <w:proofErr w:type="spellStart"/>
            <w:r w:rsidRPr="00DE72D1">
              <w:rPr>
                <w:rFonts w:ascii="Times New Roman" w:hAnsi="Times New Roman" w:cs="Times New Roman"/>
                <w:sz w:val="24"/>
                <w:szCs w:val="24"/>
              </w:rPr>
              <w:t>biojäätmetega</w:t>
            </w:r>
            <w:proofErr w:type="spellEnd"/>
            <w:r w:rsidRPr="00DE72D1">
              <w:rPr>
                <w:rFonts w:ascii="Times New Roman" w:hAnsi="Times New Roman" w:cs="Times New Roman"/>
                <w:sz w:val="24"/>
                <w:szCs w:val="24"/>
              </w:rPr>
              <w:t>. Tänane seadusandlus ja toetusmeetmed seda ei soosi, mistõttu leiame, et reoveesettealane seadusandlus vajaks kliimaneutraalsuse eesmärkide täitmiseks olulist täiendust. Joogiveetöötlusjaamades ja reoveepuhastites on võimalik kliimaneutraalsuse eesmärke täita läbi taastuvate energiaallikate nagu päikese- ja tuuleparkide rajamine.</w:t>
            </w:r>
          </w:p>
          <w:p w14:paraId="7347F280" w14:textId="77777777" w:rsidR="00DE72D1" w:rsidRPr="00DE72D1" w:rsidRDefault="00DE72D1" w:rsidP="00DE72D1">
            <w:pPr>
              <w:jc w:val="both"/>
              <w:rPr>
                <w:rFonts w:ascii="Times New Roman" w:hAnsi="Times New Roman" w:cs="Times New Roman"/>
                <w:sz w:val="24"/>
                <w:szCs w:val="24"/>
              </w:rPr>
            </w:pPr>
          </w:p>
          <w:p w14:paraId="2A2EFFD4" w14:textId="77777777" w:rsidR="00DE72D1" w:rsidRPr="00DE72D1" w:rsidRDefault="00DE72D1" w:rsidP="00DE72D1">
            <w:pPr>
              <w:jc w:val="both"/>
              <w:rPr>
                <w:rFonts w:ascii="Times New Roman" w:hAnsi="Times New Roman" w:cs="Times New Roman"/>
                <w:sz w:val="24"/>
                <w:szCs w:val="24"/>
              </w:rPr>
            </w:pPr>
            <w:r w:rsidRPr="00DE72D1">
              <w:rPr>
                <w:rFonts w:ascii="Times New Roman" w:hAnsi="Times New Roman" w:cs="Times New Roman"/>
                <w:sz w:val="24"/>
                <w:szCs w:val="24"/>
              </w:rPr>
              <w:t>Komisjoni ettepanek sisaldab meie hinnangul ka mitmeid positiivseid aspekte. Vee-ettevõtete Liit peab oluliseks, et Euroopa Komisjon on asulareovee puhastamise direktiivi ettepanekus pidanud oluliseks pöörata enam tähelepanu saastaja maksab põhimõtte rakendamisele. Peame samuti oluliseks, et saastaja maksab põhimõte rakenduks kõikides sektorites ja sellisel kujul, mis võimaldaks ka tööstusheiteid paremini kontrollida. Ainult juhul, kui kõik sektorid panustavad võrdselt veekeskkonna kaitsmisse, saame loota ka edukaid tulemusi keskkonnaseisundi paranemises. Seetõttu peame vajalikuks, et saaste tekkekohad oleksid kontrolli alla võetud ja rakendatud ka vajalikud meetmed. Koos efektiivse tootjavastutuse põhimõtte rakendamisega saame vähendada kõige efektiivsemalt näiteks ravimi ja kosmeetika sektoritest pärinevaid negatiivseid mõjusid veekeskkonnale. Ilma tõhusa tootjavastutuse põhimõtte rakendamiseta puuduksid ka vajalikud finantsvahendid neljanda astme puhastuse väljaehitamiseks.</w:t>
            </w:r>
          </w:p>
          <w:p w14:paraId="68192E12" w14:textId="77777777" w:rsidR="00DE72D1" w:rsidRPr="00DE72D1" w:rsidRDefault="00DE72D1" w:rsidP="00DE72D1">
            <w:pPr>
              <w:jc w:val="both"/>
              <w:rPr>
                <w:rFonts w:ascii="Times New Roman" w:hAnsi="Times New Roman" w:cs="Times New Roman"/>
                <w:sz w:val="24"/>
                <w:szCs w:val="24"/>
              </w:rPr>
            </w:pPr>
          </w:p>
          <w:p w14:paraId="29096260" w14:textId="77777777" w:rsidR="00DE72D1" w:rsidRPr="00DE72D1" w:rsidRDefault="00DE72D1" w:rsidP="00DE72D1">
            <w:pPr>
              <w:jc w:val="both"/>
              <w:rPr>
                <w:rFonts w:ascii="Times New Roman" w:hAnsi="Times New Roman" w:cs="Times New Roman"/>
                <w:sz w:val="24"/>
                <w:szCs w:val="24"/>
              </w:rPr>
            </w:pPr>
            <w:r w:rsidRPr="00DE72D1">
              <w:rPr>
                <w:rFonts w:ascii="Times New Roman" w:hAnsi="Times New Roman" w:cs="Times New Roman"/>
                <w:sz w:val="24"/>
                <w:szCs w:val="24"/>
              </w:rPr>
              <w:t xml:space="preserve">Komisjoni ettepanek sisaldab ka sademevee kogumise ja puhastamise täiendavat reguleerimist. See on suur väljakutse eelkõige kohalikele omavalitsustele ja vee-ettevõtetele, kes peavad võitlema kliimamuutuste tagajärgedega. Ka siin ei saa jätta kohalikke omavalitsusi ja vee-ettevõtjaid üksi, vajalikud meetmed sademeveesüsteemide lahkvoolseks ehitamiseks tuleb meie hinnangul võtta riiklikuks prioriteediks. Valingvihmad tuleks juhtida otse loodusesse, et kaitsta reoveepuhasteid hüdraulilise löökkoormuse eest, mis võivad tekitada puhastites pikaaegseid häireid. Seejuures ei tohi ära unustada, et mitmed sademevee üleujutustega seotud probleemid on alguse saanud planeeringutest. </w:t>
            </w:r>
            <w:r w:rsidRPr="00DE72D1">
              <w:rPr>
                <w:rFonts w:ascii="Times New Roman" w:hAnsi="Times New Roman" w:cs="Times New Roman"/>
                <w:sz w:val="24"/>
                <w:szCs w:val="24"/>
              </w:rPr>
              <w:lastRenderedPageBreak/>
              <w:t>Oleme seisukohal, et vett mitteläbilaskvate pindade rajamine tiheasustusaladel peaks olema tõhusamalt reguleeritud, kuna need ainult võimendavad lühiajaliste intensiivsete valingvihmadega kaasnevaid probleeme.</w:t>
            </w:r>
          </w:p>
          <w:p w14:paraId="680FBDB0" w14:textId="77777777" w:rsidR="00DE72D1" w:rsidRPr="00DE72D1" w:rsidRDefault="00DE72D1" w:rsidP="00DE72D1">
            <w:pPr>
              <w:jc w:val="both"/>
              <w:rPr>
                <w:rFonts w:ascii="Times New Roman" w:hAnsi="Times New Roman" w:cs="Times New Roman"/>
                <w:sz w:val="24"/>
                <w:szCs w:val="24"/>
              </w:rPr>
            </w:pPr>
          </w:p>
          <w:p w14:paraId="3EECE759" w14:textId="77777777" w:rsidR="00DE72D1" w:rsidRPr="00DE72D1" w:rsidRDefault="00DE72D1" w:rsidP="00DE72D1">
            <w:pPr>
              <w:jc w:val="both"/>
              <w:rPr>
                <w:rFonts w:ascii="Times New Roman" w:hAnsi="Times New Roman" w:cs="Times New Roman"/>
                <w:sz w:val="24"/>
                <w:szCs w:val="24"/>
              </w:rPr>
            </w:pPr>
            <w:r w:rsidRPr="00DE72D1">
              <w:rPr>
                <w:rFonts w:ascii="Times New Roman" w:hAnsi="Times New Roman" w:cs="Times New Roman"/>
                <w:sz w:val="24"/>
                <w:szCs w:val="24"/>
              </w:rPr>
              <w:t>Nõustume Komisjoni ettepanekutega, et veesektorisse tuleb panustada, ei aidata kaasa kliima- ja energianeutraalsuse eesmärkide saavutamisse, kuid seejuures tuleb arvestada ka kaasnevaid kulusid ning vajalike investeeringute finantseerimise allikaid. Vee-ettevõtted on täna kaotanud suure osa oma investeerimisvõimest, kuna energiakriisi tulemusena on suur osa iga-aastasteks investeeringuteks kogutud vahendid kasutatud elektriarvete tasumiseks. Seetõttu puuduvad vee-ettevõtetel täna piisavad vahendid olemasolevate nõuete täitmiseks, rääkimata uute ambitsioonikate eesmärkide elluviimisest.</w:t>
            </w:r>
          </w:p>
          <w:p w14:paraId="21741614" w14:textId="77777777" w:rsidR="00DE72D1" w:rsidRPr="00DE72D1" w:rsidRDefault="00DE72D1" w:rsidP="00DE72D1">
            <w:pPr>
              <w:jc w:val="both"/>
              <w:rPr>
                <w:rFonts w:ascii="Times New Roman" w:hAnsi="Times New Roman" w:cs="Times New Roman"/>
                <w:sz w:val="24"/>
                <w:szCs w:val="24"/>
              </w:rPr>
            </w:pPr>
          </w:p>
          <w:p w14:paraId="390307E0" w14:textId="7D7FC172" w:rsidR="00DE72D1" w:rsidRPr="00AA09F9" w:rsidRDefault="00DE72D1" w:rsidP="00DE72D1">
            <w:pPr>
              <w:jc w:val="both"/>
              <w:rPr>
                <w:rFonts w:ascii="Times New Roman" w:hAnsi="Times New Roman" w:cs="Times New Roman"/>
                <w:sz w:val="24"/>
                <w:szCs w:val="24"/>
              </w:rPr>
            </w:pPr>
            <w:r w:rsidRPr="00DE72D1">
              <w:rPr>
                <w:rFonts w:ascii="Times New Roman" w:hAnsi="Times New Roman" w:cs="Times New Roman"/>
                <w:sz w:val="24"/>
                <w:szCs w:val="24"/>
              </w:rPr>
              <w:t>Kokkuvõttes oleme nõus panustama oma teadmiste ja oskustega Eesti seisukohtade kujundamisse koostöös Keskkonnaministeeriumiga, et ELi nullsaaste paketi vee-teemalised ettepanekud oleksid reaalsed ja praktikas täidaksid nullsaaste eesmärke</w:t>
            </w:r>
          </w:p>
        </w:tc>
        <w:tc>
          <w:tcPr>
            <w:tcW w:w="5670" w:type="dxa"/>
          </w:tcPr>
          <w:p w14:paraId="4451DF23" w14:textId="57D19C02" w:rsidR="00DE72D1" w:rsidRPr="009A55B8" w:rsidRDefault="00845E59" w:rsidP="00D44837">
            <w:pPr>
              <w:rPr>
                <w:rFonts w:ascii="Times New Roman" w:hAnsi="Times New Roman" w:cs="Times New Roman"/>
                <w:sz w:val="24"/>
                <w:szCs w:val="24"/>
              </w:rPr>
            </w:pPr>
            <w:r>
              <w:rPr>
                <w:rFonts w:ascii="Times New Roman" w:hAnsi="Times New Roman" w:cs="Times New Roman"/>
                <w:sz w:val="24"/>
                <w:szCs w:val="24"/>
              </w:rPr>
              <w:lastRenderedPageBreak/>
              <w:t>Arvestatud</w:t>
            </w:r>
          </w:p>
        </w:tc>
      </w:tr>
      <w:tr w:rsidR="00DE72D1" w:rsidRPr="009A55B8" w14:paraId="197C9432" w14:textId="77777777" w:rsidTr="00D44837">
        <w:tc>
          <w:tcPr>
            <w:tcW w:w="2263" w:type="dxa"/>
          </w:tcPr>
          <w:p w14:paraId="3FA68439" w14:textId="0F800E7F" w:rsidR="00DE72D1" w:rsidRPr="00AA09F9" w:rsidRDefault="00DE72D1" w:rsidP="00D44837">
            <w:pPr>
              <w:rPr>
                <w:rFonts w:ascii="Times New Roman" w:hAnsi="Times New Roman" w:cs="Times New Roman"/>
                <w:sz w:val="24"/>
                <w:szCs w:val="24"/>
              </w:rPr>
            </w:pPr>
            <w:r w:rsidRPr="002E625B">
              <w:rPr>
                <w:rFonts w:ascii="Times New Roman" w:hAnsi="Times New Roman"/>
                <w:sz w:val="24"/>
                <w:szCs w:val="24"/>
              </w:rPr>
              <w:lastRenderedPageBreak/>
              <w:t>Eesti Põllumajandus-Kaubanduskoda</w:t>
            </w:r>
          </w:p>
        </w:tc>
        <w:tc>
          <w:tcPr>
            <w:tcW w:w="6804" w:type="dxa"/>
          </w:tcPr>
          <w:p w14:paraId="01DBBA5E" w14:textId="77777777" w:rsidR="00DE72D1" w:rsidRDefault="00DE72D1" w:rsidP="00DE72D1">
            <w:pPr>
              <w:jc w:val="both"/>
              <w:rPr>
                <w:rFonts w:ascii="Times New Roman" w:hAnsi="Times New Roman"/>
                <w:sz w:val="24"/>
                <w:szCs w:val="24"/>
              </w:rPr>
            </w:pPr>
            <w:r w:rsidRPr="002E625B">
              <w:rPr>
                <w:rFonts w:ascii="Times New Roman" w:hAnsi="Times New Roman"/>
                <w:sz w:val="24"/>
                <w:szCs w:val="24"/>
              </w:rPr>
              <w:t xml:space="preserve">Eesti Põllumajandus-Kaubanduskoda </w:t>
            </w:r>
            <w:r>
              <w:rPr>
                <w:rFonts w:ascii="Times New Roman" w:hAnsi="Times New Roman"/>
                <w:sz w:val="24"/>
                <w:szCs w:val="24"/>
              </w:rPr>
              <w:t xml:space="preserve">tänab Keskkonnaministeeriumi kaasamise ja võimaluse eest avaldada arvamust </w:t>
            </w:r>
            <w:r w:rsidRPr="00C30B55">
              <w:rPr>
                <w:rFonts w:ascii="Times New Roman" w:hAnsi="Times New Roman"/>
                <w:sz w:val="24"/>
                <w:szCs w:val="24"/>
              </w:rPr>
              <w:t>ELi nullsaaste paketi vee-teemaliste algatuste kohta</w:t>
            </w:r>
            <w:r>
              <w:rPr>
                <w:rFonts w:ascii="Times New Roman" w:hAnsi="Times New Roman"/>
                <w:sz w:val="24"/>
                <w:szCs w:val="24"/>
              </w:rPr>
              <w:t>.</w:t>
            </w:r>
          </w:p>
          <w:p w14:paraId="65894884" w14:textId="77777777" w:rsidR="00DE72D1" w:rsidRPr="00F479B3" w:rsidRDefault="00DE72D1" w:rsidP="00DE72D1">
            <w:pPr>
              <w:spacing w:line="264" w:lineRule="auto"/>
              <w:contextualSpacing/>
              <w:jc w:val="both"/>
              <w:rPr>
                <w:rFonts w:ascii="Times New Roman" w:eastAsia="Times New Roman" w:hAnsi="Times New Roman"/>
                <w:sz w:val="24"/>
                <w:szCs w:val="28"/>
              </w:rPr>
            </w:pPr>
          </w:p>
          <w:p w14:paraId="5EAFDBC7" w14:textId="77777777" w:rsidR="00DE72D1" w:rsidRPr="00F479B3" w:rsidRDefault="00DE72D1" w:rsidP="00DE72D1">
            <w:pPr>
              <w:spacing w:line="264" w:lineRule="auto"/>
              <w:contextualSpacing/>
              <w:jc w:val="both"/>
              <w:rPr>
                <w:rFonts w:ascii="Times New Roman" w:eastAsia="Times New Roman" w:hAnsi="Times New Roman"/>
                <w:sz w:val="24"/>
                <w:szCs w:val="28"/>
              </w:rPr>
            </w:pPr>
            <w:r w:rsidRPr="00F479B3">
              <w:rPr>
                <w:rFonts w:ascii="Times New Roman" w:eastAsia="Times New Roman" w:hAnsi="Times New Roman"/>
                <w:sz w:val="24"/>
                <w:szCs w:val="28"/>
              </w:rPr>
              <w:t>Põllumajandusettevõtjate</w:t>
            </w:r>
            <w:r>
              <w:rPr>
                <w:rFonts w:ascii="Times New Roman" w:eastAsia="Times New Roman" w:hAnsi="Times New Roman"/>
                <w:sz w:val="24"/>
                <w:szCs w:val="28"/>
              </w:rPr>
              <w:t>,</w:t>
            </w:r>
            <w:r w:rsidRPr="00F479B3">
              <w:rPr>
                <w:rFonts w:ascii="Times New Roman" w:eastAsia="Times New Roman" w:hAnsi="Times New Roman"/>
                <w:sz w:val="24"/>
                <w:szCs w:val="28"/>
              </w:rPr>
              <w:t xml:space="preserve"> kui Eesti riigile toidu tootjate ja toidujulgeoleku </w:t>
            </w:r>
            <w:proofErr w:type="spellStart"/>
            <w:r w:rsidRPr="00F479B3">
              <w:rPr>
                <w:rFonts w:ascii="Times New Roman" w:eastAsia="Times New Roman" w:hAnsi="Times New Roman"/>
                <w:sz w:val="24"/>
                <w:szCs w:val="28"/>
              </w:rPr>
              <w:t>tagajate</w:t>
            </w:r>
            <w:proofErr w:type="spellEnd"/>
            <w:r>
              <w:rPr>
                <w:rFonts w:ascii="Times New Roman" w:eastAsia="Times New Roman" w:hAnsi="Times New Roman"/>
                <w:sz w:val="24"/>
                <w:szCs w:val="28"/>
              </w:rPr>
              <w:t>,</w:t>
            </w:r>
            <w:r w:rsidRPr="00F479B3">
              <w:rPr>
                <w:rFonts w:ascii="Times New Roman" w:eastAsia="Times New Roman" w:hAnsi="Times New Roman"/>
                <w:sz w:val="24"/>
                <w:szCs w:val="28"/>
              </w:rPr>
              <w:t xml:space="preserve"> seisukohast on Euroopa riikide toidu tootjatega hinnakonkurentsis püsimiseks oluline pikemaajaliselt ette teada, millised kulud (k.a suureneva seirekohustusega kaasnevad) iga-aastaselt otseselt või kaudselt toidu tootmise kuludele lisanduvad. Tootja iga kulu kajastub tarbijatele toidu hinnas ning tuleb arvestada, et tarbijad on juba hetkel väga hinnatundlikud. Samuti on riigi tasandil oluline jälgida, et kodumaised toidu tootjad suudaksid püsida hindadega konkurentsis Euroopast hetkel sisse toodava toiduga. </w:t>
            </w:r>
            <w:r w:rsidRPr="00F479B3">
              <w:rPr>
                <w:rFonts w:ascii="Times New Roman" w:eastAsia="Times New Roman" w:hAnsi="Times New Roman"/>
                <w:sz w:val="24"/>
                <w:szCs w:val="28"/>
              </w:rPr>
              <w:lastRenderedPageBreak/>
              <w:t>Seega eeldame, et iga lisanduv kohustus kaalutletakse põhjalikult läbi arvestades ka selle kogumaksumust toidu lõpptarbija seisukohast.</w:t>
            </w:r>
          </w:p>
          <w:p w14:paraId="1B8F3A63" w14:textId="77777777" w:rsidR="00DE72D1" w:rsidRDefault="00DE72D1" w:rsidP="00DE72D1">
            <w:pPr>
              <w:spacing w:line="264" w:lineRule="auto"/>
              <w:contextualSpacing/>
              <w:jc w:val="both"/>
              <w:rPr>
                <w:rFonts w:ascii="Times New Roman" w:eastAsia="Times New Roman" w:hAnsi="Times New Roman"/>
                <w:sz w:val="24"/>
                <w:szCs w:val="28"/>
              </w:rPr>
            </w:pPr>
          </w:p>
          <w:p w14:paraId="60BF9A51" w14:textId="77777777" w:rsidR="00DE72D1" w:rsidRDefault="00DE72D1" w:rsidP="00DE72D1">
            <w:pPr>
              <w:spacing w:line="264" w:lineRule="auto"/>
              <w:contextualSpacing/>
              <w:jc w:val="both"/>
              <w:rPr>
                <w:rFonts w:ascii="Times New Roman" w:eastAsia="Times New Roman" w:hAnsi="Times New Roman"/>
                <w:sz w:val="24"/>
                <w:szCs w:val="28"/>
              </w:rPr>
            </w:pPr>
            <w:r w:rsidRPr="00F479B3">
              <w:rPr>
                <w:rFonts w:ascii="Times New Roman" w:eastAsia="Times New Roman" w:hAnsi="Times New Roman"/>
                <w:sz w:val="24"/>
                <w:szCs w:val="28"/>
              </w:rPr>
              <w:t>Kuna riikliku seire tulemused on piisavalt usaldusväärsed, siis tasuks ka põhjalikult kaalutleda, kas ettevõtjatele lisaseire kohustuste määramine on mõistlik arvestades toiduhindade niigi kiiret tõusu.</w:t>
            </w:r>
            <w:r>
              <w:rPr>
                <w:rFonts w:ascii="Times New Roman" w:eastAsia="Times New Roman" w:hAnsi="Times New Roman"/>
                <w:sz w:val="24"/>
                <w:szCs w:val="28"/>
              </w:rPr>
              <w:t xml:space="preserve"> </w:t>
            </w:r>
          </w:p>
          <w:p w14:paraId="318FF1AA" w14:textId="77777777" w:rsidR="00DE72D1" w:rsidRDefault="00DE72D1" w:rsidP="00DE72D1">
            <w:pPr>
              <w:spacing w:line="264" w:lineRule="auto"/>
              <w:contextualSpacing/>
              <w:jc w:val="both"/>
              <w:rPr>
                <w:rFonts w:ascii="Times New Roman" w:eastAsia="Times New Roman" w:hAnsi="Times New Roman"/>
                <w:sz w:val="24"/>
                <w:szCs w:val="28"/>
              </w:rPr>
            </w:pPr>
          </w:p>
          <w:p w14:paraId="7A36D13C" w14:textId="77777777" w:rsidR="00DE72D1" w:rsidRDefault="00DE72D1" w:rsidP="00DE72D1">
            <w:pPr>
              <w:spacing w:line="264" w:lineRule="auto"/>
              <w:contextualSpacing/>
              <w:jc w:val="both"/>
              <w:rPr>
                <w:rFonts w:ascii="Times New Roman" w:eastAsia="Times New Roman" w:hAnsi="Times New Roman"/>
                <w:sz w:val="24"/>
                <w:szCs w:val="28"/>
              </w:rPr>
            </w:pPr>
            <w:r w:rsidRPr="00F479B3">
              <w:rPr>
                <w:rFonts w:ascii="Times New Roman" w:eastAsia="Times New Roman" w:hAnsi="Times New Roman"/>
                <w:sz w:val="24"/>
                <w:szCs w:val="28"/>
              </w:rPr>
              <w:t xml:space="preserve">Samuti on toidu tootjate seisukohast oluline pikemaajaliselt ette teada aineid, mille kasutamist otsustatakse oluliselt piirata või mille kasutamine plaanitakse keelustada, et vältida olukorda, kus näiteks taimekaitsevahendite varud on kättesaadavuse halvenemise tõttu suuremas koguses ette tellitud, kuid nende </w:t>
            </w:r>
            <w:r>
              <w:rPr>
                <w:rFonts w:ascii="Times New Roman" w:eastAsia="Times New Roman" w:hAnsi="Times New Roman"/>
                <w:sz w:val="24"/>
                <w:szCs w:val="28"/>
              </w:rPr>
              <w:t>sisalduses oleva aine kasutus</w:t>
            </w:r>
            <w:r w:rsidRPr="00F479B3">
              <w:rPr>
                <w:rFonts w:ascii="Times New Roman" w:eastAsia="Times New Roman" w:hAnsi="Times New Roman"/>
                <w:sz w:val="24"/>
                <w:szCs w:val="28"/>
              </w:rPr>
              <w:t xml:space="preserve"> plaanitakse lähiajal keelustada.</w:t>
            </w:r>
          </w:p>
          <w:p w14:paraId="722B54F2" w14:textId="77777777" w:rsidR="00DE72D1" w:rsidRPr="00AA09F9" w:rsidRDefault="00DE72D1" w:rsidP="00D44837">
            <w:pPr>
              <w:jc w:val="both"/>
              <w:rPr>
                <w:rFonts w:ascii="Times New Roman" w:hAnsi="Times New Roman" w:cs="Times New Roman"/>
                <w:sz w:val="24"/>
                <w:szCs w:val="24"/>
              </w:rPr>
            </w:pPr>
          </w:p>
        </w:tc>
        <w:tc>
          <w:tcPr>
            <w:tcW w:w="5670" w:type="dxa"/>
          </w:tcPr>
          <w:p w14:paraId="0366CABE" w14:textId="09051E0F" w:rsidR="00DE72D1" w:rsidRPr="009A55B8" w:rsidRDefault="00151664" w:rsidP="00D44837">
            <w:pPr>
              <w:rPr>
                <w:rFonts w:ascii="Times New Roman" w:hAnsi="Times New Roman" w:cs="Times New Roman"/>
                <w:sz w:val="24"/>
                <w:szCs w:val="24"/>
              </w:rPr>
            </w:pPr>
            <w:r>
              <w:rPr>
                <w:rFonts w:ascii="Times New Roman" w:hAnsi="Times New Roman" w:cs="Times New Roman"/>
                <w:sz w:val="24"/>
                <w:szCs w:val="24"/>
              </w:rPr>
              <w:lastRenderedPageBreak/>
              <w:t>Arvestatud. Mõeldud ei ole ettevõtetele tulevat seiret, vaid riiklikku seiret. Direktiivi kohaselt on pinna</w:t>
            </w:r>
            <w:r w:rsidR="00E47F46">
              <w:rPr>
                <w:rFonts w:ascii="Times New Roman" w:hAnsi="Times New Roman" w:cs="Times New Roman"/>
                <w:sz w:val="24"/>
                <w:szCs w:val="24"/>
              </w:rPr>
              <w:t>- ja põhja</w:t>
            </w:r>
            <w:r>
              <w:rPr>
                <w:rFonts w:ascii="Times New Roman" w:hAnsi="Times New Roman" w:cs="Times New Roman"/>
                <w:sz w:val="24"/>
                <w:szCs w:val="24"/>
              </w:rPr>
              <w:t xml:space="preserve">vee ohtlike ainete nimistu ülevaatamise </w:t>
            </w:r>
            <w:proofErr w:type="spellStart"/>
            <w:r>
              <w:rPr>
                <w:rFonts w:ascii="Times New Roman" w:hAnsi="Times New Roman" w:cs="Times New Roman"/>
                <w:sz w:val="24"/>
                <w:szCs w:val="24"/>
              </w:rPr>
              <w:t>välp</w:t>
            </w:r>
            <w:proofErr w:type="spellEnd"/>
            <w:r>
              <w:rPr>
                <w:rFonts w:ascii="Times New Roman" w:hAnsi="Times New Roman" w:cs="Times New Roman"/>
                <w:sz w:val="24"/>
                <w:szCs w:val="24"/>
              </w:rPr>
              <w:t xml:space="preserve"> 6 aastat. </w:t>
            </w:r>
          </w:p>
        </w:tc>
      </w:tr>
      <w:tr w:rsidR="00DE72D1" w:rsidRPr="009A55B8" w14:paraId="141A153F" w14:textId="77777777" w:rsidTr="00D44837">
        <w:tc>
          <w:tcPr>
            <w:tcW w:w="2263" w:type="dxa"/>
          </w:tcPr>
          <w:p w14:paraId="5B4E0C57" w14:textId="5DAE54C2" w:rsidR="00DE72D1" w:rsidRPr="00AA09F9" w:rsidRDefault="00FE30BB" w:rsidP="00D44837">
            <w:pPr>
              <w:rPr>
                <w:rFonts w:ascii="Times New Roman" w:hAnsi="Times New Roman" w:cs="Times New Roman"/>
                <w:sz w:val="24"/>
                <w:szCs w:val="24"/>
              </w:rPr>
            </w:pPr>
            <w:r>
              <w:rPr>
                <w:rFonts w:ascii="Times New Roman" w:hAnsi="Times New Roman" w:cs="Times New Roman"/>
                <w:sz w:val="24"/>
                <w:szCs w:val="24"/>
              </w:rPr>
              <w:t>Majandus- ja Kommunikatsiooniministeerium</w:t>
            </w:r>
          </w:p>
        </w:tc>
        <w:tc>
          <w:tcPr>
            <w:tcW w:w="6804" w:type="dxa"/>
          </w:tcPr>
          <w:p w14:paraId="3E2C08B2" w14:textId="77777777" w:rsidR="00FE30BB" w:rsidRDefault="00FE30BB" w:rsidP="00FE30BB">
            <w:pPr>
              <w:jc w:val="both"/>
              <w:rPr>
                <w:rFonts w:ascii="Times New Roman" w:hAnsi="Times New Roman" w:cs="Times New Roman"/>
                <w:sz w:val="24"/>
                <w:szCs w:val="24"/>
              </w:rPr>
            </w:pPr>
            <w:r w:rsidRPr="00FE30BB">
              <w:rPr>
                <w:rFonts w:ascii="Times New Roman" w:hAnsi="Times New Roman" w:cs="Times New Roman"/>
                <w:sz w:val="24"/>
                <w:szCs w:val="24"/>
              </w:rPr>
              <w:t xml:space="preserve">Antud algatus on veesektori energiatõhususe suurendamise mõistes kasulik. Veesektori energiaefektiivsuse suurendamine toob kaasa kasvuhoonegaaside heite vähenemise ja vähendab energiahindade mõju veekäitlemise/vee hinnale, kuna väheneb energiakulude osakaal kogukuludest. Energia tõhus kasutus kõikides sektorites, energia tootmisest, edastamisest kuni tarbimiseni välja on kliima ja energeetika eesmärkide täitmiseks ülimalt oluline. </w:t>
            </w:r>
          </w:p>
          <w:p w14:paraId="4FD4F346" w14:textId="77777777" w:rsidR="00FE30BB" w:rsidRPr="00FE30BB" w:rsidRDefault="00FE30BB" w:rsidP="00FE30BB">
            <w:pPr>
              <w:jc w:val="both"/>
              <w:rPr>
                <w:rFonts w:ascii="Times New Roman" w:hAnsi="Times New Roman" w:cs="Times New Roman"/>
                <w:sz w:val="24"/>
                <w:szCs w:val="24"/>
              </w:rPr>
            </w:pPr>
          </w:p>
          <w:p w14:paraId="3A566882" w14:textId="77777777" w:rsidR="00FE30BB" w:rsidRDefault="00FE30BB" w:rsidP="00FE30BB">
            <w:pPr>
              <w:jc w:val="both"/>
              <w:rPr>
                <w:rFonts w:ascii="Times New Roman" w:hAnsi="Times New Roman" w:cs="Times New Roman"/>
                <w:sz w:val="24"/>
                <w:szCs w:val="24"/>
              </w:rPr>
            </w:pPr>
            <w:r w:rsidRPr="00FE30BB">
              <w:rPr>
                <w:rFonts w:ascii="Times New Roman" w:hAnsi="Times New Roman" w:cs="Times New Roman"/>
                <w:sz w:val="24"/>
                <w:szCs w:val="24"/>
              </w:rPr>
              <w:t xml:space="preserve">Energeetika vaates on reoveekätlemise jaam käitis, mis peab läbi viima kulude-tulude analüüsi selle ehitamisel, olulisel renoveerimisel, mis tähendab, et käitlemine ise peab olema energiatõhus, kuid tuleb analüüsida kas jaama läbiv heitsoojus on kasutatav kaugküttes või lähedal asuvates elamutes/ettevõtetes. Lisaks heitsoojusele on oluline otsida võimalusi ka jäätmetest nt </w:t>
            </w:r>
            <w:proofErr w:type="spellStart"/>
            <w:r w:rsidRPr="00FE30BB">
              <w:rPr>
                <w:rFonts w:ascii="Times New Roman" w:hAnsi="Times New Roman" w:cs="Times New Roman"/>
                <w:sz w:val="24"/>
                <w:szCs w:val="24"/>
              </w:rPr>
              <w:t>biogaasi</w:t>
            </w:r>
            <w:proofErr w:type="spellEnd"/>
            <w:r w:rsidRPr="00FE30BB">
              <w:rPr>
                <w:rFonts w:ascii="Times New Roman" w:hAnsi="Times New Roman" w:cs="Times New Roman"/>
                <w:sz w:val="24"/>
                <w:szCs w:val="24"/>
              </w:rPr>
              <w:t xml:space="preserve"> toota. Võimalus kas panustada soojusmajandusse või isegi </w:t>
            </w:r>
            <w:proofErr w:type="spellStart"/>
            <w:r w:rsidRPr="00FE30BB">
              <w:rPr>
                <w:rFonts w:ascii="Times New Roman" w:hAnsi="Times New Roman" w:cs="Times New Roman"/>
                <w:sz w:val="24"/>
                <w:szCs w:val="24"/>
              </w:rPr>
              <w:t>biometaani</w:t>
            </w:r>
            <w:proofErr w:type="spellEnd"/>
            <w:r w:rsidRPr="00FE30BB">
              <w:rPr>
                <w:rFonts w:ascii="Times New Roman" w:hAnsi="Times New Roman" w:cs="Times New Roman"/>
                <w:sz w:val="24"/>
                <w:szCs w:val="24"/>
              </w:rPr>
              <w:t xml:space="preserve"> toota. See kas või kui edukas see majanduslikult on, see sõltub loomulikult projektist. Sellest ma järeldan, et meie vaatest oleks oluline see potentsiaal Eestis ka selgeks saada. Samuti, et kui suunatakse raha valdkonda, siis prioriteediks võiks olla </w:t>
            </w:r>
            <w:proofErr w:type="spellStart"/>
            <w:r w:rsidRPr="00FE30BB">
              <w:rPr>
                <w:rFonts w:ascii="Times New Roman" w:hAnsi="Times New Roman" w:cs="Times New Roman"/>
                <w:sz w:val="24"/>
                <w:szCs w:val="24"/>
              </w:rPr>
              <w:lastRenderedPageBreak/>
              <w:t>biogaasi</w:t>
            </w:r>
            <w:proofErr w:type="spellEnd"/>
            <w:r w:rsidRPr="00FE30BB">
              <w:rPr>
                <w:rFonts w:ascii="Times New Roman" w:hAnsi="Times New Roman" w:cs="Times New Roman"/>
                <w:sz w:val="24"/>
                <w:szCs w:val="24"/>
              </w:rPr>
              <w:t>/</w:t>
            </w:r>
            <w:proofErr w:type="spellStart"/>
            <w:r w:rsidRPr="00FE30BB">
              <w:rPr>
                <w:rFonts w:ascii="Times New Roman" w:hAnsi="Times New Roman" w:cs="Times New Roman"/>
                <w:sz w:val="24"/>
                <w:szCs w:val="24"/>
              </w:rPr>
              <w:t>biometaani</w:t>
            </w:r>
            <w:proofErr w:type="spellEnd"/>
            <w:r w:rsidRPr="00FE30BB">
              <w:rPr>
                <w:rFonts w:ascii="Times New Roman" w:hAnsi="Times New Roman" w:cs="Times New Roman"/>
                <w:sz w:val="24"/>
                <w:szCs w:val="24"/>
              </w:rPr>
              <w:t xml:space="preserve"> maksimaalne tootmine, kuna sellel otsene mõju ning kasulikkus energeetikale.</w:t>
            </w:r>
          </w:p>
          <w:p w14:paraId="1A5522EA" w14:textId="77777777" w:rsidR="00FE30BB" w:rsidRPr="00FE30BB" w:rsidRDefault="00FE30BB" w:rsidP="00FE30BB">
            <w:pPr>
              <w:jc w:val="both"/>
              <w:rPr>
                <w:rFonts w:ascii="Times New Roman" w:hAnsi="Times New Roman" w:cs="Times New Roman"/>
                <w:sz w:val="24"/>
                <w:szCs w:val="24"/>
              </w:rPr>
            </w:pPr>
          </w:p>
          <w:p w14:paraId="1FF426E2" w14:textId="77777777" w:rsidR="00FE30BB" w:rsidRDefault="00FE30BB" w:rsidP="00FE30BB">
            <w:pPr>
              <w:jc w:val="both"/>
              <w:rPr>
                <w:rFonts w:ascii="Times New Roman" w:hAnsi="Times New Roman" w:cs="Times New Roman"/>
                <w:sz w:val="24"/>
                <w:szCs w:val="24"/>
              </w:rPr>
            </w:pPr>
            <w:r w:rsidRPr="00FE30BB">
              <w:rPr>
                <w:rFonts w:ascii="Times New Roman" w:hAnsi="Times New Roman" w:cs="Times New Roman"/>
                <w:sz w:val="24"/>
                <w:szCs w:val="24"/>
              </w:rPr>
              <w:t>Suuremad vee-ettevõtted on täna juba energiaauditi kohuslased nt Tallinna Vesi mis tähendab, et nad on kohustatud juba täna iga 4 aasta tagant energiaauditit läbi viima.</w:t>
            </w:r>
          </w:p>
          <w:p w14:paraId="37859295" w14:textId="77777777" w:rsidR="00FE30BB" w:rsidRPr="00FE30BB" w:rsidRDefault="00FE30BB" w:rsidP="00FE30BB">
            <w:pPr>
              <w:jc w:val="both"/>
              <w:rPr>
                <w:rFonts w:ascii="Times New Roman" w:hAnsi="Times New Roman" w:cs="Times New Roman"/>
                <w:sz w:val="24"/>
                <w:szCs w:val="24"/>
              </w:rPr>
            </w:pPr>
          </w:p>
          <w:p w14:paraId="748475E7" w14:textId="77777777" w:rsidR="00FE30BB" w:rsidRPr="00FE30BB" w:rsidRDefault="00FE30BB" w:rsidP="00FE30BB">
            <w:pPr>
              <w:jc w:val="both"/>
              <w:rPr>
                <w:rFonts w:ascii="Times New Roman" w:hAnsi="Times New Roman" w:cs="Times New Roman"/>
                <w:sz w:val="24"/>
                <w:szCs w:val="24"/>
              </w:rPr>
            </w:pPr>
            <w:r w:rsidRPr="00FE30BB">
              <w:rPr>
                <w:rFonts w:ascii="Times New Roman" w:hAnsi="Times New Roman" w:cs="Times New Roman"/>
                <w:sz w:val="24"/>
                <w:szCs w:val="24"/>
              </w:rPr>
              <w:t xml:space="preserve">Seega meie vaates on reoveekäitiste energiatõhusus sh energiatõhususe esikohale seadmise põhimõte vajalik vee ja energia säästlikuks kasutamiseks. Samuti on reoveekäitistel lisaks heitsoojuse potentsiaalile ja </w:t>
            </w:r>
            <w:proofErr w:type="spellStart"/>
            <w:r w:rsidRPr="00FE30BB">
              <w:rPr>
                <w:rFonts w:ascii="Times New Roman" w:hAnsi="Times New Roman" w:cs="Times New Roman"/>
                <w:sz w:val="24"/>
                <w:szCs w:val="24"/>
              </w:rPr>
              <w:t>biogaasi</w:t>
            </w:r>
            <w:proofErr w:type="spellEnd"/>
            <w:r w:rsidRPr="00FE30BB">
              <w:rPr>
                <w:rFonts w:ascii="Times New Roman" w:hAnsi="Times New Roman" w:cs="Times New Roman"/>
                <w:sz w:val="24"/>
                <w:szCs w:val="24"/>
              </w:rPr>
              <w:t xml:space="preserve"> tootmise potentsiaal.</w:t>
            </w:r>
          </w:p>
          <w:p w14:paraId="18AC1BE7" w14:textId="77777777" w:rsidR="00FE30BB" w:rsidRPr="00FE30BB" w:rsidRDefault="00FE30BB" w:rsidP="00FE30BB">
            <w:pPr>
              <w:jc w:val="both"/>
              <w:rPr>
                <w:rFonts w:ascii="Times New Roman" w:hAnsi="Times New Roman" w:cs="Times New Roman"/>
                <w:sz w:val="24"/>
                <w:szCs w:val="24"/>
              </w:rPr>
            </w:pPr>
            <w:r w:rsidRPr="00FE30BB">
              <w:rPr>
                <w:rFonts w:ascii="Times New Roman" w:hAnsi="Times New Roman" w:cs="Times New Roman"/>
                <w:sz w:val="24"/>
                <w:szCs w:val="24"/>
              </w:rPr>
              <w:t>Energiatõhususe esikohale seadmise põhimõte tõenäoliselt väljendub vajaduses vaadata tulevikus üle veeteenuse hinna kooskõlastamise reeglid energiatõhususe suurendamise vajaduse vaates. Samuti toetuste suunamise sektori energiatõhususe parandamiseks.</w:t>
            </w:r>
          </w:p>
          <w:p w14:paraId="1DB71F7F" w14:textId="77777777" w:rsidR="00FE30BB" w:rsidRDefault="00FE30BB" w:rsidP="00FE30BB">
            <w:pPr>
              <w:jc w:val="both"/>
              <w:rPr>
                <w:rFonts w:ascii="Times New Roman" w:hAnsi="Times New Roman" w:cs="Times New Roman"/>
                <w:sz w:val="24"/>
                <w:szCs w:val="24"/>
              </w:rPr>
            </w:pPr>
            <w:r w:rsidRPr="00FE30BB">
              <w:rPr>
                <w:rFonts w:ascii="Times New Roman" w:hAnsi="Times New Roman" w:cs="Times New Roman"/>
                <w:sz w:val="24"/>
                <w:szCs w:val="24"/>
              </w:rPr>
              <w:t>Kas ja mis vee-ettevõtete vaates teostatav on, seda me tõenäoliselt öelda ei oska. Kui Keskkonnaministeeriumil tekib täiendavaid mõtteid/küsimusi, siis kindlasti aitame.</w:t>
            </w:r>
          </w:p>
          <w:p w14:paraId="4F293B1B" w14:textId="77777777" w:rsidR="00FE30BB" w:rsidRPr="00FE30BB" w:rsidRDefault="00FE30BB" w:rsidP="00FE30BB">
            <w:pPr>
              <w:jc w:val="both"/>
              <w:rPr>
                <w:rFonts w:ascii="Times New Roman" w:hAnsi="Times New Roman" w:cs="Times New Roman"/>
                <w:sz w:val="24"/>
                <w:szCs w:val="24"/>
              </w:rPr>
            </w:pPr>
          </w:p>
          <w:p w14:paraId="154015EB" w14:textId="77777777" w:rsidR="00FE30BB" w:rsidRPr="00FE30BB" w:rsidRDefault="00FE30BB" w:rsidP="00FE30BB">
            <w:pPr>
              <w:jc w:val="both"/>
              <w:rPr>
                <w:rFonts w:ascii="Times New Roman" w:hAnsi="Times New Roman" w:cs="Times New Roman"/>
                <w:sz w:val="24"/>
                <w:szCs w:val="24"/>
              </w:rPr>
            </w:pPr>
            <w:r w:rsidRPr="00FE30BB">
              <w:rPr>
                <w:rFonts w:ascii="Times New Roman" w:hAnsi="Times New Roman" w:cs="Times New Roman"/>
                <w:sz w:val="24"/>
                <w:szCs w:val="24"/>
              </w:rPr>
              <w:t>Energiatõhususe olulisemad mõjud:</w:t>
            </w:r>
          </w:p>
          <w:p w14:paraId="5695967C" w14:textId="57DA6A26" w:rsidR="00FE30BB" w:rsidRPr="00FE30BB" w:rsidRDefault="00FE30BB" w:rsidP="00FE30BB">
            <w:pPr>
              <w:jc w:val="both"/>
              <w:rPr>
                <w:rFonts w:ascii="Times New Roman" w:hAnsi="Times New Roman" w:cs="Times New Roman"/>
                <w:sz w:val="24"/>
                <w:szCs w:val="24"/>
              </w:rPr>
            </w:pPr>
            <w:r w:rsidRPr="00FE30BB">
              <w:rPr>
                <w:rFonts w:ascii="Times New Roman" w:hAnsi="Times New Roman" w:cs="Times New Roman"/>
                <w:noProof/>
                <w:sz w:val="24"/>
                <w:szCs w:val="24"/>
                <w:lang w:eastAsia="et-EE"/>
              </w:rPr>
              <w:drawing>
                <wp:inline distT="0" distB="0" distL="0" distR="0" wp14:anchorId="6D324FCB" wp14:editId="27BEA55B">
                  <wp:extent cx="3230880" cy="2750820"/>
                  <wp:effectExtent l="0" t="0" r="7620" b="0"/>
                  <wp:docPr id="3" name="Pilt 3" descr="cid:image003.png@01D90A96.F024D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d:image003.png@01D90A96.F024DC60"/>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3230880" cy="2750820"/>
                          </a:xfrm>
                          <a:prstGeom prst="rect">
                            <a:avLst/>
                          </a:prstGeom>
                          <a:noFill/>
                          <a:ln>
                            <a:noFill/>
                          </a:ln>
                        </pic:spPr>
                      </pic:pic>
                    </a:graphicData>
                  </a:graphic>
                </wp:inline>
              </w:drawing>
            </w:r>
          </w:p>
          <w:p w14:paraId="43BB0324" w14:textId="77777777" w:rsidR="00FE30BB" w:rsidRPr="00FE30BB" w:rsidRDefault="00FE30BB" w:rsidP="00FE30BB">
            <w:pPr>
              <w:jc w:val="both"/>
              <w:rPr>
                <w:rFonts w:ascii="Times New Roman" w:hAnsi="Times New Roman" w:cs="Times New Roman"/>
                <w:sz w:val="24"/>
                <w:szCs w:val="24"/>
              </w:rPr>
            </w:pPr>
            <w:r w:rsidRPr="00FE30BB">
              <w:rPr>
                <w:rFonts w:ascii="Times New Roman" w:hAnsi="Times New Roman" w:cs="Times New Roman"/>
                <w:sz w:val="24"/>
                <w:szCs w:val="24"/>
              </w:rPr>
              <w:lastRenderedPageBreak/>
              <w:t>Energiatõhususe investeeringud toovad kaasa ka mitmed muud mõjud, nt täiendavad töökohad jne. Kui teil mõjude hindamiseks mõtteid vaja, siis tasub pilk heita energiatõhususe direktiivi seisukohtadele.</w:t>
            </w:r>
          </w:p>
          <w:p w14:paraId="5C3C5F10" w14:textId="77777777" w:rsidR="00DE72D1" w:rsidRPr="00AA09F9" w:rsidRDefault="00DE72D1" w:rsidP="00D44837">
            <w:pPr>
              <w:jc w:val="both"/>
              <w:rPr>
                <w:rFonts w:ascii="Times New Roman" w:hAnsi="Times New Roman" w:cs="Times New Roman"/>
                <w:sz w:val="24"/>
                <w:szCs w:val="24"/>
              </w:rPr>
            </w:pPr>
          </w:p>
        </w:tc>
        <w:tc>
          <w:tcPr>
            <w:tcW w:w="5670" w:type="dxa"/>
          </w:tcPr>
          <w:p w14:paraId="1317D383" w14:textId="206A447B" w:rsidR="00DE72D1" w:rsidRPr="009A55B8" w:rsidRDefault="00377AC1" w:rsidP="00D44837">
            <w:pPr>
              <w:rPr>
                <w:rFonts w:ascii="Times New Roman" w:hAnsi="Times New Roman" w:cs="Times New Roman"/>
                <w:sz w:val="24"/>
                <w:szCs w:val="24"/>
              </w:rPr>
            </w:pPr>
            <w:r>
              <w:rPr>
                <w:rFonts w:ascii="Times New Roman" w:hAnsi="Times New Roman" w:cs="Times New Roman"/>
                <w:sz w:val="24"/>
                <w:szCs w:val="24"/>
              </w:rPr>
              <w:lastRenderedPageBreak/>
              <w:t>Arvestatud seisukoht nr 8 juures.</w:t>
            </w:r>
          </w:p>
        </w:tc>
      </w:tr>
      <w:tr w:rsidR="00DE72D1" w:rsidRPr="009A55B8" w14:paraId="53B09B8F" w14:textId="77777777" w:rsidTr="00D44837">
        <w:tc>
          <w:tcPr>
            <w:tcW w:w="2263" w:type="dxa"/>
          </w:tcPr>
          <w:p w14:paraId="47ADBE65" w14:textId="7CCCD862" w:rsidR="00DE72D1" w:rsidRPr="00AA09F9" w:rsidRDefault="00FF3110" w:rsidP="00D44837">
            <w:pPr>
              <w:rPr>
                <w:rFonts w:ascii="Times New Roman" w:hAnsi="Times New Roman" w:cs="Times New Roman"/>
                <w:sz w:val="24"/>
                <w:szCs w:val="24"/>
              </w:rPr>
            </w:pPr>
            <w:r w:rsidRPr="00BC28C0">
              <w:rPr>
                <w:rFonts w:ascii="Times New Roman" w:hAnsi="Times New Roman" w:cs="Times New Roman"/>
                <w:sz w:val="24"/>
                <w:szCs w:val="24"/>
              </w:rPr>
              <w:lastRenderedPageBreak/>
              <w:t>Eesti Taimekaitse Assotsiatsioon</w:t>
            </w:r>
          </w:p>
        </w:tc>
        <w:tc>
          <w:tcPr>
            <w:tcW w:w="6804" w:type="dxa"/>
          </w:tcPr>
          <w:p w14:paraId="5DB94915" w14:textId="0D18036D" w:rsidR="00BC28C0" w:rsidRPr="00BC28C0" w:rsidRDefault="00BC28C0" w:rsidP="00BC28C0">
            <w:pPr>
              <w:jc w:val="both"/>
              <w:rPr>
                <w:rFonts w:ascii="Times New Roman" w:hAnsi="Times New Roman" w:cs="Times New Roman"/>
                <w:sz w:val="24"/>
                <w:szCs w:val="24"/>
              </w:rPr>
            </w:pPr>
            <w:r w:rsidRPr="00BC28C0">
              <w:rPr>
                <w:rFonts w:ascii="Times New Roman" w:hAnsi="Times New Roman" w:cs="Times New Roman"/>
                <w:sz w:val="24"/>
                <w:szCs w:val="24"/>
              </w:rPr>
              <w:t>Eesti Taimekaitse Assotsiatsioon toetab vajadust direktiivid läbi vaadata, et säilitada</w:t>
            </w:r>
            <w:r w:rsidR="00FF3110">
              <w:rPr>
                <w:rFonts w:ascii="Times New Roman" w:hAnsi="Times New Roman" w:cs="Times New Roman"/>
                <w:sz w:val="24"/>
                <w:szCs w:val="24"/>
              </w:rPr>
              <w:t xml:space="preserve"> </w:t>
            </w:r>
            <w:r w:rsidRPr="00BC28C0">
              <w:rPr>
                <w:rFonts w:ascii="Times New Roman" w:hAnsi="Times New Roman" w:cs="Times New Roman"/>
                <w:sz w:val="24"/>
                <w:szCs w:val="24"/>
              </w:rPr>
              <w:t>veepoliitika õigusaktide järjepidevus ja kooskõla. Siiski arvame, et proportsionaalne ja</w:t>
            </w:r>
            <w:r w:rsidR="00FF3110">
              <w:rPr>
                <w:rFonts w:ascii="Times New Roman" w:hAnsi="Times New Roman" w:cs="Times New Roman"/>
                <w:sz w:val="24"/>
                <w:szCs w:val="24"/>
              </w:rPr>
              <w:t xml:space="preserve"> </w:t>
            </w:r>
            <w:r w:rsidRPr="00BC28C0">
              <w:rPr>
                <w:rFonts w:ascii="Times New Roman" w:hAnsi="Times New Roman" w:cs="Times New Roman"/>
                <w:sz w:val="24"/>
                <w:szCs w:val="24"/>
              </w:rPr>
              <w:t>teaduspõhine lähenemisviis oleks selle ambitsiooni saavutamisel tõhusam, tagades samal</w:t>
            </w:r>
            <w:r w:rsidR="00FF3110">
              <w:rPr>
                <w:rFonts w:ascii="Times New Roman" w:hAnsi="Times New Roman" w:cs="Times New Roman"/>
                <w:sz w:val="24"/>
                <w:szCs w:val="24"/>
              </w:rPr>
              <w:t xml:space="preserve"> </w:t>
            </w:r>
            <w:r w:rsidRPr="00BC28C0">
              <w:rPr>
                <w:rFonts w:ascii="Times New Roman" w:hAnsi="Times New Roman" w:cs="Times New Roman"/>
                <w:sz w:val="24"/>
                <w:szCs w:val="24"/>
              </w:rPr>
              <w:t>ajal ka Eesti põllumajandustootjatele lahenduste kättesaadavuse oma põllukultuuride</w:t>
            </w:r>
            <w:r w:rsidR="00FF3110">
              <w:rPr>
                <w:rFonts w:ascii="Times New Roman" w:hAnsi="Times New Roman" w:cs="Times New Roman"/>
                <w:sz w:val="24"/>
                <w:szCs w:val="24"/>
              </w:rPr>
              <w:t xml:space="preserve"> </w:t>
            </w:r>
            <w:r w:rsidRPr="00BC28C0">
              <w:rPr>
                <w:rFonts w:ascii="Times New Roman" w:hAnsi="Times New Roman" w:cs="Times New Roman"/>
                <w:sz w:val="24"/>
                <w:szCs w:val="24"/>
              </w:rPr>
              <w:t>kaitsmiseks umbrohu, kahjurite ja haiguste eest.</w:t>
            </w:r>
          </w:p>
          <w:p w14:paraId="2D966839" w14:textId="6217001A" w:rsidR="00BC28C0" w:rsidRPr="00BC28C0" w:rsidRDefault="00BC28C0" w:rsidP="00BC28C0">
            <w:pPr>
              <w:jc w:val="both"/>
              <w:rPr>
                <w:rFonts w:ascii="Times New Roman" w:hAnsi="Times New Roman" w:cs="Times New Roman"/>
                <w:sz w:val="24"/>
                <w:szCs w:val="24"/>
              </w:rPr>
            </w:pPr>
            <w:r w:rsidRPr="00BC28C0">
              <w:rPr>
                <w:rFonts w:ascii="Times New Roman" w:hAnsi="Times New Roman" w:cs="Times New Roman"/>
                <w:sz w:val="24"/>
                <w:szCs w:val="24"/>
              </w:rPr>
              <w:t>Kavandatav lähenemisviis pestitsiidide ebaoluliste metaboliitide reguleerimiseks põhjavees</w:t>
            </w:r>
            <w:r w:rsidR="00FF3110">
              <w:rPr>
                <w:rFonts w:ascii="Times New Roman" w:hAnsi="Times New Roman" w:cs="Times New Roman"/>
                <w:sz w:val="24"/>
                <w:szCs w:val="24"/>
              </w:rPr>
              <w:t xml:space="preserve"> </w:t>
            </w:r>
            <w:r w:rsidRPr="00BC28C0">
              <w:rPr>
                <w:rFonts w:ascii="Times New Roman" w:hAnsi="Times New Roman" w:cs="Times New Roman"/>
                <w:sz w:val="24"/>
                <w:szCs w:val="24"/>
              </w:rPr>
              <w:t>ei ole piisavalt teaduslikult põhjendatud ja see tuleb selle lihtsustamiseks ja selgitamiseks</w:t>
            </w:r>
            <w:r w:rsidR="00FF3110">
              <w:rPr>
                <w:rFonts w:ascii="Times New Roman" w:hAnsi="Times New Roman" w:cs="Times New Roman"/>
                <w:sz w:val="24"/>
                <w:szCs w:val="24"/>
              </w:rPr>
              <w:t xml:space="preserve"> </w:t>
            </w:r>
            <w:r w:rsidRPr="00BC28C0">
              <w:rPr>
                <w:rFonts w:ascii="Times New Roman" w:hAnsi="Times New Roman" w:cs="Times New Roman"/>
                <w:sz w:val="24"/>
                <w:szCs w:val="24"/>
              </w:rPr>
              <w:t>läbi vaadata.</w:t>
            </w:r>
          </w:p>
          <w:p w14:paraId="6CCF5AAE" w14:textId="569CE870" w:rsidR="00BC28C0" w:rsidRPr="00BC28C0" w:rsidRDefault="00BC28C0" w:rsidP="00BC28C0">
            <w:pPr>
              <w:jc w:val="both"/>
              <w:rPr>
                <w:rFonts w:ascii="Times New Roman" w:hAnsi="Times New Roman" w:cs="Times New Roman"/>
                <w:sz w:val="24"/>
                <w:szCs w:val="24"/>
              </w:rPr>
            </w:pPr>
            <w:r w:rsidRPr="00BC28C0">
              <w:rPr>
                <w:rFonts w:ascii="Times New Roman" w:hAnsi="Times New Roman" w:cs="Times New Roman"/>
                <w:sz w:val="24"/>
                <w:szCs w:val="24"/>
              </w:rPr>
              <w:t>Kavandatav lähenemisviis pestitsiidide ja nende asjakohaste metaboliitide reguleerimiseks</w:t>
            </w:r>
            <w:r w:rsidR="00FF3110">
              <w:rPr>
                <w:rFonts w:ascii="Times New Roman" w:hAnsi="Times New Roman" w:cs="Times New Roman"/>
                <w:sz w:val="24"/>
                <w:szCs w:val="24"/>
              </w:rPr>
              <w:t xml:space="preserve"> </w:t>
            </w:r>
            <w:r w:rsidRPr="00BC28C0">
              <w:rPr>
                <w:rFonts w:ascii="Times New Roman" w:hAnsi="Times New Roman" w:cs="Times New Roman"/>
                <w:sz w:val="24"/>
                <w:szCs w:val="24"/>
              </w:rPr>
              <w:t xml:space="preserve">pinnavees üldise keskkonnakvaliteedi standardi/piirväärtuste („kokku summa“, </w:t>
            </w:r>
            <w:proofErr w:type="spellStart"/>
            <w:r w:rsidRPr="00BC28C0">
              <w:rPr>
                <w:rFonts w:ascii="Times New Roman" w:hAnsi="Times New Roman" w:cs="Times New Roman"/>
                <w:i/>
                <w:iCs/>
                <w:sz w:val="24"/>
                <w:szCs w:val="24"/>
              </w:rPr>
              <w:t>ing</w:t>
            </w:r>
            <w:proofErr w:type="spellEnd"/>
            <w:r w:rsidRPr="00BC28C0">
              <w:rPr>
                <w:rFonts w:ascii="Times New Roman" w:hAnsi="Times New Roman" w:cs="Times New Roman"/>
                <w:i/>
                <w:iCs/>
                <w:sz w:val="24"/>
                <w:szCs w:val="24"/>
              </w:rPr>
              <w:t xml:space="preserve"> k „</w:t>
            </w:r>
            <w:proofErr w:type="spellStart"/>
            <w:r w:rsidRPr="00BC28C0">
              <w:rPr>
                <w:rFonts w:ascii="Times New Roman" w:hAnsi="Times New Roman" w:cs="Times New Roman"/>
                <w:i/>
                <w:iCs/>
                <w:sz w:val="24"/>
                <w:szCs w:val="24"/>
              </w:rPr>
              <w:t>total</w:t>
            </w:r>
            <w:proofErr w:type="spellEnd"/>
            <w:r w:rsidR="00FF3110">
              <w:rPr>
                <w:rFonts w:ascii="Times New Roman" w:hAnsi="Times New Roman" w:cs="Times New Roman"/>
                <w:sz w:val="24"/>
                <w:szCs w:val="24"/>
              </w:rPr>
              <w:t xml:space="preserve"> </w:t>
            </w:r>
            <w:r w:rsidRPr="00BC28C0">
              <w:rPr>
                <w:rFonts w:ascii="Times New Roman" w:hAnsi="Times New Roman" w:cs="Times New Roman"/>
                <w:i/>
                <w:iCs/>
                <w:sz w:val="24"/>
                <w:szCs w:val="24"/>
              </w:rPr>
              <w:t xml:space="preserve">EQS“) </w:t>
            </w:r>
            <w:r w:rsidRPr="00BC28C0">
              <w:rPr>
                <w:rFonts w:ascii="Times New Roman" w:hAnsi="Times New Roman" w:cs="Times New Roman"/>
                <w:sz w:val="24"/>
                <w:szCs w:val="24"/>
              </w:rPr>
              <w:t>kaudu, on tarbetu, kuna see ei põhine teadusel ning selle osas ei ole läbiviidud</w:t>
            </w:r>
            <w:r w:rsidR="00FF3110">
              <w:rPr>
                <w:rFonts w:ascii="Times New Roman" w:hAnsi="Times New Roman" w:cs="Times New Roman"/>
                <w:sz w:val="24"/>
                <w:szCs w:val="24"/>
              </w:rPr>
              <w:t xml:space="preserve"> </w:t>
            </w:r>
            <w:r w:rsidRPr="00BC28C0">
              <w:rPr>
                <w:rFonts w:ascii="Times New Roman" w:hAnsi="Times New Roman" w:cs="Times New Roman"/>
                <w:sz w:val="24"/>
                <w:szCs w:val="24"/>
              </w:rPr>
              <w:t>konsulteerimist ega tehtud mõjuhinnangut, mistõttu tuleks see meie hinnangul</w:t>
            </w:r>
            <w:r w:rsidR="00FF3110">
              <w:rPr>
                <w:rFonts w:ascii="Times New Roman" w:hAnsi="Times New Roman" w:cs="Times New Roman"/>
                <w:sz w:val="24"/>
                <w:szCs w:val="24"/>
              </w:rPr>
              <w:t xml:space="preserve"> </w:t>
            </w:r>
            <w:r w:rsidRPr="00BC28C0">
              <w:rPr>
                <w:rFonts w:ascii="Times New Roman" w:hAnsi="Times New Roman" w:cs="Times New Roman"/>
                <w:sz w:val="24"/>
                <w:szCs w:val="24"/>
              </w:rPr>
              <w:t>ettepanekust välja jätta.</w:t>
            </w:r>
          </w:p>
          <w:p w14:paraId="684341FD" w14:textId="0BDAAC17" w:rsidR="00BC28C0" w:rsidRDefault="00BC28C0" w:rsidP="00BC28C0">
            <w:pPr>
              <w:jc w:val="both"/>
              <w:rPr>
                <w:rFonts w:ascii="Times New Roman" w:hAnsi="Times New Roman" w:cs="Times New Roman"/>
                <w:sz w:val="24"/>
                <w:szCs w:val="24"/>
              </w:rPr>
            </w:pPr>
            <w:r w:rsidRPr="00BC28C0">
              <w:rPr>
                <w:rFonts w:ascii="Times New Roman" w:hAnsi="Times New Roman" w:cs="Times New Roman"/>
                <w:sz w:val="24"/>
                <w:szCs w:val="24"/>
              </w:rPr>
              <w:t>Veekaitset Euroopas reguleerivad mitmed direktiivid ja toetavad õigusaktid vee raamdirektiivi</w:t>
            </w:r>
            <w:r w:rsidR="00FF3110">
              <w:rPr>
                <w:rFonts w:ascii="Times New Roman" w:hAnsi="Times New Roman" w:cs="Times New Roman"/>
                <w:sz w:val="24"/>
                <w:szCs w:val="24"/>
              </w:rPr>
              <w:t xml:space="preserve"> </w:t>
            </w:r>
            <w:r w:rsidRPr="00BC28C0">
              <w:rPr>
                <w:rFonts w:ascii="Times New Roman" w:hAnsi="Times New Roman" w:cs="Times New Roman"/>
                <w:sz w:val="24"/>
                <w:szCs w:val="24"/>
              </w:rPr>
              <w:t xml:space="preserve">(edaspidi </w:t>
            </w:r>
            <w:r w:rsidRPr="00BC28C0">
              <w:rPr>
                <w:rFonts w:ascii="Times New Roman" w:hAnsi="Times New Roman" w:cs="Times New Roman"/>
                <w:i/>
                <w:iCs/>
                <w:sz w:val="24"/>
                <w:szCs w:val="24"/>
              </w:rPr>
              <w:t>WFD</w:t>
            </w:r>
            <w:r w:rsidRPr="00BC28C0">
              <w:rPr>
                <w:rFonts w:ascii="Times New Roman" w:hAnsi="Times New Roman" w:cs="Times New Roman"/>
                <w:sz w:val="24"/>
                <w:szCs w:val="24"/>
              </w:rPr>
              <w:t>) ja sellele vastava keskkonnakvaliteedi standardite/piirväärtuste direktiivi</w:t>
            </w:r>
            <w:r w:rsidR="00FF3110">
              <w:rPr>
                <w:rFonts w:ascii="Times New Roman" w:hAnsi="Times New Roman" w:cs="Times New Roman"/>
                <w:sz w:val="24"/>
                <w:szCs w:val="24"/>
              </w:rPr>
              <w:t xml:space="preserve"> </w:t>
            </w:r>
            <w:r w:rsidRPr="00BC28C0">
              <w:rPr>
                <w:rFonts w:ascii="Times New Roman" w:hAnsi="Times New Roman" w:cs="Times New Roman"/>
                <w:sz w:val="24"/>
                <w:szCs w:val="24"/>
              </w:rPr>
              <w:t xml:space="preserve">(edaspidi </w:t>
            </w:r>
            <w:r w:rsidRPr="00BC28C0">
              <w:rPr>
                <w:rFonts w:ascii="Times New Roman" w:hAnsi="Times New Roman" w:cs="Times New Roman"/>
                <w:i/>
                <w:iCs/>
                <w:sz w:val="24"/>
                <w:szCs w:val="24"/>
              </w:rPr>
              <w:t>EQSD</w:t>
            </w:r>
            <w:r w:rsidRPr="00BC28C0">
              <w:rPr>
                <w:rFonts w:ascii="Times New Roman" w:hAnsi="Times New Roman" w:cs="Times New Roman"/>
                <w:sz w:val="24"/>
                <w:szCs w:val="24"/>
              </w:rPr>
              <w:t>) alusel. Nende õigusaktide alusel määratakse kindlaks prioriteetsed ained ja</w:t>
            </w:r>
            <w:r w:rsidR="00FF3110">
              <w:rPr>
                <w:rFonts w:ascii="Times New Roman" w:hAnsi="Times New Roman" w:cs="Times New Roman"/>
                <w:sz w:val="24"/>
                <w:szCs w:val="24"/>
              </w:rPr>
              <w:t xml:space="preserve"> </w:t>
            </w:r>
            <w:r w:rsidRPr="00BC28C0">
              <w:rPr>
                <w:rFonts w:ascii="Times New Roman" w:hAnsi="Times New Roman" w:cs="Times New Roman"/>
                <w:sz w:val="24"/>
                <w:szCs w:val="24"/>
              </w:rPr>
              <w:t xml:space="preserve">kehtestatakse pinnavee standardid/piirväärtused. Põhjavee direktiiv (edaspidi </w:t>
            </w:r>
            <w:r w:rsidRPr="00BC28C0">
              <w:rPr>
                <w:rFonts w:ascii="Times New Roman" w:hAnsi="Times New Roman" w:cs="Times New Roman"/>
                <w:i/>
                <w:iCs/>
                <w:sz w:val="24"/>
                <w:szCs w:val="24"/>
              </w:rPr>
              <w:t>GWD</w:t>
            </w:r>
            <w:r w:rsidRPr="00BC28C0">
              <w:rPr>
                <w:rFonts w:ascii="Times New Roman" w:hAnsi="Times New Roman" w:cs="Times New Roman"/>
                <w:sz w:val="24"/>
                <w:szCs w:val="24"/>
              </w:rPr>
              <w:t>)</w:t>
            </w:r>
            <w:r w:rsidR="00FF3110">
              <w:rPr>
                <w:rFonts w:ascii="Times New Roman" w:hAnsi="Times New Roman" w:cs="Times New Roman"/>
                <w:sz w:val="24"/>
                <w:szCs w:val="24"/>
              </w:rPr>
              <w:t xml:space="preserve"> </w:t>
            </w:r>
            <w:r w:rsidRPr="00BC28C0">
              <w:rPr>
                <w:rFonts w:ascii="Times New Roman" w:hAnsi="Times New Roman" w:cs="Times New Roman"/>
                <w:sz w:val="24"/>
                <w:szCs w:val="24"/>
              </w:rPr>
              <w:t>kehtestab ka standardid põhjavees leiduvatele pestitsiididele ja nitraatidele ning seab</w:t>
            </w:r>
            <w:r w:rsidR="00FF3110">
              <w:rPr>
                <w:rFonts w:ascii="Times New Roman" w:hAnsi="Times New Roman" w:cs="Times New Roman"/>
                <w:sz w:val="24"/>
                <w:szCs w:val="24"/>
              </w:rPr>
              <w:t xml:space="preserve"> </w:t>
            </w:r>
            <w:r w:rsidRPr="00BC28C0">
              <w:rPr>
                <w:rFonts w:ascii="Times New Roman" w:hAnsi="Times New Roman" w:cs="Times New Roman"/>
                <w:sz w:val="24"/>
                <w:szCs w:val="24"/>
              </w:rPr>
              <w:t>piirmäärad paljudele teistele ainetele. 2019. aasta sobivuse kontroll (</w:t>
            </w:r>
            <w:proofErr w:type="spellStart"/>
            <w:r w:rsidRPr="00BC28C0">
              <w:rPr>
                <w:rFonts w:ascii="Times New Roman" w:hAnsi="Times New Roman" w:cs="Times New Roman"/>
                <w:sz w:val="24"/>
                <w:szCs w:val="24"/>
              </w:rPr>
              <w:t>ing</w:t>
            </w:r>
            <w:proofErr w:type="spellEnd"/>
            <w:r w:rsidRPr="00BC28C0">
              <w:rPr>
                <w:rFonts w:ascii="Times New Roman" w:hAnsi="Times New Roman" w:cs="Times New Roman"/>
                <w:sz w:val="24"/>
                <w:szCs w:val="24"/>
              </w:rPr>
              <w:t xml:space="preserve"> k </w:t>
            </w:r>
            <w:proofErr w:type="spellStart"/>
            <w:r w:rsidRPr="00BC28C0">
              <w:rPr>
                <w:rFonts w:ascii="Times New Roman" w:hAnsi="Times New Roman" w:cs="Times New Roman"/>
                <w:i/>
                <w:iCs/>
                <w:sz w:val="24"/>
                <w:szCs w:val="24"/>
              </w:rPr>
              <w:t>Fitness</w:t>
            </w:r>
            <w:proofErr w:type="spellEnd"/>
            <w:r w:rsidRPr="00BC28C0">
              <w:rPr>
                <w:rFonts w:ascii="Times New Roman" w:hAnsi="Times New Roman" w:cs="Times New Roman"/>
                <w:i/>
                <w:iCs/>
                <w:sz w:val="24"/>
                <w:szCs w:val="24"/>
              </w:rPr>
              <w:t xml:space="preserve"> </w:t>
            </w:r>
            <w:proofErr w:type="spellStart"/>
            <w:r w:rsidRPr="00BC28C0">
              <w:rPr>
                <w:rFonts w:ascii="Times New Roman" w:hAnsi="Times New Roman" w:cs="Times New Roman"/>
                <w:i/>
                <w:iCs/>
                <w:sz w:val="24"/>
                <w:szCs w:val="24"/>
              </w:rPr>
              <w:t>Check</w:t>
            </w:r>
            <w:proofErr w:type="spellEnd"/>
            <w:r w:rsidRPr="00BC28C0">
              <w:rPr>
                <w:rFonts w:ascii="Times New Roman" w:hAnsi="Times New Roman" w:cs="Times New Roman"/>
                <w:sz w:val="24"/>
                <w:szCs w:val="24"/>
              </w:rPr>
              <w:t>)</w:t>
            </w:r>
            <w:r w:rsidR="00FF3110">
              <w:rPr>
                <w:rFonts w:ascii="Times New Roman" w:hAnsi="Times New Roman" w:cs="Times New Roman"/>
                <w:sz w:val="24"/>
                <w:szCs w:val="24"/>
              </w:rPr>
              <w:t xml:space="preserve"> </w:t>
            </w:r>
            <w:r w:rsidRPr="00BC28C0">
              <w:rPr>
                <w:rFonts w:ascii="Times New Roman" w:hAnsi="Times New Roman" w:cs="Times New Roman"/>
                <w:sz w:val="24"/>
                <w:szCs w:val="24"/>
              </w:rPr>
              <w:t>kinnitas, et vee raamdirektiiv ise muutmist ei vaja, kuid saasteainete loetelud tuleb teaduse</w:t>
            </w:r>
            <w:r w:rsidR="00FF3110">
              <w:rPr>
                <w:rFonts w:ascii="Times New Roman" w:hAnsi="Times New Roman" w:cs="Times New Roman"/>
                <w:sz w:val="24"/>
                <w:szCs w:val="24"/>
              </w:rPr>
              <w:t xml:space="preserve"> </w:t>
            </w:r>
            <w:r w:rsidRPr="00BC28C0">
              <w:rPr>
                <w:rFonts w:ascii="Times New Roman" w:hAnsi="Times New Roman" w:cs="Times New Roman"/>
                <w:sz w:val="24"/>
                <w:szCs w:val="24"/>
              </w:rPr>
              <w:t>arengut silmas pidades läbi vaadata.</w:t>
            </w:r>
          </w:p>
          <w:p w14:paraId="6998985D" w14:textId="77777777" w:rsidR="00FF3110" w:rsidRPr="00BC28C0" w:rsidRDefault="00FF3110" w:rsidP="00BC28C0">
            <w:pPr>
              <w:jc w:val="both"/>
              <w:rPr>
                <w:rFonts w:ascii="Times New Roman" w:hAnsi="Times New Roman" w:cs="Times New Roman"/>
                <w:sz w:val="24"/>
                <w:szCs w:val="24"/>
              </w:rPr>
            </w:pPr>
          </w:p>
          <w:p w14:paraId="77476278" w14:textId="77777777" w:rsidR="00BC28C0" w:rsidRPr="00BC28C0" w:rsidRDefault="00BC28C0" w:rsidP="00BC28C0">
            <w:pPr>
              <w:jc w:val="both"/>
              <w:rPr>
                <w:rFonts w:ascii="Times New Roman" w:hAnsi="Times New Roman" w:cs="Times New Roman"/>
                <w:b/>
                <w:bCs/>
                <w:sz w:val="24"/>
                <w:szCs w:val="24"/>
              </w:rPr>
            </w:pPr>
            <w:r w:rsidRPr="00BC28C0">
              <w:rPr>
                <w:rFonts w:ascii="Times New Roman" w:hAnsi="Times New Roman" w:cs="Times New Roman"/>
                <w:b/>
                <w:bCs/>
                <w:sz w:val="24"/>
                <w:szCs w:val="24"/>
              </w:rPr>
              <w:t>Ettepanek võtta kasutusele uued standardid/piirväärtused</w:t>
            </w:r>
          </w:p>
          <w:p w14:paraId="3EBB932F" w14:textId="6729D9F0" w:rsidR="00BC28C0" w:rsidRPr="00BC28C0" w:rsidRDefault="00BC28C0" w:rsidP="00BC28C0">
            <w:pPr>
              <w:jc w:val="both"/>
              <w:rPr>
                <w:rFonts w:ascii="Times New Roman" w:hAnsi="Times New Roman" w:cs="Times New Roman"/>
                <w:sz w:val="24"/>
                <w:szCs w:val="24"/>
              </w:rPr>
            </w:pPr>
            <w:r w:rsidRPr="00BC28C0">
              <w:rPr>
                <w:rFonts w:ascii="Times New Roman" w:hAnsi="Times New Roman" w:cs="Times New Roman"/>
                <w:sz w:val="24"/>
                <w:szCs w:val="24"/>
              </w:rPr>
              <w:lastRenderedPageBreak/>
              <w:t>Komisjonil on õiguslik kohustus vaadata perioodiliselt läbi veepoliitika raamdirektiivis</w:t>
            </w:r>
            <w:r w:rsidR="00FF3110">
              <w:rPr>
                <w:rFonts w:ascii="Times New Roman" w:hAnsi="Times New Roman" w:cs="Times New Roman"/>
                <w:sz w:val="24"/>
                <w:szCs w:val="24"/>
              </w:rPr>
              <w:t xml:space="preserve"> </w:t>
            </w:r>
            <w:r w:rsidRPr="00BC28C0">
              <w:rPr>
                <w:rFonts w:ascii="Times New Roman" w:hAnsi="Times New Roman" w:cs="Times New Roman"/>
                <w:sz w:val="24"/>
                <w:szCs w:val="24"/>
              </w:rPr>
              <w:t>sätestatud prioriteetsete ainete loetelu, keskkonnakvaliteedi direktiivi</w:t>
            </w:r>
            <w:r w:rsidR="00FF3110">
              <w:rPr>
                <w:rFonts w:ascii="Times New Roman" w:hAnsi="Times New Roman" w:cs="Times New Roman"/>
                <w:sz w:val="24"/>
                <w:szCs w:val="24"/>
              </w:rPr>
              <w:t xml:space="preserve"> </w:t>
            </w:r>
            <w:r w:rsidRPr="00BC28C0">
              <w:rPr>
                <w:rFonts w:ascii="Times New Roman" w:hAnsi="Times New Roman" w:cs="Times New Roman"/>
                <w:sz w:val="24"/>
                <w:szCs w:val="24"/>
              </w:rPr>
              <w:t>standardid/piirväärtused ning vee raamdirektiivis sisalduvad saasteained ja</w:t>
            </w:r>
            <w:r w:rsidR="00FF3110">
              <w:rPr>
                <w:rFonts w:ascii="Times New Roman" w:hAnsi="Times New Roman" w:cs="Times New Roman"/>
                <w:sz w:val="24"/>
                <w:szCs w:val="24"/>
              </w:rPr>
              <w:t xml:space="preserve"> </w:t>
            </w:r>
            <w:r w:rsidRPr="00BC28C0">
              <w:rPr>
                <w:rFonts w:ascii="Times New Roman" w:hAnsi="Times New Roman" w:cs="Times New Roman"/>
                <w:sz w:val="24"/>
                <w:szCs w:val="24"/>
              </w:rPr>
              <w:t>standardid/piirväärtused. Õigusloomepaketi osana teeb komisjon ettepaneku GWD</w:t>
            </w:r>
            <w:r w:rsidR="00FF3110">
              <w:rPr>
                <w:rFonts w:ascii="Times New Roman" w:hAnsi="Times New Roman" w:cs="Times New Roman"/>
                <w:sz w:val="24"/>
                <w:szCs w:val="24"/>
              </w:rPr>
              <w:t xml:space="preserve"> </w:t>
            </w:r>
            <w:r w:rsidRPr="00BC28C0">
              <w:rPr>
                <w:rFonts w:ascii="Times New Roman" w:hAnsi="Times New Roman" w:cs="Times New Roman"/>
                <w:sz w:val="24"/>
                <w:szCs w:val="24"/>
              </w:rPr>
              <w:t>läbivaatamiseks, kehtestades uued kogu ELi hõlmavad kvaliteedistandardid/-piirväärtused,</w:t>
            </w:r>
            <w:r w:rsidR="00FF3110">
              <w:rPr>
                <w:rFonts w:ascii="Times New Roman" w:hAnsi="Times New Roman" w:cs="Times New Roman"/>
                <w:sz w:val="24"/>
                <w:szCs w:val="24"/>
              </w:rPr>
              <w:t xml:space="preserve"> </w:t>
            </w:r>
            <w:r w:rsidRPr="00BC28C0">
              <w:rPr>
                <w:rFonts w:ascii="Times New Roman" w:hAnsi="Times New Roman" w:cs="Times New Roman"/>
                <w:sz w:val="24"/>
                <w:szCs w:val="24"/>
              </w:rPr>
              <w:t>mida kasutatakse pestitsiidide ebaoluliste metaboliitide seiretulemuste hindamiseks, mis</w:t>
            </w:r>
            <w:r w:rsidR="00FF3110">
              <w:rPr>
                <w:rFonts w:ascii="Times New Roman" w:hAnsi="Times New Roman" w:cs="Times New Roman"/>
                <w:sz w:val="24"/>
                <w:szCs w:val="24"/>
              </w:rPr>
              <w:t xml:space="preserve"> </w:t>
            </w:r>
            <w:r w:rsidRPr="00BC28C0">
              <w:rPr>
                <w:rFonts w:ascii="Times New Roman" w:hAnsi="Times New Roman" w:cs="Times New Roman"/>
                <w:sz w:val="24"/>
                <w:szCs w:val="24"/>
              </w:rPr>
              <w:t>varieeruvad olenevalt andmete olemasolust või saadaolevatest andmete hulgast.</w:t>
            </w:r>
          </w:p>
          <w:p w14:paraId="64F5AC0D" w14:textId="7A4D1292" w:rsidR="00BC28C0" w:rsidRPr="00BC28C0" w:rsidRDefault="00BC28C0" w:rsidP="00BC28C0">
            <w:pPr>
              <w:jc w:val="both"/>
              <w:rPr>
                <w:rFonts w:ascii="Times New Roman" w:hAnsi="Times New Roman" w:cs="Times New Roman"/>
                <w:sz w:val="24"/>
                <w:szCs w:val="24"/>
              </w:rPr>
            </w:pPr>
            <w:r w:rsidRPr="00BC28C0">
              <w:rPr>
                <w:rFonts w:ascii="Times New Roman" w:hAnsi="Times New Roman" w:cs="Times New Roman"/>
                <w:sz w:val="24"/>
                <w:szCs w:val="24"/>
              </w:rPr>
              <w:t>Keemilised ained lagunevad, moodustades keskkonnas metaboliite ja lõpuks lagunevad</w:t>
            </w:r>
            <w:r w:rsidR="00FF3110">
              <w:rPr>
                <w:rFonts w:ascii="Times New Roman" w:hAnsi="Times New Roman" w:cs="Times New Roman"/>
                <w:sz w:val="24"/>
                <w:szCs w:val="24"/>
              </w:rPr>
              <w:t xml:space="preserve"> </w:t>
            </w:r>
            <w:r w:rsidRPr="00BC28C0">
              <w:rPr>
                <w:rFonts w:ascii="Times New Roman" w:hAnsi="Times New Roman" w:cs="Times New Roman"/>
                <w:sz w:val="24"/>
                <w:szCs w:val="24"/>
              </w:rPr>
              <w:t>süsinikdioksiidiks ja veeks. Seetõttu on (mitteoluliste, st mittetoksiliste) metaboliitide</w:t>
            </w:r>
            <w:r w:rsidR="00FF3110">
              <w:rPr>
                <w:rFonts w:ascii="Times New Roman" w:hAnsi="Times New Roman" w:cs="Times New Roman"/>
                <w:sz w:val="24"/>
                <w:szCs w:val="24"/>
              </w:rPr>
              <w:t xml:space="preserve"> </w:t>
            </w:r>
            <w:r w:rsidRPr="00BC28C0">
              <w:rPr>
                <w:rFonts w:ascii="Times New Roman" w:hAnsi="Times New Roman" w:cs="Times New Roman"/>
                <w:sz w:val="24"/>
                <w:szCs w:val="24"/>
              </w:rPr>
              <w:t>moodustumine soovitav protsess, et vältida kemikaalide püsimist keskkonnas. Mitteolulised</w:t>
            </w:r>
            <w:r w:rsidR="00FF3110">
              <w:rPr>
                <w:rFonts w:ascii="Times New Roman" w:hAnsi="Times New Roman" w:cs="Times New Roman"/>
                <w:sz w:val="24"/>
                <w:szCs w:val="24"/>
              </w:rPr>
              <w:t xml:space="preserve"> </w:t>
            </w:r>
            <w:r w:rsidRPr="00BC28C0">
              <w:rPr>
                <w:rFonts w:ascii="Times New Roman" w:hAnsi="Times New Roman" w:cs="Times New Roman"/>
                <w:sz w:val="24"/>
                <w:szCs w:val="24"/>
              </w:rPr>
              <w:t>pestitsiidide metaboliidid määratletakse mittetoksiliste ainetena pärast põhjalikku riskide</w:t>
            </w:r>
            <w:r w:rsidR="00FF3110">
              <w:rPr>
                <w:rFonts w:ascii="Times New Roman" w:hAnsi="Times New Roman" w:cs="Times New Roman"/>
                <w:sz w:val="24"/>
                <w:szCs w:val="24"/>
              </w:rPr>
              <w:t xml:space="preserve"> </w:t>
            </w:r>
            <w:r w:rsidRPr="00BC28C0">
              <w:rPr>
                <w:rFonts w:ascii="Times New Roman" w:hAnsi="Times New Roman" w:cs="Times New Roman"/>
                <w:sz w:val="24"/>
                <w:szCs w:val="24"/>
              </w:rPr>
              <w:t>hindamist inimese tervise ja keskkonna ohutuse seisukohast.</w:t>
            </w:r>
          </w:p>
          <w:p w14:paraId="447C15E4" w14:textId="0D1D182E" w:rsidR="00BC28C0" w:rsidRPr="00FF3110" w:rsidRDefault="00BC28C0" w:rsidP="00BC28C0">
            <w:pPr>
              <w:jc w:val="both"/>
              <w:rPr>
                <w:rFonts w:ascii="Times New Roman" w:hAnsi="Times New Roman" w:cs="Times New Roman"/>
                <w:i/>
                <w:iCs/>
                <w:sz w:val="24"/>
                <w:szCs w:val="24"/>
              </w:rPr>
            </w:pPr>
            <w:r w:rsidRPr="00BC28C0">
              <w:rPr>
                <w:rFonts w:ascii="Times New Roman" w:hAnsi="Times New Roman" w:cs="Times New Roman"/>
                <w:sz w:val="24"/>
                <w:szCs w:val="24"/>
              </w:rPr>
              <w:t>Ajakohastatud ELi juhendis „</w:t>
            </w:r>
            <w:proofErr w:type="spellStart"/>
            <w:r w:rsidRPr="00BC28C0">
              <w:rPr>
                <w:rFonts w:ascii="Times New Roman" w:hAnsi="Times New Roman" w:cs="Times New Roman"/>
                <w:i/>
                <w:iCs/>
                <w:sz w:val="24"/>
                <w:szCs w:val="24"/>
              </w:rPr>
              <w:t>Guidance</w:t>
            </w:r>
            <w:proofErr w:type="spellEnd"/>
            <w:r w:rsidRPr="00BC28C0">
              <w:rPr>
                <w:rFonts w:ascii="Times New Roman" w:hAnsi="Times New Roman" w:cs="Times New Roman"/>
                <w:i/>
                <w:iCs/>
                <w:sz w:val="24"/>
                <w:szCs w:val="24"/>
              </w:rPr>
              <w:t xml:space="preserve"> Document on </w:t>
            </w:r>
            <w:proofErr w:type="spellStart"/>
            <w:r w:rsidRPr="00BC28C0">
              <w:rPr>
                <w:rFonts w:ascii="Times New Roman" w:hAnsi="Times New Roman" w:cs="Times New Roman"/>
                <w:i/>
                <w:iCs/>
                <w:sz w:val="24"/>
                <w:szCs w:val="24"/>
              </w:rPr>
              <w:t>the</w:t>
            </w:r>
            <w:proofErr w:type="spellEnd"/>
            <w:r w:rsidRPr="00BC28C0">
              <w:rPr>
                <w:rFonts w:ascii="Times New Roman" w:hAnsi="Times New Roman" w:cs="Times New Roman"/>
                <w:i/>
                <w:iCs/>
                <w:sz w:val="24"/>
                <w:szCs w:val="24"/>
              </w:rPr>
              <w:t xml:space="preserve"> </w:t>
            </w:r>
            <w:proofErr w:type="spellStart"/>
            <w:r w:rsidRPr="00BC28C0">
              <w:rPr>
                <w:rFonts w:ascii="Times New Roman" w:hAnsi="Times New Roman" w:cs="Times New Roman"/>
                <w:i/>
                <w:iCs/>
                <w:sz w:val="24"/>
                <w:szCs w:val="24"/>
              </w:rPr>
              <w:t>Assessment</w:t>
            </w:r>
            <w:proofErr w:type="spellEnd"/>
            <w:r w:rsidRPr="00BC28C0">
              <w:rPr>
                <w:rFonts w:ascii="Times New Roman" w:hAnsi="Times New Roman" w:cs="Times New Roman"/>
                <w:i/>
                <w:iCs/>
                <w:sz w:val="24"/>
                <w:szCs w:val="24"/>
              </w:rPr>
              <w:t xml:space="preserve"> of </w:t>
            </w:r>
            <w:proofErr w:type="spellStart"/>
            <w:r w:rsidRPr="00BC28C0">
              <w:rPr>
                <w:rFonts w:ascii="Times New Roman" w:hAnsi="Times New Roman" w:cs="Times New Roman"/>
                <w:i/>
                <w:iCs/>
                <w:sz w:val="24"/>
                <w:szCs w:val="24"/>
              </w:rPr>
              <w:t>the</w:t>
            </w:r>
            <w:proofErr w:type="spellEnd"/>
            <w:r w:rsidRPr="00BC28C0">
              <w:rPr>
                <w:rFonts w:ascii="Times New Roman" w:hAnsi="Times New Roman" w:cs="Times New Roman"/>
                <w:i/>
                <w:iCs/>
                <w:sz w:val="24"/>
                <w:szCs w:val="24"/>
              </w:rPr>
              <w:t xml:space="preserve"> </w:t>
            </w:r>
            <w:proofErr w:type="spellStart"/>
            <w:r w:rsidRPr="00BC28C0">
              <w:rPr>
                <w:rFonts w:ascii="Times New Roman" w:hAnsi="Times New Roman" w:cs="Times New Roman"/>
                <w:i/>
                <w:iCs/>
                <w:sz w:val="24"/>
                <w:szCs w:val="24"/>
              </w:rPr>
              <w:t>relevance</w:t>
            </w:r>
            <w:proofErr w:type="spellEnd"/>
            <w:r w:rsidRPr="00BC28C0">
              <w:rPr>
                <w:rFonts w:ascii="Times New Roman" w:hAnsi="Times New Roman" w:cs="Times New Roman"/>
                <w:i/>
                <w:iCs/>
                <w:sz w:val="24"/>
                <w:szCs w:val="24"/>
              </w:rPr>
              <w:t xml:space="preserve"> of</w:t>
            </w:r>
            <w:r w:rsidR="00FF3110">
              <w:rPr>
                <w:rFonts w:ascii="Times New Roman" w:hAnsi="Times New Roman" w:cs="Times New Roman"/>
                <w:i/>
                <w:iCs/>
                <w:sz w:val="24"/>
                <w:szCs w:val="24"/>
              </w:rPr>
              <w:t xml:space="preserve"> </w:t>
            </w:r>
            <w:proofErr w:type="spellStart"/>
            <w:r w:rsidRPr="00BC28C0">
              <w:rPr>
                <w:rFonts w:ascii="Times New Roman" w:hAnsi="Times New Roman" w:cs="Times New Roman"/>
                <w:i/>
                <w:iCs/>
                <w:sz w:val="24"/>
                <w:szCs w:val="24"/>
              </w:rPr>
              <w:t>metabolites</w:t>
            </w:r>
            <w:proofErr w:type="spellEnd"/>
            <w:r w:rsidRPr="00BC28C0">
              <w:rPr>
                <w:rFonts w:ascii="Times New Roman" w:hAnsi="Times New Roman" w:cs="Times New Roman"/>
                <w:i/>
                <w:iCs/>
                <w:sz w:val="24"/>
                <w:szCs w:val="24"/>
              </w:rPr>
              <w:t xml:space="preserve"> in </w:t>
            </w:r>
            <w:proofErr w:type="spellStart"/>
            <w:r w:rsidRPr="00BC28C0">
              <w:rPr>
                <w:rFonts w:ascii="Times New Roman" w:hAnsi="Times New Roman" w:cs="Times New Roman"/>
                <w:i/>
                <w:iCs/>
                <w:sz w:val="24"/>
                <w:szCs w:val="24"/>
              </w:rPr>
              <w:t>groundwater</w:t>
            </w:r>
            <w:proofErr w:type="spellEnd"/>
            <w:r w:rsidRPr="00BC28C0">
              <w:rPr>
                <w:rFonts w:ascii="Times New Roman" w:hAnsi="Times New Roman" w:cs="Times New Roman"/>
                <w:i/>
                <w:iCs/>
                <w:sz w:val="24"/>
                <w:szCs w:val="24"/>
              </w:rPr>
              <w:t xml:space="preserve"> of </w:t>
            </w:r>
            <w:proofErr w:type="spellStart"/>
            <w:r w:rsidRPr="00BC28C0">
              <w:rPr>
                <w:rFonts w:ascii="Times New Roman" w:hAnsi="Times New Roman" w:cs="Times New Roman"/>
                <w:i/>
                <w:iCs/>
                <w:sz w:val="24"/>
                <w:szCs w:val="24"/>
              </w:rPr>
              <w:t>substances</w:t>
            </w:r>
            <w:proofErr w:type="spellEnd"/>
            <w:r w:rsidRPr="00BC28C0">
              <w:rPr>
                <w:rFonts w:ascii="Times New Roman" w:hAnsi="Times New Roman" w:cs="Times New Roman"/>
                <w:i/>
                <w:iCs/>
                <w:sz w:val="24"/>
                <w:szCs w:val="24"/>
              </w:rPr>
              <w:t xml:space="preserve"> </w:t>
            </w:r>
            <w:proofErr w:type="spellStart"/>
            <w:r w:rsidRPr="00BC28C0">
              <w:rPr>
                <w:rFonts w:ascii="Times New Roman" w:hAnsi="Times New Roman" w:cs="Times New Roman"/>
                <w:i/>
                <w:iCs/>
                <w:sz w:val="24"/>
                <w:szCs w:val="24"/>
              </w:rPr>
              <w:t>regulated</w:t>
            </w:r>
            <w:proofErr w:type="spellEnd"/>
            <w:r w:rsidRPr="00BC28C0">
              <w:rPr>
                <w:rFonts w:ascii="Times New Roman" w:hAnsi="Times New Roman" w:cs="Times New Roman"/>
                <w:i/>
                <w:iCs/>
                <w:sz w:val="24"/>
                <w:szCs w:val="24"/>
              </w:rPr>
              <w:t xml:space="preserve"> Under </w:t>
            </w:r>
            <w:proofErr w:type="spellStart"/>
            <w:r w:rsidRPr="00BC28C0">
              <w:rPr>
                <w:rFonts w:ascii="Times New Roman" w:hAnsi="Times New Roman" w:cs="Times New Roman"/>
                <w:i/>
                <w:iCs/>
                <w:sz w:val="24"/>
                <w:szCs w:val="24"/>
              </w:rPr>
              <w:t>council</w:t>
            </w:r>
            <w:proofErr w:type="spellEnd"/>
            <w:r w:rsidRPr="00BC28C0">
              <w:rPr>
                <w:rFonts w:ascii="Times New Roman" w:hAnsi="Times New Roman" w:cs="Times New Roman"/>
                <w:i/>
                <w:iCs/>
                <w:sz w:val="24"/>
                <w:szCs w:val="24"/>
              </w:rPr>
              <w:t xml:space="preserve"> </w:t>
            </w:r>
            <w:proofErr w:type="spellStart"/>
            <w:r w:rsidRPr="00BC28C0">
              <w:rPr>
                <w:rFonts w:ascii="Times New Roman" w:hAnsi="Times New Roman" w:cs="Times New Roman"/>
                <w:i/>
                <w:iCs/>
                <w:sz w:val="24"/>
                <w:szCs w:val="24"/>
              </w:rPr>
              <w:t>directive</w:t>
            </w:r>
            <w:proofErr w:type="spellEnd"/>
            <w:r w:rsidRPr="00BC28C0">
              <w:rPr>
                <w:rFonts w:ascii="Times New Roman" w:hAnsi="Times New Roman" w:cs="Times New Roman"/>
                <w:i/>
                <w:iCs/>
                <w:sz w:val="24"/>
                <w:szCs w:val="24"/>
              </w:rPr>
              <w:t xml:space="preserve"> 91/414/EEC</w:t>
            </w:r>
            <w:r w:rsidRPr="00BC28C0">
              <w:rPr>
                <w:rFonts w:ascii="Times New Roman" w:hAnsi="Times New Roman" w:cs="Times New Roman"/>
                <w:sz w:val="24"/>
                <w:szCs w:val="24"/>
              </w:rPr>
              <w:t>“</w:t>
            </w:r>
            <w:r w:rsidR="00FF3110">
              <w:rPr>
                <w:rFonts w:ascii="Times New Roman" w:hAnsi="Times New Roman" w:cs="Times New Roman"/>
                <w:sz w:val="24"/>
                <w:szCs w:val="24"/>
              </w:rPr>
              <w:t xml:space="preserve"> </w:t>
            </w:r>
            <w:r w:rsidRPr="00BC28C0">
              <w:rPr>
                <w:rFonts w:ascii="Times New Roman" w:hAnsi="Times New Roman" w:cs="Times New Roman"/>
                <w:sz w:val="24"/>
                <w:szCs w:val="24"/>
              </w:rPr>
              <w:t xml:space="preserve">(SANCO/221/2000 </w:t>
            </w:r>
            <w:proofErr w:type="spellStart"/>
            <w:r w:rsidRPr="00BC28C0">
              <w:rPr>
                <w:rFonts w:ascii="Times New Roman" w:hAnsi="Times New Roman" w:cs="Times New Roman"/>
                <w:sz w:val="24"/>
                <w:szCs w:val="24"/>
              </w:rPr>
              <w:t>rev</w:t>
            </w:r>
            <w:proofErr w:type="spellEnd"/>
            <w:r w:rsidRPr="00BC28C0">
              <w:rPr>
                <w:rFonts w:ascii="Times New Roman" w:hAnsi="Times New Roman" w:cs="Times New Roman"/>
                <w:sz w:val="24"/>
                <w:szCs w:val="24"/>
              </w:rPr>
              <w:t>. 11) pestitsiidide metaboliitide kohta kirjeldatakse kõikehõlmavat</w:t>
            </w:r>
            <w:r w:rsidR="00FF3110">
              <w:rPr>
                <w:rFonts w:ascii="Times New Roman" w:hAnsi="Times New Roman" w:cs="Times New Roman"/>
                <w:sz w:val="24"/>
                <w:szCs w:val="24"/>
              </w:rPr>
              <w:t xml:space="preserve"> </w:t>
            </w:r>
            <w:r w:rsidRPr="00BC28C0">
              <w:rPr>
                <w:rFonts w:ascii="Times New Roman" w:hAnsi="Times New Roman" w:cs="Times New Roman"/>
                <w:sz w:val="24"/>
                <w:szCs w:val="24"/>
              </w:rPr>
              <w:t>hindamist, et tõendada nr-metaboliitide (mitteoluliste metaboliitide) toksilisuse puudumist,</w:t>
            </w:r>
            <w:r w:rsidR="00FF3110">
              <w:rPr>
                <w:rFonts w:ascii="Times New Roman" w:hAnsi="Times New Roman" w:cs="Times New Roman"/>
                <w:sz w:val="24"/>
                <w:szCs w:val="24"/>
              </w:rPr>
              <w:t xml:space="preserve"> </w:t>
            </w:r>
            <w:r w:rsidRPr="00BC28C0">
              <w:rPr>
                <w:rFonts w:ascii="Times New Roman" w:hAnsi="Times New Roman" w:cs="Times New Roman"/>
                <w:sz w:val="24"/>
                <w:szCs w:val="24"/>
              </w:rPr>
              <w:t xml:space="preserve">mis omakorda võimaldab kasutada kvaliteedistandardit 10 </w:t>
            </w:r>
            <w:proofErr w:type="spellStart"/>
            <w:r w:rsidRPr="00BC28C0">
              <w:rPr>
                <w:rFonts w:ascii="Times New Roman" w:hAnsi="Times New Roman" w:cs="Times New Roman"/>
                <w:sz w:val="24"/>
                <w:szCs w:val="24"/>
              </w:rPr>
              <w:t>μg</w:t>
            </w:r>
            <w:proofErr w:type="spellEnd"/>
            <w:r w:rsidRPr="00BC28C0">
              <w:rPr>
                <w:rFonts w:ascii="Times New Roman" w:hAnsi="Times New Roman" w:cs="Times New Roman"/>
                <w:sz w:val="24"/>
                <w:szCs w:val="24"/>
              </w:rPr>
              <w:t>/l või rohkem, kui see on</w:t>
            </w:r>
            <w:r w:rsidR="00FF3110">
              <w:rPr>
                <w:rFonts w:ascii="Times New Roman" w:hAnsi="Times New Roman" w:cs="Times New Roman"/>
                <w:sz w:val="24"/>
                <w:szCs w:val="24"/>
              </w:rPr>
              <w:t xml:space="preserve"> </w:t>
            </w:r>
            <w:r w:rsidRPr="00BC28C0">
              <w:rPr>
                <w:rFonts w:ascii="Times New Roman" w:hAnsi="Times New Roman" w:cs="Times New Roman"/>
                <w:sz w:val="24"/>
                <w:szCs w:val="24"/>
              </w:rPr>
              <w:t xml:space="preserve">teaduslikult põhjendatud. See põhimõte on määratletud taimekaitsevahendite </w:t>
            </w:r>
            <w:proofErr w:type="spellStart"/>
            <w:r w:rsidRPr="00BC28C0">
              <w:rPr>
                <w:rFonts w:ascii="Times New Roman" w:hAnsi="Times New Roman" w:cs="Times New Roman"/>
                <w:sz w:val="24"/>
                <w:szCs w:val="24"/>
              </w:rPr>
              <w:t>turulelaskmist</w:t>
            </w:r>
            <w:proofErr w:type="spellEnd"/>
            <w:r w:rsidR="00FF3110">
              <w:rPr>
                <w:rFonts w:ascii="Times New Roman" w:hAnsi="Times New Roman" w:cs="Times New Roman"/>
                <w:sz w:val="24"/>
                <w:szCs w:val="24"/>
              </w:rPr>
              <w:t xml:space="preserve"> </w:t>
            </w:r>
            <w:r w:rsidRPr="00BC28C0">
              <w:rPr>
                <w:rFonts w:ascii="Times New Roman" w:hAnsi="Times New Roman" w:cs="Times New Roman"/>
                <w:sz w:val="24"/>
                <w:szCs w:val="24"/>
              </w:rPr>
              <w:t>käsitlevas Euroopa Parlamendi ja nõukogu määruses (EÜ) nr 1107/2009 ja sellele viidatakse</w:t>
            </w:r>
            <w:r w:rsidR="00FF3110">
              <w:rPr>
                <w:rFonts w:ascii="Times New Roman" w:hAnsi="Times New Roman" w:cs="Times New Roman"/>
                <w:sz w:val="24"/>
                <w:szCs w:val="24"/>
              </w:rPr>
              <w:t xml:space="preserve"> </w:t>
            </w:r>
            <w:r w:rsidRPr="00BC28C0">
              <w:rPr>
                <w:rFonts w:ascii="Times New Roman" w:hAnsi="Times New Roman" w:cs="Times New Roman"/>
                <w:sz w:val="24"/>
                <w:szCs w:val="24"/>
              </w:rPr>
              <w:t>hiljuti muudetud joogivee direktiivis (2020/2184) ning see kehtib ka biotsiidide kohta.</w:t>
            </w:r>
          </w:p>
          <w:p w14:paraId="6BC3CECC" w14:textId="698E1263" w:rsidR="00BC28C0" w:rsidRPr="00BC28C0" w:rsidRDefault="00BC28C0" w:rsidP="00BC28C0">
            <w:pPr>
              <w:jc w:val="both"/>
              <w:rPr>
                <w:rFonts w:ascii="Times New Roman" w:hAnsi="Times New Roman" w:cs="Times New Roman"/>
                <w:sz w:val="24"/>
                <w:szCs w:val="24"/>
              </w:rPr>
            </w:pPr>
            <w:r w:rsidRPr="00BC28C0">
              <w:rPr>
                <w:rFonts w:ascii="Times New Roman" w:hAnsi="Times New Roman" w:cs="Times New Roman"/>
                <w:sz w:val="24"/>
                <w:szCs w:val="24"/>
              </w:rPr>
              <w:t>Meie hinnangul Komisjoni käesolev ettepanek ei vii asjakohaseid õigusakte vastavusse ja võib</w:t>
            </w:r>
            <w:r w:rsidR="00FF3110">
              <w:rPr>
                <w:rFonts w:ascii="Times New Roman" w:hAnsi="Times New Roman" w:cs="Times New Roman"/>
                <w:sz w:val="24"/>
                <w:szCs w:val="24"/>
              </w:rPr>
              <w:t xml:space="preserve"> </w:t>
            </w:r>
            <w:r w:rsidRPr="00BC28C0">
              <w:rPr>
                <w:rFonts w:ascii="Times New Roman" w:hAnsi="Times New Roman" w:cs="Times New Roman"/>
                <w:sz w:val="24"/>
                <w:szCs w:val="24"/>
              </w:rPr>
              <w:t>tekitada niigi keerukas reguleerivas raamistikus täiendavat segadust ning sellest tulenevalt</w:t>
            </w:r>
            <w:r w:rsidR="00FF3110">
              <w:rPr>
                <w:rFonts w:ascii="Times New Roman" w:hAnsi="Times New Roman" w:cs="Times New Roman"/>
                <w:sz w:val="24"/>
                <w:szCs w:val="24"/>
              </w:rPr>
              <w:t xml:space="preserve"> </w:t>
            </w:r>
            <w:r w:rsidRPr="00BC28C0">
              <w:rPr>
                <w:rFonts w:ascii="Times New Roman" w:hAnsi="Times New Roman" w:cs="Times New Roman"/>
                <w:sz w:val="24"/>
                <w:szCs w:val="24"/>
              </w:rPr>
              <w:t>võib kaasneda põhjendamatuid piiranguid taimekaitsevahendite kättesaadavusele Euroopas.</w:t>
            </w:r>
          </w:p>
          <w:p w14:paraId="0BCEE21B" w14:textId="0459B319" w:rsidR="00BC28C0" w:rsidRDefault="00BC28C0" w:rsidP="00BC28C0">
            <w:pPr>
              <w:jc w:val="both"/>
              <w:rPr>
                <w:rFonts w:ascii="Times New Roman" w:hAnsi="Times New Roman" w:cs="Times New Roman"/>
                <w:sz w:val="24"/>
                <w:szCs w:val="24"/>
              </w:rPr>
            </w:pPr>
            <w:r w:rsidRPr="00BC28C0">
              <w:rPr>
                <w:rFonts w:ascii="Times New Roman" w:hAnsi="Times New Roman" w:cs="Times New Roman"/>
                <w:sz w:val="24"/>
                <w:szCs w:val="24"/>
              </w:rPr>
              <w:t>Ainete valimiseks ja kvaliteedistandardite/keskkonnakvaliteedi standardite (piirväärtuste)</w:t>
            </w:r>
            <w:r w:rsidR="00FF3110">
              <w:rPr>
                <w:rFonts w:ascii="Times New Roman" w:hAnsi="Times New Roman" w:cs="Times New Roman"/>
                <w:sz w:val="24"/>
                <w:szCs w:val="24"/>
              </w:rPr>
              <w:t xml:space="preserve"> </w:t>
            </w:r>
            <w:r w:rsidRPr="00BC28C0">
              <w:rPr>
                <w:rFonts w:ascii="Times New Roman" w:hAnsi="Times New Roman" w:cs="Times New Roman"/>
                <w:sz w:val="24"/>
                <w:szCs w:val="24"/>
              </w:rPr>
              <w:t xml:space="preserve">kehtestamiseks on olemas väljakujunenud </w:t>
            </w:r>
            <w:r w:rsidRPr="00BC28C0">
              <w:rPr>
                <w:rFonts w:ascii="Times New Roman" w:hAnsi="Times New Roman" w:cs="Times New Roman"/>
                <w:sz w:val="24"/>
                <w:szCs w:val="24"/>
              </w:rPr>
              <w:lastRenderedPageBreak/>
              <w:t>riskihindamise metoodikad ning selle protsessi</w:t>
            </w:r>
            <w:r w:rsidR="00FF3110">
              <w:rPr>
                <w:rFonts w:ascii="Times New Roman" w:hAnsi="Times New Roman" w:cs="Times New Roman"/>
                <w:sz w:val="24"/>
                <w:szCs w:val="24"/>
              </w:rPr>
              <w:t xml:space="preserve"> </w:t>
            </w:r>
            <w:r w:rsidRPr="00BC28C0">
              <w:rPr>
                <w:rFonts w:ascii="Times New Roman" w:hAnsi="Times New Roman" w:cs="Times New Roman"/>
                <w:sz w:val="24"/>
                <w:szCs w:val="24"/>
              </w:rPr>
              <w:t>toetamiseks on piisavalt andmeid. Komisjoni ettepanekus ei ole neid vahendeid kasutatud,</w:t>
            </w:r>
            <w:r w:rsidR="00FF3110">
              <w:rPr>
                <w:rFonts w:ascii="Times New Roman" w:hAnsi="Times New Roman" w:cs="Times New Roman"/>
                <w:sz w:val="24"/>
                <w:szCs w:val="24"/>
              </w:rPr>
              <w:t xml:space="preserve"> </w:t>
            </w:r>
            <w:r w:rsidRPr="00BC28C0">
              <w:rPr>
                <w:rFonts w:ascii="Times New Roman" w:hAnsi="Times New Roman" w:cs="Times New Roman"/>
                <w:sz w:val="24"/>
                <w:szCs w:val="24"/>
              </w:rPr>
              <w:t>selle asemel pakutakse välja mitteteaduspõhised madalad vaikeväärtused. Eesti Taimekaitse</w:t>
            </w:r>
            <w:r w:rsidR="00FF3110">
              <w:rPr>
                <w:rFonts w:ascii="Times New Roman" w:hAnsi="Times New Roman" w:cs="Times New Roman"/>
                <w:sz w:val="24"/>
                <w:szCs w:val="24"/>
              </w:rPr>
              <w:t xml:space="preserve"> </w:t>
            </w:r>
            <w:r w:rsidRPr="00BC28C0">
              <w:rPr>
                <w:rFonts w:ascii="Times New Roman" w:hAnsi="Times New Roman" w:cs="Times New Roman"/>
                <w:sz w:val="24"/>
                <w:szCs w:val="24"/>
              </w:rPr>
              <w:t>Assotsiatsioon palub see lähenemisviisi läbi vaadata tagamaks, et ELi poliitika põhineb</w:t>
            </w:r>
            <w:r w:rsidR="00FF3110">
              <w:rPr>
                <w:rFonts w:ascii="Times New Roman" w:hAnsi="Times New Roman" w:cs="Times New Roman"/>
                <w:sz w:val="24"/>
                <w:szCs w:val="24"/>
              </w:rPr>
              <w:t xml:space="preserve"> </w:t>
            </w:r>
            <w:r w:rsidRPr="00BC28C0">
              <w:rPr>
                <w:rFonts w:ascii="Times New Roman" w:hAnsi="Times New Roman" w:cs="Times New Roman"/>
                <w:sz w:val="24"/>
                <w:szCs w:val="24"/>
              </w:rPr>
              <w:t>teaduslikel tõenditel ja et lähenemisviis on proportsionaalne õigusaktide eesmärkidega.</w:t>
            </w:r>
          </w:p>
          <w:p w14:paraId="7039A88C" w14:textId="77777777" w:rsidR="00FF3110" w:rsidRPr="00BC28C0" w:rsidRDefault="00FF3110" w:rsidP="00BC28C0">
            <w:pPr>
              <w:jc w:val="both"/>
              <w:rPr>
                <w:rFonts w:ascii="Times New Roman" w:hAnsi="Times New Roman" w:cs="Times New Roman"/>
                <w:sz w:val="24"/>
                <w:szCs w:val="24"/>
              </w:rPr>
            </w:pPr>
          </w:p>
          <w:p w14:paraId="1AC4D77D" w14:textId="77777777" w:rsidR="00BC28C0" w:rsidRPr="00BC28C0" w:rsidRDefault="00BC28C0" w:rsidP="00BC28C0">
            <w:pPr>
              <w:jc w:val="both"/>
              <w:rPr>
                <w:rFonts w:ascii="Times New Roman" w:hAnsi="Times New Roman" w:cs="Times New Roman"/>
                <w:b/>
                <w:bCs/>
                <w:sz w:val="24"/>
                <w:szCs w:val="24"/>
              </w:rPr>
            </w:pPr>
            <w:r w:rsidRPr="00BC28C0">
              <w:rPr>
                <w:rFonts w:ascii="Times New Roman" w:hAnsi="Times New Roman" w:cs="Times New Roman"/>
                <w:b/>
                <w:bCs/>
                <w:sz w:val="24"/>
                <w:szCs w:val="24"/>
              </w:rPr>
              <w:t>Peamised probleemid ja soovitused</w:t>
            </w:r>
          </w:p>
          <w:p w14:paraId="3501E171" w14:textId="2743D471" w:rsidR="00BC28C0" w:rsidRPr="00BC28C0" w:rsidRDefault="00BC28C0" w:rsidP="00BC28C0">
            <w:pPr>
              <w:jc w:val="both"/>
              <w:rPr>
                <w:rFonts w:ascii="Times New Roman" w:hAnsi="Times New Roman" w:cs="Times New Roman"/>
                <w:sz w:val="24"/>
                <w:szCs w:val="24"/>
              </w:rPr>
            </w:pPr>
            <w:r w:rsidRPr="00BC28C0">
              <w:rPr>
                <w:rFonts w:ascii="Times New Roman" w:hAnsi="Times New Roman" w:cs="Times New Roman"/>
                <w:sz w:val="24"/>
                <w:szCs w:val="24"/>
              </w:rPr>
              <w:t>Praeguse sõnastuse kohaselt võib ettepanek viia järgmiste aastate jooksul pinna- ja põhjavees</w:t>
            </w:r>
            <w:r w:rsidR="00FF3110">
              <w:rPr>
                <w:rFonts w:ascii="Times New Roman" w:hAnsi="Times New Roman" w:cs="Times New Roman"/>
                <w:sz w:val="24"/>
                <w:szCs w:val="24"/>
              </w:rPr>
              <w:t xml:space="preserve"> </w:t>
            </w:r>
            <w:r w:rsidRPr="00BC28C0">
              <w:rPr>
                <w:rFonts w:ascii="Times New Roman" w:hAnsi="Times New Roman" w:cs="Times New Roman"/>
                <w:sz w:val="24"/>
                <w:szCs w:val="24"/>
              </w:rPr>
              <w:t>mitmete pestitsiidide ja nende metaboliitide veekvaliteedi normide mõttetute ja</w:t>
            </w:r>
            <w:r w:rsidR="00FF3110">
              <w:rPr>
                <w:rFonts w:ascii="Times New Roman" w:hAnsi="Times New Roman" w:cs="Times New Roman"/>
                <w:sz w:val="24"/>
                <w:szCs w:val="24"/>
              </w:rPr>
              <w:t xml:space="preserve"> </w:t>
            </w:r>
            <w:r w:rsidRPr="00BC28C0">
              <w:rPr>
                <w:rFonts w:ascii="Times New Roman" w:hAnsi="Times New Roman" w:cs="Times New Roman"/>
                <w:sz w:val="24"/>
                <w:szCs w:val="24"/>
              </w:rPr>
              <w:t>põhjendamatute ületusteni, mis kahjustab liikmesriikide võimet näidata veekvaliteedi tõelist</w:t>
            </w:r>
            <w:r w:rsidR="00FF3110">
              <w:rPr>
                <w:rFonts w:ascii="Times New Roman" w:hAnsi="Times New Roman" w:cs="Times New Roman"/>
                <w:sz w:val="24"/>
                <w:szCs w:val="24"/>
              </w:rPr>
              <w:t xml:space="preserve"> </w:t>
            </w:r>
            <w:r w:rsidRPr="00BC28C0">
              <w:rPr>
                <w:rFonts w:ascii="Times New Roman" w:hAnsi="Times New Roman" w:cs="Times New Roman"/>
                <w:sz w:val="24"/>
                <w:szCs w:val="24"/>
              </w:rPr>
              <w:t>paranemist aja jooksul.</w:t>
            </w:r>
          </w:p>
          <w:p w14:paraId="73D8782F" w14:textId="2C17942D" w:rsidR="00BC28C0" w:rsidRPr="00BC28C0" w:rsidRDefault="00BC28C0" w:rsidP="00BC28C0">
            <w:pPr>
              <w:jc w:val="both"/>
              <w:rPr>
                <w:rFonts w:ascii="Times New Roman" w:hAnsi="Times New Roman" w:cs="Times New Roman"/>
                <w:sz w:val="24"/>
                <w:szCs w:val="24"/>
              </w:rPr>
            </w:pPr>
            <w:r w:rsidRPr="00BC28C0">
              <w:rPr>
                <w:rFonts w:ascii="Times New Roman" w:hAnsi="Times New Roman" w:cs="Times New Roman"/>
                <w:sz w:val="24"/>
                <w:szCs w:val="24"/>
              </w:rPr>
              <w:t>Euroopa Komisjoni ettepanek sisaldab mitmeid kavandatud põhjavee kvaliteedistandardeid</w:t>
            </w:r>
            <w:r w:rsidR="00FF3110">
              <w:rPr>
                <w:rFonts w:ascii="Times New Roman" w:hAnsi="Times New Roman" w:cs="Times New Roman"/>
                <w:sz w:val="24"/>
                <w:szCs w:val="24"/>
              </w:rPr>
              <w:t xml:space="preserve"> </w:t>
            </w:r>
            <w:r w:rsidRPr="00BC28C0">
              <w:rPr>
                <w:rFonts w:ascii="Times New Roman" w:hAnsi="Times New Roman" w:cs="Times New Roman"/>
                <w:sz w:val="24"/>
                <w:szCs w:val="24"/>
              </w:rPr>
              <w:t>ja pinnavee keskkonnakvaliteedi standardeid (piirväärtusi) pestitsiidide ja nende</w:t>
            </w:r>
            <w:r w:rsidR="00FF3110">
              <w:rPr>
                <w:rFonts w:ascii="Times New Roman" w:hAnsi="Times New Roman" w:cs="Times New Roman"/>
                <w:sz w:val="24"/>
                <w:szCs w:val="24"/>
              </w:rPr>
              <w:t xml:space="preserve"> </w:t>
            </w:r>
            <w:r w:rsidRPr="00BC28C0">
              <w:rPr>
                <w:rFonts w:ascii="Times New Roman" w:hAnsi="Times New Roman" w:cs="Times New Roman"/>
                <w:sz w:val="24"/>
                <w:szCs w:val="24"/>
              </w:rPr>
              <w:t>metaboliitide kohta, mis ei põhine teadusel, mida mõjuhinnangus ei käsitletud ja mida ei ole</w:t>
            </w:r>
            <w:r w:rsidR="00FF3110">
              <w:rPr>
                <w:rFonts w:ascii="Times New Roman" w:hAnsi="Times New Roman" w:cs="Times New Roman"/>
                <w:sz w:val="24"/>
                <w:szCs w:val="24"/>
              </w:rPr>
              <w:t xml:space="preserve"> </w:t>
            </w:r>
            <w:r w:rsidRPr="00BC28C0">
              <w:rPr>
                <w:rFonts w:ascii="Times New Roman" w:hAnsi="Times New Roman" w:cs="Times New Roman"/>
                <w:sz w:val="24"/>
                <w:szCs w:val="24"/>
              </w:rPr>
              <w:t>arutatud liikmesriikide ega sidusrühmadega.</w:t>
            </w:r>
          </w:p>
          <w:p w14:paraId="227C3608" w14:textId="136D4966" w:rsidR="00BC28C0" w:rsidRPr="00BC28C0" w:rsidRDefault="00BC28C0" w:rsidP="00BC28C0">
            <w:pPr>
              <w:jc w:val="both"/>
              <w:rPr>
                <w:rFonts w:ascii="Times New Roman" w:hAnsi="Times New Roman" w:cs="Times New Roman"/>
                <w:sz w:val="24"/>
                <w:szCs w:val="24"/>
              </w:rPr>
            </w:pPr>
            <w:r w:rsidRPr="00BC28C0">
              <w:rPr>
                <w:rFonts w:ascii="Times New Roman" w:hAnsi="Times New Roman" w:cs="Times New Roman"/>
                <w:sz w:val="24"/>
                <w:szCs w:val="24"/>
              </w:rPr>
              <w:t>Mõned pinnavee keskkonnakvaliteedi standardid/piirväärtused, mis on kavandatud</w:t>
            </w:r>
            <w:r w:rsidR="00FF3110">
              <w:rPr>
                <w:rFonts w:ascii="Times New Roman" w:hAnsi="Times New Roman" w:cs="Times New Roman"/>
                <w:sz w:val="24"/>
                <w:szCs w:val="24"/>
              </w:rPr>
              <w:t xml:space="preserve"> </w:t>
            </w:r>
            <w:r w:rsidRPr="00BC28C0">
              <w:rPr>
                <w:rFonts w:ascii="Times New Roman" w:hAnsi="Times New Roman" w:cs="Times New Roman"/>
                <w:sz w:val="24"/>
                <w:szCs w:val="24"/>
              </w:rPr>
              <w:t>keskkonnakvaliteedi standardisse lisada, ei järgi kehtivaid õigussätteid ja nõudeid, mis</w:t>
            </w:r>
            <w:r w:rsidR="00FF3110">
              <w:rPr>
                <w:rFonts w:ascii="Times New Roman" w:hAnsi="Times New Roman" w:cs="Times New Roman"/>
                <w:sz w:val="24"/>
                <w:szCs w:val="24"/>
              </w:rPr>
              <w:t xml:space="preserve"> </w:t>
            </w:r>
            <w:r w:rsidRPr="00BC28C0">
              <w:rPr>
                <w:rFonts w:ascii="Times New Roman" w:hAnsi="Times New Roman" w:cs="Times New Roman"/>
                <w:sz w:val="24"/>
                <w:szCs w:val="24"/>
              </w:rPr>
              <w:t>sisalduvad vee raamdirektiivi artiklis 16 ja hõlmavad prioriteetsete ainete valikut ja kontrolli.</w:t>
            </w:r>
          </w:p>
          <w:p w14:paraId="548E8131" w14:textId="7B8DFAD5" w:rsidR="00BC28C0" w:rsidRPr="00BC28C0" w:rsidRDefault="00BC28C0" w:rsidP="00BC28C0">
            <w:pPr>
              <w:jc w:val="both"/>
              <w:rPr>
                <w:rFonts w:ascii="Times New Roman" w:hAnsi="Times New Roman" w:cs="Times New Roman"/>
                <w:sz w:val="24"/>
                <w:szCs w:val="24"/>
              </w:rPr>
            </w:pPr>
            <w:r w:rsidRPr="00BC28C0">
              <w:rPr>
                <w:rFonts w:ascii="Times New Roman" w:hAnsi="Times New Roman" w:cs="Times New Roman"/>
                <w:sz w:val="24"/>
                <w:szCs w:val="24"/>
              </w:rPr>
              <w:t>Soovitame, et kõik põhjavee kvaliteedistandardid ja pinnavee keskkonnakvaliteedi</w:t>
            </w:r>
            <w:r w:rsidR="00FF3110">
              <w:rPr>
                <w:rFonts w:ascii="Times New Roman" w:hAnsi="Times New Roman" w:cs="Times New Roman"/>
                <w:sz w:val="24"/>
                <w:szCs w:val="24"/>
              </w:rPr>
              <w:t xml:space="preserve"> </w:t>
            </w:r>
            <w:r w:rsidRPr="00BC28C0">
              <w:rPr>
                <w:rFonts w:ascii="Times New Roman" w:hAnsi="Times New Roman" w:cs="Times New Roman"/>
                <w:sz w:val="24"/>
                <w:szCs w:val="24"/>
              </w:rPr>
              <w:t>standardid, (piirväärtused) mida ei ole nõuetekohaselt kontrollitud ega koostatud</w:t>
            </w:r>
            <w:r w:rsidR="00FF3110">
              <w:rPr>
                <w:rFonts w:ascii="Times New Roman" w:hAnsi="Times New Roman" w:cs="Times New Roman"/>
                <w:sz w:val="24"/>
                <w:szCs w:val="24"/>
              </w:rPr>
              <w:t xml:space="preserve"> </w:t>
            </w:r>
            <w:r w:rsidRPr="00BC28C0">
              <w:rPr>
                <w:rFonts w:ascii="Times New Roman" w:hAnsi="Times New Roman" w:cs="Times New Roman"/>
                <w:sz w:val="24"/>
                <w:szCs w:val="24"/>
              </w:rPr>
              <w:t>mõjuhinnangut, tuleks kas a) ettepanekust välja jätta või kui see ei ole võimalik b) sõnastada</w:t>
            </w:r>
            <w:r w:rsidR="00FF3110">
              <w:rPr>
                <w:rFonts w:ascii="Times New Roman" w:hAnsi="Times New Roman" w:cs="Times New Roman"/>
                <w:sz w:val="24"/>
                <w:szCs w:val="24"/>
              </w:rPr>
              <w:t xml:space="preserve"> </w:t>
            </w:r>
            <w:r w:rsidRPr="00BC28C0">
              <w:rPr>
                <w:rFonts w:ascii="Times New Roman" w:hAnsi="Times New Roman" w:cs="Times New Roman"/>
                <w:sz w:val="24"/>
                <w:szCs w:val="24"/>
              </w:rPr>
              <w:t>ümber nii, et teha selgeks, et need on soovituslikud väärtused, mille kohta koostatakse</w:t>
            </w:r>
            <w:r w:rsidR="00FF3110">
              <w:rPr>
                <w:rFonts w:ascii="Times New Roman" w:hAnsi="Times New Roman" w:cs="Times New Roman"/>
                <w:sz w:val="24"/>
                <w:szCs w:val="24"/>
              </w:rPr>
              <w:t xml:space="preserve"> </w:t>
            </w:r>
            <w:r w:rsidRPr="00BC28C0">
              <w:rPr>
                <w:rFonts w:ascii="Times New Roman" w:hAnsi="Times New Roman" w:cs="Times New Roman"/>
                <w:sz w:val="24"/>
                <w:szCs w:val="24"/>
              </w:rPr>
              <w:t>asjakohased rakendusjuhised, mis koostatakse õigeaegselt ja mis võimaldavad liikmesriikidel</w:t>
            </w:r>
            <w:r w:rsidR="00FF3110">
              <w:rPr>
                <w:rFonts w:ascii="Times New Roman" w:hAnsi="Times New Roman" w:cs="Times New Roman"/>
                <w:sz w:val="24"/>
                <w:szCs w:val="24"/>
              </w:rPr>
              <w:t xml:space="preserve"> </w:t>
            </w:r>
            <w:r w:rsidRPr="00BC28C0">
              <w:rPr>
                <w:rFonts w:ascii="Times New Roman" w:hAnsi="Times New Roman" w:cs="Times New Roman"/>
                <w:sz w:val="24"/>
                <w:szCs w:val="24"/>
              </w:rPr>
              <w:t>kasutada olemasolevaid andmeid ainete kohta.</w:t>
            </w:r>
          </w:p>
          <w:p w14:paraId="07AEEFFA" w14:textId="6EB535B7" w:rsidR="00BC28C0" w:rsidRPr="00BC28C0" w:rsidRDefault="00BC28C0" w:rsidP="00BC28C0">
            <w:pPr>
              <w:jc w:val="both"/>
              <w:rPr>
                <w:rFonts w:ascii="Times New Roman" w:hAnsi="Times New Roman" w:cs="Times New Roman"/>
                <w:sz w:val="24"/>
                <w:szCs w:val="24"/>
              </w:rPr>
            </w:pPr>
            <w:r w:rsidRPr="00BC28C0">
              <w:rPr>
                <w:rFonts w:ascii="Times New Roman" w:hAnsi="Times New Roman" w:cs="Times New Roman"/>
                <w:sz w:val="24"/>
                <w:szCs w:val="24"/>
              </w:rPr>
              <w:t>Lähtudes eeltoodule soovitame ettepanekust välja jätta GWD I lisa kanne 7 pestitsiidide</w:t>
            </w:r>
            <w:r w:rsidR="00FF3110">
              <w:rPr>
                <w:rFonts w:ascii="Times New Roman" w:hAnsi="Times New Roman" w:cs="Times New Roman"/>
                <w:sz w:val="24"/>
                <w:szCs w:val="24"/>
              </w:rPr>
              <w:t xml:space="preserve"> </w:t>
            </w:r>
            <w:r w:rsidRPr="00BC28C0">
              <w:rPr>
                <w:rFonts w:ascii="Times New Roman" w:hAnsi="Times New Roman" w:cs="Times New Roman"/>
                <w:sz w:val="24"/>
                <w:szCs w:val="24"/>
              </w:rPr>
              <w:t>ebaoluliste metaboliitide kohta, mis sisaldab segadusse ajavat valikut kvaliteedistandarditest</w:t>
            </w:r>
            <w:r w:rsidR="00FF3110">
              <w:rPr>
                <w:rFonts w:ascii="Times New Roman" w:hAnsi="Times New Roman" w:cs="Times New Roman"/>
                <w:sz w:val="24"/>
                <w:szCs w:val="24"/>
              </w:rPr>
              <w:t xml:space="preserve"> </w:t>
            </w:r>
            <w:r w:rsidRPr="00BC28C0">
              <w:rPr>
                <w:rFonts w:ascii="Times New Roman" w:hAnsi="Times New Roman" w:cs="Times New Roman"/>
                <w:sz w:val="24"/>
                <w:szCs w:val="24"/>
              </w:rPr>
              <w:t xml:space="preserve">(piirväärtustest) nii üksikuna kui kogumis, ning EQSD lisa A osa kanne 70 pestitsiidide </w:t>
            </w:r>
            <w:r w:rsidRPr="00BC28C0">
              <w:rPr>
                <w:rFonts w:ascii="Times New Roman" w:hAnsi="Times New Roman" w:cs="Times New Roman"/>
                <w:sz w:val="24"/>
                <w:szCs w:val="24"/>
              </w:rPr>
              <w:lastRenderedPageBreak/>
              <w:t>ja</w:t>
            </w:r>
            <w:r w:rsidR="00FF3110">
              <w:rPr>
                <w:rFonts w:ascii="Times New Roman" w:hAnsi="Times New Roman" w:cs="Times New Roman"/>
                <w:sz w:val="24"/>
                <w:szCs w:val="24"/>
              </w:rPr>
              <w:t xml:space="preserve"> </w:t>
            </w:r>
            <w:r w:rsidRPr="00BC28C0">
              <w:rPr>
                <w:rFonts w:ascii="Times New Roman" w:hAnsi="Times New Roman" w:cs="Times New Roman"/>
                <w:sz w:val="24"/>
                <w:szCs w:val="24"/>
              </w:rPr>
              <w:t>asjakohaste metaboliitide keskkonnakvaliteedi standardite/piirväärtuste (EQS) kohta.</w:t>
            </w:r>
          </w:p>
          <w:p w14:paraId="7030BF57" w14:textId="35C49FE0" w:rsidR="00BC28C0" w:rsidRPr="00BC28C0" w:rsidRDefault="00BC28C0" w:rsidP="00BC28C0">
            <w:pPr>
              <w:jc w:val="both"/>
              <w:rPr>
                <w:rFonts w:ascii="Times New Roman" w:hAnsi="Times New Roman" w:cs="Times New Roman"/>
                <w:sz w:val="24"/>
                <w:szCs w:val="24"/>
              </w:rPr>
            </w:pPr>
            <w:r w:rsidRPr="00BC28C0">
              <w:rPr>
                <w:rFonts w:ascii="Times New Roman" w:hAnsi="Times New Roman" w:cs="Times New Roman"/>
                <w:sz w:val="24"/>
                <w:szCs w:val="24"/>
              </w:rPr>
              <w:t>Komisjon on märkinud, et sobivuse kontrolli (</w:t>
            </w:r>
            <w:proofErr w:type="spellStart"/>
            <w:r w:rsidRPr="00BC28C0">
              <w:rPr>
                <w:rFonts w:ascii="Times New Roman" w:hAnsi="Times New Roman" w:cs="Times New Roman"/>
                <w:sz w:val="24"/>
                <w:szCs w:val="24"/>
              </w:rPr>
              <w:t>ing</w:t>
            </w:r>
            <w:proofErr w:type="spellEnd"/>
            <w:r w:rsidRPr="00BC28C0">
              <w:rPr>
                <w:rFonts w:ascii="Times New Roman" w:hAnsi="Times New Roman" w:cs="Times New Roman"/>
                <w:sz w:val="24"/>
                <w:szCs w:val="24"/>
              </w:rPr>
              <w:t xml:space="preserve"> k </w:t>
            </w:r>
            <w:proofErr w:type="spellStart"/>
            <w:r w:rsidRPr="00BC28C0">
              <w:rPr>
                <w:rFonts w:ascii="Times New Roman" w:hAnsi="Times New Roman" w:cs="Times New Roman"/>
                <w:i/>
                <w:iCs/>
                <w:sz w:val="24"/>
                <w:szCs w:val="24"/>
              </w:rPr>
              <w:t>Fitness</w:t>
            </w:r>
            <w:proofErr w:type="spellEnd"/>
            <w:r w:rsidRPr="00BC28C0">
              <w:rPr>
                <w:rFonts w:ascii="Times New Roman" w:hAnsi="Times New Roman" w:cs="Times New Roman"/>
                <w:i/>
                <w:iCs/>
                <w:sz w:val="24"/>
                <w:szCs w:val="24"/>
              </w:rPr>
              <w:t xml:space="preserve"> </w:t>
            </w:r>
            <w:proofErr w:type="spellStart"/>
            <w:r w:rsidRPr="00BC28C0">
              <w:rPr>
                <w:rFonts w:ascii="Times New Roman" w:hAnsi="Times New Roman" w:cs="Times New Roman"/>
                <w:i/>
                <w:iCs/>
                <w:sz w:val="24"/>
                <w:szCs w:val="24"/>
              </w:rPr>
              <w:t>Check</w:t>
            </w:r>
            <w:proofErr w:type="spellEnd"/>
            <w:r w:rsidRPr="00BC28C0">
              <w:rPr>
                <w:rFonts w:ascii="Times New Roman" w:hAnsi="Times New Roman" w:cs="Times New Roman"/>
                <w:sz w:val="24"/>
                <w:szCs w:val="24"/>
              </w:rPr>
              <w:t>) tulemusena, WFD</w:t>
            </w:r>
            <w:r>
              <w:rPr>
                <w:rFonts w:ascii="Times New Roman" w:hAnsi="Times New Roman" w:cs="Times New Roman"/>
                <w:sz w:val="24"/>
                <w:szCs w:val="24"/>
              </w:rPr>
              <w:t xml:space="preserve"> </w:t>
            </w:r>
            <w:r w:rsidRPr="00BC28C0">
              <w:rPr>
                <w:rFonts w:ascii="Times New Roman" w:hAnsi="Times New Roman" w:cs="Times New Roman"/>
                <w:sz w:val="24"/>
                <w:szCs w:val="24"/>
              </w:rPr>
              <w:t>kavandatavad muudatused peavad piirduma ainult nende elementidega, mis on vajalikud</w:t>
            </w:r>
            <w:r>
              <w:rPr>
                <w:rFonts w:ascii="Times New Roman" w:hAnsi="Times New Roman" w:cs="Times New Roman"/>
                <w:sz w:val="24"/>
                <w:szCs w:val="24"/>
              </w:rPr>
              <w:t xml:space="preserve"> </w:t>
            </w:r>
            <w:r w:rsidRPr="00BC28C0">
              <w:rPr>
                <w:rFonts w:ascii="Times New Roman" w:hAnsi="Times New Roman" w:cs="Times New Roman"/>
                <w:sz w:val="24"/>
                <w:szCs w:val="24"/>
              </w:rPr>
              <w:t>tulevaste õigusmenetluste sujuvamaks muutmiseks (nt delegeeritud õigusaktide</w:t>
            </w:r>
            <w:r>
              <w:rPr>
                <w:rFonts w:ascii="Times New Roman" w:hAnsi="Times New Roman" w:cs="Times New Roman"/>
                <w:sz w:val="24"/>
                <w:szCs w:val="24"/>
              </w:rPr>
              <w:t xml:space="preserve"> </w:t>
            </w:r>
            <w:r w:rsidRPr="00BC28C0">
              <w:rPr>
                <w:rFonts w:ascii="Times New Roman" w:hAnsi="Times New Roman" w:cs="Times New Roman"/>
                <w:sz w:val="24"/>
                <w:szCs w:val="24"/>
              </w:rPr>
              <w:t>kehtestamine). Ebaselge on, kas a) ettepanek on asjakohaselt piiratud, st muudetud, või b)</w:t>
            </w:r>
            <w:r>
              <w:rPr>
                <w:rFonts w:ascii="Times New Roman" w:hAnsi="Times New Roman" w:cs="Times New Roman"/>
                <w:sz w:val="24"/>
                <w:szCs w:val="24"/>
              </w:rPr>
              <w:t xml:space="preserve"> </w:t>
            </w:r>
            <w:r w:rsidRPr="00BC28C0">
              <w:rPr>
                <w:rFonts w:ascii="Times New Roman" w:hAnsi="Times New Roman" w:cs="Times New Roman"/>
                <w:sz w:val="24"/>
                <w:szCs w:val="24"/>
              </w:rPr>
              <w:t>asjakohased kehtivad sätted, sealhulgas välja jäetud WFD artikli 16 sätted, on kavandatavasse</w:t>
            </w:r>
            <w:r>
              <w:rPr>
                <w:rFonts w:ascii="Times New Roman" w:hAnsi="Times New Roman" w:cs="Times New Roman"/>
                <w:sz w:val="24"/>
                <w:szCs w:val="24"/>
              </w:rPr>
              <w:t xml:space="preserve"> </w:t>
            </w:r>
            <w:r w:rsidRPr="00BC28C0">
              <w:rPr>
                <w:rFonts w:ascii="Times New Roman" w:hAnsi="Times New Roman" w:cs="Times New Roman"/>
                <w:sz w:val="24"/>
                <w:szCs w:val="24"/>
              </w:rPr>
              <w:t>muutmisõigusakti piisavalt üle võetud.</w:t>
            </w:r>
          </w:p>
          <w:p w14:paraId="202C1C8C" w14:textId="68B25A3D" w:rsidR="00BC28C0" w:rsidRDefault="00BC28C0" w:rsidP="00BC28C0">
            <w:pPr>
              <w:jc w:val="both"/>
              <w:rPr>
                <w:rFonts w:ascii="Times New Roman" w:hAnsi="Times New Roman" w:cs="Times New Roman"/>
                <w:sz w:val="24"/>
                <w:szCs w:val="24"/>
              </w:rPr>
            </w:pPr>
            <w:r w:rsidRPr="00BC28C0">
              <w:rPr>
                <w:rFonts w:ascii="Times New Roman" w:hAnsi="Times New Roman" w:cs="Times New Roman"/>
                <w:sz w:val="24"/>
                <w:szCs w:val="24"/>
              </w:rPr>
              <w:t>Kokkuvõttes, arvestades komisjoni liiga keeruka ja mitteteaduspõhise ettepaneku ilmseid</w:t>
            </w:r>
            <w:r>
              <w:rPr>
                <w:rFonts w:ascii="Times New Roman" w:hAnsi="Times New Roman" w:cs="Times New Roman"/>
                <w:sz w:val="24"/>
                <w:szCs w:val="24"/>
              </w:rPr>
              <w:t xml:space="preserve"> </w:t>
            </w:r>
            <w:r w:rsidRPr="00BC28C0">
              <w:rPr>
                <w:rFonts w:ascii="Times New Roman" w:hAnsi="Times New Roman" w:cs="Times New Roman"/>
                <w:sz w:val="24"/>
                <w:szCs w:val="24"/>
              </w:rPr>
              <w:t>puudusi, soovitame ettepanekut hinnata nii tehnilisest kui ka õiguslikust aspektist, pöörates</w:t>
            </w:r>
            <w:r>
              <w:rPr>
                <w:rFonts w:ascii="Times New Roman" w:hAnsi="Times New Roman" w:cs="Times New Roman"/>
                <w:sz w:val="24"/>
                <w:szCs w:val="24"/>
              </w:rPr>
              <w:t xml:space="preserve"> </w:t>
            </w:r>
            <w:r w:rsidRPr="00BC28C0">
              <w:rPr>
                <w:rFonts w:ascii="Times New Roman" w:hAnsi="Times New Roman" w:cs="Times New Roman"/>
                <w:sz w:val="24"/>
                <w:szCs w:val="24"/>
              </w:rPr>
              <w:t>erilist tähelepanu ettepaneku lihtsustamisele. Samuti märgime, et komisjon peaks läbi viima</w:t>
            </w:r>
            <w:r>
              <w:rPr>
                <w:rFonts w:ascii="Times New Roman" w:hAnsi="Times New Roman" w:cs="Times New Roman"/>
                <w:sz w:val="24"/>
                <w:szCs w:val="24"/>
              </w:rPr>
              <w:t xml:space="preserve"> </w:t>
            </w:r>
            <w:r w:rsidRPr="00BC28C0">
              <w:rPr>
                <w:rFonts w:ascii="Times New Roman" w:hAnsi="Times New Roman" w:cs="Times New Roman"/>
                <w:sz w:val="24"/>
                <w:szCs w:val="24"/>
              </w:rPr>
              <w:t>asjakohase mõjuhinnangu.</w:t>
            </w:r>
          </w:p>
          <w:p w14:paraId="3B6324F1" w14:textId="77777777" w:rsidR="00BC28C0" w:rsidRPr="00BC28C0" w:rsidRDefault="00BC28C0" w:rsidP="00BC28C0">
            <w:pPr>
              <w:jc w:val="both"/>
              <w:rPr>
                <w:rFonts w:ascii="Times New Roman" w:hAnsi="Times New Roman" w:cs="Times New Roman"/>
                <w:sz w:val="24"/>
                <w:szCs w:val="24"/>
              </w:rPr>
            </w:pPr>
          </w:p>
          <w:p w14:paraId="32548EEB" w14:textId="708BB9C8" w:rsidR="00BC28C0" w:rsidRPr="00BC28C0" w:rsidRDefault="00BC28C0" w:rsidP="00BC28C0">
            <w:pPr>
              <w:jc w:val="both"/>
              <w:rPr>
                <w:rFonts w:ascii="Times New Roman" w:hAnsi="Times New Roman" w:cs="Times New Roman"/>
                <w:b/>
                <w:bCs/>
                <w:sz w:val="24"/>
                <w:szCs w:val="24"/>
              </w:rPr>
            </w:pPr>
            <w:r w:rsidRPr="00BC28C0">
              <w:rPr>
                <w:rFonts w:ascii="Times New Roman" w:hAnsi="Times New Roman" w:cs="Times New Roman"/>
                <w:b/>
                <w:bCs/>
                <w:sz w:val="24"/>
                <w:szCs w:val="24"/>
              </w:rPr>
              <w:t>Täpsemad kommentaarid põhjavee kvaliteedi piirväärtuste ja ebaoluliste pestitsiidide</w:t>
            </w:r>
            <w:r>
              <w:rPr>
                <w:rFonts w:ascii="Times New Roman" w:hAnsi="Times New Roman" w:cs="Times New Roman"/>
                <w:b/>
                <w:bCs/>
                <w:sz w:val="24"/>
                <w:szCs w:val="24"/>
              </w:rPr>
              <w:t xml:space="preserve"> </w:t>
            </w:r>
            <w:r w:rsidRPr="00BC28C0">
              <w:rPr>
                <w:rFonts w:ascii="Times New Roman" w:hAnsi="Times New Roman" w:cs="Times New Roman"/>
                <w:b/>
                <w:bCs/>
                <w:sz w:val="24"/>
                <w:szCs w:val="24"/>
              </w:rPr>
              <w:t>metaboliitide osas</w:t>
            </w:r>
          </w:p>
          <w:p w14:paraId="080E490F" w14:textId="1AA4EAC2" w:rsidR="00BC28C0" w:rsidRPr="00BC28C0" w:rsidRDefault="00BC28C0" w:rsidP="00BC28C0">
            <w:pPr>
              <w:jc w:val="both"/>
              <w:rPr>
                <w:rFonts w:ascii="Times New Roman" w:hAnsi="Times New Roman" w:cs="Times New Roman"/>
                <w:sz w:val="24"/>
                <w:szCs w:val="24"/>
              </w:rPr>
            </w:pPr>
            <w:r w:rsidRPr="00BC28C0">
              <w:rPr>
                <w:rFonts w:ascii="Times New Roman" w:hAnsi="Times New Roman" w:cs="Times New Roman"/>
                <w:sz w:val="24"/>
                <w:szCs w:val="24"/>
              </w:rPr>
              <w:t>Mitteoluliste metaboliitide reguleerimine kogu ELi hõlmavate põhjavee kvaliteedi</w:t>
            </w:r>
            <w:r>
              <w:rPr>
                <w:rFonts w:ascii="Times New Roman" w:hAnsi="Times New Roman" w:cs="Times New Roman"/>
                <w:sz w:val="24"/>
                <w:szCs w:val="24"/>
              </w:rPr>
              <w:t xml:space="preserve"> </w:t>
            </w:r>
            <w:r w:rsidRPr="00BC28C0">
              <w:rPr>
                <w:rFonts w:ascii="Times New Roman" w:hAnsi="Times New Roman" w:cs="Times New Roman"/>
                <w:sz w:val="24"/>
                <w:szCs w:val="24"/>
              </w:rPr>
              <w:t>piirväärtustega vastavalt põhjaveedirektiivi I lisale (GW QS) kaldub kõrvale pinnavee puhul</w:t>
            </w:r>
            <w:r>
              <w:rPr>
                <w:rFonts w:ascii="Times New Roman" w:hAnsi="Times New Roman" w:cs="Times New Roman"/>
                <w:sz w:val="24"/>
                <w:szCs w:val="24"/>
              </w:rPr>
              <w:t xml:space="preserve"> </w:t>
            </w:r>
            <w:r w:rsidRPr="00BC28C0">
              <w:rPr>
                <w:rFonts w:ascii="Times New Roman" w:hAnsi="Times New Roman" w:cs="Times New Roman"/>
                <w:sz w:val="24"/>
                <w:szCs w:val="24"/>
              </w:rPr>
              <w:t>kasutatavast lähenemisviisist, kus iga aine jaoks saab kehtestada individuaalsed keskkonna</w:t>
            </w:r>
            <w:r>
              <w:rPr>
                <w:rFonts w:ascii="Times New Roman" w:hAnsi="Times New Roman" w:cs="Times New Roman"/>
                <w:sz w:val="24"/>
                <w:szCs w:val="24"/>
              </w:rPr>
              <w:t xml:space="preserve"> </w:t>
            </w:r>
            <w:r w:rsidRPr="00BC28C0">
              <w:rPr>
                <w:rFonts w:ascii="Times New Roman" w:hAnsi="Times New Roman" w:cs="Times New Roman"/>
                <w:sz w:val="24"/>
                <w:szCs w:val="24"/>
              </w:rPr>
              <w:t>kvaliteedi piirväärtused (EQS) ELi või liikmesriigi tasandil, vajadusel riigi tasandil.</w:t>
            </w:r>
          </w:p>
          <w:p w14:paraId="56D46F2A" w14:textId="7E066FE2" w:rsidR="00BC28C0" w:rsidRPr="00BC28C0" w:rsidRDefault="00BC28C0" w:rsidP="00BC28C0">
            <w:pPr>
              <w:jc w:val="both"/>
              <w:rPr>
                <w:rFonts w:ascii="Times New Roman" w:hAnsi="Times New Roman" w:cs="Times New Roman"/>
                <w:sz w:val="24"/>
                <w:szCs w:val="24"/>
              </w:rPr>
            </w:pPr>
            <w:r w:rsidRPr="00BC28C0">
              <w:rPr>
                <w:rFonts w:ascii="Times New Roman" w:hAnsi="Times New Roman" w:cs="Times New Roman"/>
                <w:sz w:val="24"/>
                <w:szCs w:val="24"/>
              </w:rPr>
              <w:t>Komisjoni seadusandlik ettepanek ei ole teaduspõhine ja on liiga keeruline kolme aine</w:t>
            </w:r>
            <w:r>
              <w:rPr>
                <w:rFonts w:ascii="Times New Roman" w:hAnsi="Times New Roman" w:cs="Times New Roman"/>
                <w:sz w:val="24"/>
                <w:szCs w:val="24"/>
              </w:rPr>
              <w:t xml:space="preserve"> </w:t>
            </w:r>
            <w:r w:rsidRPr="00BC28C0">
              <w:rPr>
                <w:rFonts w:ascii="Times New Roman" w:hAnsi="Times New Roman" w:cs="Times New Roman"/>
                <w:sz w:val="24"/>
                <w:szCs w:val="24"/>
              </w:rPr>
              <w:t>andmekategooriaga (</w:t>
            </w:r>
            <w:proofErr w:type="spellStart"/>
            <w:r w:rsidRPr="00BC28C0">
              <w:rPr>
                <w:rFonts w:ascii="Times New Roman" w:hAnsi="Times New Roman" w:cs="Times New Roman"/>
                <w:i/>
                <w:iCs/>
                <w:sz w:val="24"/>
                <w:szCs w:val="24"/>
              </w:rPr>
              <w:t>data</w:t>
            </w:r>
            <w:proofErr w:type="spellEnd"/>
            <w:r w:rsidRPr="00BC28C0">
              <w:rPr>
                <w:rFonts w:ascii="Times New Roman" w:hAnsi="Times New Roman" w:cs="Times New Roman"/>
                <w:i/>
                <w:iCs/>
                <w:sz w:val="24"/>
                <w:szCs w:val="24"/>
              </w:rPr>
              <w:t xml:space="preserve"> poor/</w:t>
            </w:r>
            <w:proofErr w:type="spellStart"/>
            <w:r w:rsidRPr="00BC28C0">
              <w:rPr>
                <w:rFonts w:ascii="Times New Roman" w:hAnsi="Times New Roman" w:cs="Times New Roman"/>
                <w:i/>
                <w:iCs/>
                <w:sz w:val="24"/>
                <w:szCs w:val="24"/>
              </w:rPr>
              <w:t>fair</w:t>
            </w:r>
            <w:proofErr w:type="spellEnd"/>
            <w:r w:rsidRPr="00BC28C0">
              <w:rPr>
                <w:rFonts w:ascii="Times New Roman" w:hAnsi="Times New Roman" w:cs="Times New Roman"/>
                <w:i/>
                <w:iCs/>
                <w:sz w:val="24"/>
                <w:szCs w:val="24"/>
              </w:rPr>
              <w:t>/</w:t>
            </w:r>
            <w:proofErr w:type="spellStart"/>
            <w:r w:rsidRPr="00BC28C0">
              <w:rPr>
                <w:rFonts w:ascii="Times New Roman" w:hAnsi="Times New Roman" w:cs="Times New Roman"/>
                <w:i/>
                <w:iCs/>
                <w:sz w:val="24"/>
                <w:szCs w:val="24"/>
              </w:rPr>
              <w:t>rich</w:t>
            </w:r>
            <w:proofErr w:type="spellEnd"/>
            <w:r w:rsidRPr="00BC28C0">
              <w:rPr>
                <w:rFonts w:ascii="Times New Roman" w:hAnsi="Times New Roman" w:cs="Times New Roman"/>
                <w:sz w:val="24"/>
                <w:szCs w:val="24"/>
              </w:rPr>
              <w:t>), mis seejärel seostatakse nende mitteasjakohaste</w:t>
            </w:r>
            <w:r>
              <w:rPr>
                <w:rFonts w:ascii="Times New Roman" w:hAnsi="Times New Roman" w:cs="Times New Roman"/>
                <w:sz w:val="24"/>
                <w:szCs w:val="24"/>
              </w:rPr>
              <w:t xml:space="preserve"> </w:t>
            </w:r>
            <w:r w:rsidRPr="00BC28C0">
              <w:rPr>
                <w:rFonts w:ascii="Times New Roman" w:hAnsi="Times New Roman" w:cs="Times New Roman"/>
                <w:sz w:val="24"/>
                <w:szCs w:val="24"/>
              </w:rPr>
              <w:t>metaboliitide kategooriate nelja erineva kogu ELi hõlmava põhjavee direktiivi kvaliteedi</w:t>
            </w:r>
            <w:r>
              <w:rPr>
                <w:rFonts w:ascii="Times New Roman" w:hAnsi="Times New Roman" w:cs="Times New Roman"/>
                <w:sz w:val="24"/>
                <w:szCs w:val="24"/>
              </w:rPr>
              <w:t xml:space="preserve"> </w:t>
            </w:r>
            <w:r w:rsidRPr="00BC28C0">
              <w:rPr>
                <w:rFonts w:ascii="Times New Roman" w:hAnsi="Times New Roman" w:cs="Times New Roman"/>
                <w:sz w:val="24"/>
                <w:szCs w:val="24"/>
              </w:rPr>
              <w:t>piirväärtustega. Soovitame määratleda ainult kaks andmekategooriat – ebapiisavad andmed</w:t>
            </w:r>
            <w:r>
              <w:rPr>
                <w:rFonts w:ascii="Times New Roman" w:hAnsi="Times New Roman" w:cs="Times New Roman"/>
                <w:sz w:val="24"/>
                <w:szCs w:val="24"/>
              </w:rPr>
              <w:t xml:space="preserve"> </w:t>
            </w:r>
            <w:r w:rsidRPr="00BC28C0">
              <w:rPr>
                <w:rFonts w:ascii="Times New Roman" w:hAnsi="Times New Roman" w:cs="Times New Roman"/>
                <w:sz w:val="24"/>
                <w:szCs w:val="24"/>
              </w:rPr>
              <w:t>ja piisavad andmed, mis kajastaksid adekvaatselt mitteasjakohaste metaboliitide andmete</w:t>
            </w:r>
            <w:r>
              <w:rPr>
                <w:rFonts w:ascii="Times New Roman" w:hAnsi="Times New Roman" w:cs="Times New Roman"/>
                <w:sz w:val="24"/>
                <w:szCs w:val="24"/>
              </w:rPr>
              <w:t xml:space="preserve"> </w:t>
            </w:r>
            <w:r w:rsidRPr="00BC28C0">
              <w:rPr>
                <w:rFonts w:ascii="Times New Roman" w:hAnsi="Times New Roman" w:cs="Times New Roman"/>
                <w:sz w:val="24"/>
                <w:szCs w:val="24"/>
              </w:rPr>
              <w:t>kättesaadavust.</w:t>
            </w:r>
          </w:p>
          <w:p w14:paraId="1B2B87E8" w14:textId="57A5CF01" w:rsidR="00BC28C0" w:rsidRPr="00BC28C0" w:rsidRDefault="00BC28C0" w:rsidP="00BC28C0">
            <w:pPr>
              <w:jc w:val="both"/>
              <w:rPr>
                <w:rFonts w:ascii="Times New Roman" w:hAnsi="Times New Roman" w:cs="Times New Roman"/>
                <w:sz w:val="24"/>
                <w:szCs w:val="24"/>
              </w:rPr>
            </w:pPr>
            <w:r w:rsidRPr="00BC28C0">
              <w:rPr>
                <w:rFonts w:ascii="Times New Roman" w:hAnsi="Times New Roman" w:cs="Times New Roman"/>
                <w:sz w:val="24"/>
                <w:szCs w:val="24"/>
              </w:rPr>
              <w:t>Leiame, et pestitsiidide mitteoluliste metaboliitide (</w:t>
            </w:r>
            <w:proofErr w:type="spellStart"/>
            <w:r w:rsidRPr="00BC28C0">
              <w:rPr>
                <w:rFonts w:ascii="Times New Roman" w:hAnsi="Times New Roman" w:cs="Times New Roman"/>
                <w:sz w:val="24"/>
                <w:szCs w:val="24"/>
              </w:rPr>
              <w:t>nrMs</w:t>
            </w:r>
            <w:proofErr w:type="spellEnd"/>
            <w:r w:rsidRPr="00BC28C0">
              <w:rPr>
                <w:rFonts w:ascii="Times New Roman" w:hAnsi="Times New Roman" w:cs="Times New Roman"/>
                <w:sz w:val="24"/>
                <w:szCs w:val="24"/>
              </w:rPr>
              <w:t xml:space="preserve">) vaikeväärtus 0,1 </w:t>
            </w:r>
            <w:proofErr w:type="spellStart"/>
            <w:r w:rsidRPr="00BC28C0">
              <w:rPr>
                <w:rFonts w:ascii="Times New Roman" w:hAnsi="Times New Roman" w:cs="Times New Roman"/>
                <w:sz w:val="24"/>
                <w:szCs w:val="24"/>
              </w:rPr>
              <w:t>μg</w:t>
            </w:r>
            <w:proofErr w:type="spellEnd"/>
            <w:r w:rsidRPr="00BC28C0">
              <w:rPr>
                <w:rFonts w:ascii="Times New Roman" w:hAnsi="Times New Roman" w:cs="Times New Roman"/>
                <w:sz w:val="24"/>
                <w:szCs w:val="24"/>
              </w:rPr>
              <w:t>/l ületab</w:t>
            </w:r>
            <w:r>
              <w:rPr>
                <w:rFonts w:ascii="Times New Roman" w:hAnsi="Times New Roman" w:cs="Times New Roman"/>
                <w:sz w:val="24"/>
                <w:szCs w:val="24"/>
              </w:rPr>
              <w:t xml:space="preserve"> </w:t>
            </w:r>
            <w:r w:rsidRPr="00BC28C0">
              <w:rPr>
                <w:rFonts w:ascii="Times New Roman" w:hAnsi="Times New Roman" w:cs="Times New Roman"/>
                <w:sz w:val="24"/>
                <w:szCs w:val="24"/>
              </w:rPr>
              <w:t>ettevaatusabinõu ning väärtus 2,5 on andmete kättesaadavuse osas mitmetähenduslik ja</w:t>
            </w:r>
            <w:r>
              <w:rPr>
                <w:rFonts w:ascii="Times New Roman" w:hAnsi="Times New Roman" w:cs="Times New Roman"/>
                <w:sz w:val="24"/>
                <w:szCs w:val="24"/>
              </w:rPr>
              <w:t xml:space="preserve"> </w:t>
            </w:r>
            <w:r w:rsidRPr="00BC28C0">
              <w:rPr>
                <w:rFonts w:ascii="Times New Roman" w:hAnsi="Times New Roman" w:cs="Times New Roman"/>
                <w:sz w:val="24"/>
                <w:szCs w:val="24"/>
              </w:rPr>
              <w:t xml:space="preserve">seetõttu pole seda </w:t>
            </w:r>
            <w:r w:rsidRPr="00BC28C0">
              <w:rPr>
                <w:rFonts w:ascii="Times New Roman" w:hAnsi="Times New Roman" w:cs="Times New Roman"/>
                <w:sz w:val="24"/>
                <w:szCs w:val="24"/>
              </w:rPr>
              <w:lastRenderedPageBreak/>
              <w:t>vaja. Samuti märgime, et nende kvaliteedinõuete aluseks on üksnes</w:t>
            </w:r>
            <w:r>
              <w:rPr>
                <w:rFonts w:ascii="Times New Roman" w:hAnsi="Times New Roman" w:cs="Times New Roman"/>
                <w:sz w:val="24"/>
                <w:szCs w:val="24"/>
              </w:rPr>
              <w:t xml:space="preserve"> </w:t>
            </w:r>
            <w:r w:rsidRPr="00BC28C0">
              <w:rPr>
                <w:rFonts w:ascii="Times New Roman" w:hAnsi="Times New Roman" w:cs="Times New Roman"/>
                <w:sz w:val="24"/>
                <w:szCs w:val="24"/>
              </w:rPr>
              <w:t>andmete olemasolu, samal ajal eirates tegelikke uuringutulemusi.</w:t>
            </w:r>
          </w:p>
          <w:p w14:paraId="4064C168" w14:textId="02578431" w:rsidR="00BC28C0" w:rsidRPr="00BC28C0" w:rsidRDefault="00BC28C0" w:rsidP="00BC28C0">
            <w:pPr>
              <w:jc w:val="both"/>
              <w:rPr>
                <w:rFonts w:ascii="Times New Roman" w:hAnsi="Times New Roman" w:cs="Times New Roman"/>
                <w:sz w:val="24"/>
                <w:szCs w:val="24"/>
              </w:rPr>
            </w:pPr>
            <w:r w:rsidRPr="00BC28C0">
              <w:rPr>
                <w:rFonts w:ascii="Times New Roman" w:hAnsi="Times New Roman" w:cs="Times New Roman"/>
                <w:sz w:val="24"/>
                <w:szCs w:val="24"/>
              </w:rPr>
              <w:t xml:space="preserve">Madala vaikeväärtuse määramine ainetele (nt 0,1 või 1 </w:t>
            </w:r>
            <w:proofErr w:type="spellStart"/>
            <w:r w:rsidRPr="00BC28C0">
              <w:rPr>
                <w:rFonts w:ascii="Times New Roman" w:hAnsi="Times New Roman" w:cs="Times New Roman"/>
                <w:sz w:val="24"/>
                <w:szCs w:val="24"/>
              </w:rPr>
              <w:t>μg</w:t>
            </w:r>
            <w:proofErr w:type="spellEnd"/>
            <w:r w:rsidRPr="00BC28C0">
              <w:rPr>
                <w:rFonts w:ascii="Times New Roman" w:hAnsi="Times New Roman" w:cs="Times New Roman"/>
                <w:sz w:val="24"/>
                <w:szCs w:val="24"/>
              </w:rPr>
              <w:t>/l), kus olemasolevaid andmeid</w:t>
            </w:r>
            <w:r>
              <w:rPr>
                <w:rFonts w:ascii="Times New Roman" w:hAnsi="Times New Roman" w:cs="Times New Roman"/>
                <w:sz w:val="24"/>
                <w:szCs w:val="24"/>
              </w:rPr>
              <w:t xml:space="preserve"> </w:t>
            </w:r>
            <w:r w:rsidRPr="00BC28C0">
              <w:rPr>
                <w:rFonts w:ascii="Times New Roman" w:hAnsi="Times New Roman" w:cs="Times New Roman"/>
                <w:sz w:val="24"/>
                <w:szCs w:val="24"/>
              </w:rPr>
              <w:t>kasutades saab hõlpsasti tuletada kõrgema standardi, tekitab vale ettekujutuse riskist, ilma</w:t>
            </w:r>
            <w:r>
              <w:rPr>
                <w:rFonts w:ascii="Times New Roman" w:hAnsi="Times New Roman" w:cs="Times New Roman"/>
                <w:sz w:val="24"/>
                <w:szCs w:val="24"/>
              </w:rPr>
              <w:t xml:space="preserve"> </w:t>
            </w:r>
            <w:r w:rsidRPr="00BC28C0">
              <w:rPr>
                <w:rFonts w:ascii="Times New Roman" w:hAnsi="Times New Roman" w:cs="Times New Roman"/>
                <w:sz w:val="24"/>
                <w:szCs w:val="24"/>
              </w:rPr>
              <w:t>et see tooks tarbijale või keskkonnale lisakasu. See võib mõjutada ka suurt osa ELi turul</w:t>
            </w:r>
            <w:r>
              <w:rPr>
                <w:rFonts w:ascii="Times New Roman" w:hAnsi="Times New Roman" w:cs="Times New Roman"/>
                <w:sz w:val="24"/>
                <w:szCs w:val="24"/>
              </w:rPr>
              <w:t xml:space="preserve"> </w:t>
            </w:r>
            <w:r w:rsidRPr="00BC28C0">
              <w:rPr>
                <w:rFonts w:ascii="Times New Roman" w:hAnsi="Times New Roman" w:cs="Times New Roman"/>
                <w:sz w:val="24"/>
                <w:szCs w:val="24"/>
              </w:rPr>
              <w:t>saadaolevatest taimekaitsevahenditest, mis on juba läbinud taimekaitsevahendite</w:t>
            </w:r>
            <w:r>
              <w:rPr>
                <w:rFonts w:ascii="Times New Roman" w:hAnsi="Times New Roman" w:cs="Times New Roman"/>
                <w:sz w:val="24"/>
                <w:szCs w:val="24"/>
              </w:rPr>
              <w:t xml:space="preserve"> </w:t>
            </w:r>
            <w:proofErr w:type="spellStart"/>
            <w:r w:rsidRPr="00BC28C0">
              <w:rPr>
                <w:rFonts w:ascii="Times New Roman" w:hAnsi="Times New Roman" w:cs="Times New Roman"/>
                <w:sz w:val="24"/>
                <w:szCs w:val="24"/>
              </w:rPr>
              <w:t>turulelaksmist</w:t>
            </w:r>
            <w:proofErr w:type="spellEnd"/>
            <w:r w:rsidRPr="00BC28C0">
              <w:rPr>
                <w:rFonts w:ascii="Times New Roman" w:hAnsi="Times New Roman" w:cs="Times New Roman"/>
                <w:sz w:val="24"/>
                <w:szCs w:val="24"/>
              </w:rPr>
              <w:t xml:space="preserve"> käsitleva Euroopa Parlamendi ja nõukogu määrusega (EÜ) nr 1107/2009</w:t>
            </w:r>
            <w:r>
              <w:rPr>
                <w:rFonts w:ascii="Times New Roman" w:hAnsi="Times New Roman" w:cs="Times New Roman"/>
                <w:sz w:val="24"/>
                <w:szCs w:val="24"/>
              </w:rPr>
              <w:t xml:space="preserve"> </w:t>
            </w:r>
            <w:r w:rsidRPr="00BC28C0">
              <w:rPr>
                <w:rFonts w:ascii="Times New Roman" w:hAnsi="Times New Roman" w:cs="Times New Roman"/>
                <w:sz w:val="24"/>
                <w:szCs w:val="24"/>
              </w:rPr>
              <w:t>nõutud range keskkonna-, inimeste ja loomade terviseriskide hindamise.</w:t>
            </w:r>
          </w:p>
          <w:p w14:paraId="4ADEC9A6" w14:textId="3D3AC116" w:rsidR="00BC28C0" w:rsidRPr="00BC28C0" w:rsidRDefault="00BC28C0" w:rsidP="00BC28C0">
            <w:pPr>
              <w:jc w:val="both"/>
              <w:rPr>
                <w:rFonts w:ascii="Times New Roman" w:hAnsi="Times New Roman" w:cs="Times New Roman"/>
                <w:sz w:val="24"/>
                <w:szCs w:val="24"/>
              </w:rPr>
            </w:pPr>
            <w:r w:rsidRPr="00BC28C0">
              <w:rPr>
                <w:rFonts w:ascii="Times New Roman" w:hAnsi="Times New Roman" w:cs="Times New Roman"/>
                <w:sz w:val="24"/>
                <w:szCs w:val="24"/>
              </w:rPr>
              <w:t>Leiame, et ebaoluliste metaboliitide jaoks ette nähtud kvaliteedistandard/piirväärtus „</w:t>
            </w:r>
            <w:proofErr w:type="spellStart"/>
            <w:r w:rsidRPr="00BC28C0">
              <w:rPr>
                <w:rFonts w:ascii="Times New Roman" w:hAnsi="Times New Roman" w:cs="Times New Roman"/>
                <w:sz w:val="24"/>
                <w:szCs w:val="24"/>
              </w:rPr>
              <w:t>total</w:t>
            </w:r>
            <w:proofErr w:type="spellEnd"/>
            <w:r>
              <w:rPr>
                <w:rFonts w:ascii="Times New Roman" w:hAnsi="Times New Roman" w:cs="Times New Roman"/>
                <w:sz w:val="24"/>
                <w:szCs w:val="24"/>
              </w:rPr>
              <w:t xml:space="preserve"> </w:t>
            </w:r>
            <w:r w:rsidRPr="00BC28C0">
              <w:rPr>
                <w:rFonts w:ascii="Times New Roman" w:hAnsi="Times New Roman" w:cs="Times New Roman"/>
                <w:sz w:val="24"/>
                <w:szCs w:val="24"/>
              </w:rPr>
              <w:t>of“ ei ole vajalik üksikute kvaliteedistandardite/piirväärtuste kõrgete ohutustegurite tõttu ega</w:t>
            </w:r>
            <w:r>
              <w:rPr>
                <w:rFonts w:ascii="Times New Roman" w:hAnsi="Times New Roman" w:cs="Times New Roman"/>
                <w:sz w:val="24"/>
                <w:szCs w:val="24"/>
              </w:rPr>
              <w:t xml:space="preserve"> </w:t>
            </w:r>
            <w:r w:rsidRPr="00BC28C0">
              <w:rPr>
                <w:rFonts w:ascii="Times New Roman" w:hAnsi="Times New Roman" w:cs="Times New Roman"/>
                <w:sz w:val="24"/>
                <w:szCs w:val="24"/>
              </w:rPr>
              <w:t>ole teaduslikult põhjendatud, kuna tegemist on väga mitmekesise ainete rühmaga.</w:t>
            </w:r>
          </w:p>
          <w:p w14:paraId="1D291267" w14:textId="6122F1EB" w:rsidR="00BC28C0" w:rsidRPr="00BC28C0" w:rsidRDefault="00BC28C0" w:rsidP="00BC28C0">
            <w:pPr>
              <w:jc w:val="both"/>
              <w:rPr>
                <w:rFonts w:ascii="Times New Roman" w:hAnsi="Times New Roman" w:cs="Times New Roman"/>
                <w:sz w:val="24"/>
                <w:szCs w:val="24"/>
              </w:rPr>
            </w:pPr>
            <w:r w:rsidRPr="00BC28C0">
              <w:rPr>
                <w:rFonts w:ascii="Times New Roman" w:hAnsi="Times New Roman" w:cs="Times New Roman"/>
                <w:sz w:val="24"/>
                <w:szCs w:val="24"/>
              </w:rPr>
              <w:t>Liikmesriikidel peaks olema võimalus kasutada olemasolevaid andmeid ainete kohta, et</w:t>
            </w:r>
            <w:r>
              <w:rPr>
                <w:rFonts w:ascii="Times New Roman" w:hAnsi="Times New Roman" w:cs="Times New Roman"/>
                <w:sz w:val="24"/>
                <w:szCs w:val="24"/>
              </w:rPr>
              <w:t xml:space="preserve"> </w:t>
            </w:r>
            <w:r w:rsidRPr="00BC28C0">
              <w:rPr>
                <w:rFonts w:ascii="Times New Roman" w:hAnsi="Times New Roman" w:cs="Times New Roman"/>
                <w:sz w:val="24"/>
                <w:szCs w:val="24"/>
              </w:rPr>
              <w:t>kehtestada teaduspõhine individuaalne standard/piirväärtus vähestele mitteasjakohastele</w:t>
            </w:r>
            <w:r>
              <w:rPr>
                <w:rFonts w:ascii="Times New Roman" w:hAnsi="Times New Roman" w:cs="Times New Roman"/>
                <w:sz w:val="24"/>
                <w:szCs w:val="24"/>
              </w:rPr>
              <w:t xml:space="preserve"> </w:t>
            </w:r>
            <w:r w:rsidRPr="00BC28C0">
              <w:rPr>
                <w:rFonts w:ascii="Times New Roman" w:hAnsi="Times New Roman" w:cs="Times New Roman"/>
                <w:sz w:val="24"/>
                <w:szCs w:val="24"/>
              </w:rPr>
              <w:t>metaboliitidele, mille jaoks oleks riiklik õigustus ja vajadus. GWD II lisa võib olla sobiv vahend</w:t>
            </w:r>
            <w:r>
              <w:rPr>
                <w:rFonts w:ascii="Times New Roman" w:hAnsi="Times New Roman" w:cs="Times New Roman"/>
                <w:sz w:val="24"/>
                <w:szCs w:val="24"/>
              </w:rPr>
              <w:t xml:space="preserve"> </w:t>
            </w:r>
            <w:r w:rsidRPr="00BC28C0">
              <w:rPr>
                <w:rFonts w:ascii="Times New Roman" w:hAnsi="Times New Roman" w:cs="Times New Roman"/>
                <w:sz w:val="24"/>
                <w:szCs w:val="24"/>
              </w:rPr>
              <w:t>selliste individuaalsete standardite/piirväärtuste kehtestamiseks.</w:t>
            </w:r>
          </w:p>
          <w:p w14:paraId="3436EF2E" w14:textId="5B399B91" w:rsidR="00BC28C0" w:rsidRDefault="00BC28C0" w:rsidP="00BC28C0">
            <w:pPr>
              <w:jc w:val="both"/>
              <w:rPr>
                <w:rFonts w:ascii="Times New Roman" w:hAnsi="Times New Roman" w:cs="Times New Roman"/>
                <w:sz w:val="24"/>
                <w:szCs w:val="24"/>
              </w:rPr>
            </w:pPr>
            <w:r w:rsidRPr="00BC28C0">
              <w:rPr>
                <w:rFonts w:ascii="Times New Roman" w:hAnsi="Times New Roman" w:cs="Times New Roman"/>
                <w:sz w:val="24"/>
                <w:szCs w:val="24"/>
              </w:rPr>
              <w:t>Leiame, et mitteoluliste metaboliitide jaotamise andmekategooriatesse ja keskkonna</w:t>
            </w:r>
            <w:r>
              <w:rPr>
                <w:rFonts w:ascii="Times New Roman" w:hAnsi="Times New Roman" w:cs="Times New Roman"/>
                <w:sz w:val="24"/>
                <w:szCs w:val="24"/>
              </w:rPr>
              <w:t xml:space="preserve"> </w:t>
            </w:r>
            <w:r w:rsidRPr="00BC28C0">
              <w:rPr>
                <w:rFonts w:ascii="Times New Roman" w:hAnsi="Times New Roman" w:cs="Times New Roman"/>
                <w:sz w:val="24"/>
                <w:szCs w:val="24"/>
              </w:rPr>
              <w:t>kvaliteedi piirväärtuste (EQS) tuletamise peab läbi viima ELi keskasutus (EFSA, ECHA),</w:t>
            </w:r>
            <w:r>
              <w:rPr>
                <w:rFonts w:ascii="Times New Roman" w:hAnsi="Times New Roman" w:cs="Times New Roman"/>
                <w:sz w:val="24"/>
                <w:szCs w:val="24"/>
              </w:rPr>
              <w:t xml:space="preserve"> </w:t>
            </w:r>
            <w:r w:rsidRPr="00BC28C0">
              <w:rPr>
                <w:rFonts w:ascii="Times New Roman" w:hAnsi="Times New Roman" w:cs="Times New Roman"/>
                <w:sz w:val="24"/>
                <w:szCs w:val="24"/>
              </w:rPr>
              <w:t>ideaaljuhul töötades välja keskkonna kvaliteedi standardite/piirväärtuste toimiku protsessi,</w:t>
            </w:r>
            <w:r>
              <w:rPr>
                <w:rFonts w:ascii="Times New Roman" w:hAnsi="Times New Roman" w:cs="Times New Roman"/>
                <w:sz w:val="24"/>
                <w:szCs w:val="24"/>
              </w:rPr>
              <w:t xml:space="preserve"> </w:t>
            </w:r>
            <w:r w:rsidRPr="00BC28C0">
              <w:rPr>
                <w:rFonts w:ascii="Times New Roman" w:hAnsi="Times New Roman" w:cs="Times New Roman"/>
                <w:sz w:val="24"/>
                <w:szCs w:val="24"/>
              </w:rPr>
              <w:t>kasutades asjakohaseid andmeid, sealhulgas registreeringu hoidjate poolt</w:t>
            </w:r>
            <w:r>
              <w:rPr>
                <w:rFonts w:ascii="Times New Roman" w:hAnsi="Times New Roman" w:cs="Times New Roman"/>
                <w:sz w:val="24"/>
                <w:szCs w:val="24"/>
              </w:rPr>
              <w:t xml:space="preserve"> </w:t>
            </w:r>
            <w:r w:rsidRPr="00BC28C0">
              <w:rPr>
                <w:rFonts w:ascii="Times New Roman" w:hAnsi="Times New Roman" w:cs="Times New Roman"/>
                <w:sz w:val="24"/>
                <w:szCs w:val="24"/>
              </w:rPr>
              <w:t xml:space="preserve">taimekaitsevahendite </w:t>
            </w:r>
            <w:proofErr w:type="spellStart"/>
            <w:r w:rsidRPr="00BC28C0">
              <w:rPr>
                <w:rFonts w:ascii="Times New Roman" w:hAnsi="Times New Roman" w:cs="Times New Roman"/>
                <w:sz w:val="24"/>
                <w:szCs w:val="24"/>
              </w:rPr>
              <w:t>turulelaksmist</w:t>
            </w:r>
            <w:proofErr w:type="spellEnd"/>
            <w:r w:rsidRPr="00BC28C0">
              <w:rPr>
                <w:rFonts w:ascii="Times New Roman" w:hAnsi="Times New Roman" w:cs="Times New Roman"/>
                <w:sz w:val="24"/>
                <w:szCs w:val="24"/>
              </w:rPr>
              <w:t xml:space="preserve"> käsitleva Euroopa Parlamendi ja nõukogu määrusega</w:t>
            </w:r>
            <w:r>
              <w:rPr>
                <w:rFonts w:ascii="Times New Roman" w:hAnsi="Times New Roman" w:cs="Times New Roman"/>
                <w:sz w:val="24"/>
                <w:szCs w:val="24"/>
              </w:rPr>
              <w:t xml:space="preserve"> </w:t>
            </w:r>
            <w:r w:rsidRPr="00BC28C0">
              <w:rPr>
                <w:rFonts w:ascii="Times New Roman" w:hAnsi="Times New Roman" w:cs="Times New Roman"/>
                <w:sz w:val="24"/>
                <w:szCs w:val="24"/>
              </w:rPr>
              <w:t>(EÜ) nr 1107/2009 alusel loodud. Kolme andmekategooria määratlus on ebaselge, mis võib</w:t>
            </w:r>
            <w:r>
              <w:rPr>
                <w:rFonts w:ascii="Times New Roman" w:hAnsi="Times New Roman" w:cs="Times New Roman"/>
                <w:sz w:val="24"/>
                <w:szCs w:val="24"/>
              </w:rPr>
              <w:t xml:space="preserve"> </w:t>
            </w:r>
            <w:r w:rsidRPr="00BC28C0">
              <w:rPr>
                <w:rFonts w:ascii="Times New Roman" w:hAnsi="Times New Roman" w:cs="Times New Roman"/>
                <w:sz w:val="24"/>
                <w:szCs w:val="24"/>
              </w:rPr>
              <w:t xml:space="preserve">tekitada </w:t>
            </w:r>
            <w:proofErr w:type="spellStart"/>
            <w:r w:rsidRPr="00BC28C0">
              <w:rPr>
                <w:rFonts w:ascii="Times New Roman" w:hAnsi="Times New Roman" w:cs="Times New Roman"/>
                <w:sz w:val="24"/>
                <w:szCs w:val="24"/>
              </w:rPr>
              <w:t>topelttööd</w:t>
            </w:r>
            <w:proofErr w:type="spellEnd"/>
            <w:r w:rsidRPr="00BC28C0">
              <w:rPr>
                <w:rFonts w:ascii="Times New Roman" w:hAnsi="Times New Roman" w:cs="Times New Roman"/>
                <w:sz w:val="24"/>
                <w:szCs w:val="24"/>
              </w:rPr>
              <w:t xml:space="preserve"> liikmesriikide tasandil ja segase olukorra liikmesriikide vahel, mis võib</w:t>
            </w:r>
            <w:r>
              <w:rPr>
                <w:rFonts w:ascii="Times New Roman" w:hAnsi="Times New Roman" w:cs="Times New Roman"/>
                <w:sz w:val="24"/>
                <w:szCs w:val="24"/>
              </w:rPr>
              <w:t xml:space="preserve"> </w:t>
            </w:r>
            <w:r w:rsidRPr="00BC28C0">
              <w:rPr>
                <w:rFonts w:ascii="Times New Roman" w:hAnsi="Times New Roman" w:cs="Times New Roman"/>
                <w:sz w:val="24"/>
                <w:szCs w:val="24"/>
              </w:rPr>
              <w:t>liigitada sama metaboliidi erinevatesse andmekategooriatesse.</w:t>
            </w:r>
            <w:r>
              <w:rPr>
                <w:rFonts w:ascii="Times New Roman" w:hAnsi="Times New Roman" w:cs="Times New Roman"/>
                <w:sz w:val="24"/>
                <w:szCs w:val="24"/>
              </w:rPr>
              <w:t xml:space="preserve"> </w:t>
            </w:r>
            <w:r w:rsidRPr="00BC28C0">
              <w:rPr>
                <w:rFonts w:ascii="Times New Roman" w:hAnsi="Times New Roman" w:cs="Times New Roman"/>
                <w:sz w:val="24"/>
                <w:szCs w:val="24"/>
              </w:rPr>
              <w:t>Kokkuvõttes on meie hinnangul vajalik üle vaadata mitteteaduspõhised vaikeväärtused ning</w:t>
            </w:r>
            <w:r>
              <w:rPr>
                <w:rFonts w:ascii="Times New Roman" w:hAnsi="Times New Roman" w:cs="Times New Roman"/>
                <w:sz w:val="24"/>
                <w:szCs w:val="24"/>
              </w:rPr>
              <w:t xml:space="preserve"> </w:t>
            </w:r>
            <w:r w:rsidRPr="00BC28C0">
              <w:rPr>
                <w:rFonts w:ascii="Times New Roman" w:hAnsi="Times New Roman" w:cs="Times New Roman"/>
                <w:sz w:val="24"/>
                <w:szCs w:val="24"/>
              </w:rPr>
              <w:t>lihtsustada andmekategooriaid.</w:t>
            </w:r>
          </w:p>
          <w:p w14:paraId="1D7822D0" w14:textId="77777777" w:rsidR="00BC28C0" w:rsidRPr="00BC28C0" w:rsidRDefault="00BC28C0" w:rsidP="00BC28C0">
            <w:pPr>
              <w:jc w:val="both"/>
              <w:rPr>
                <w:rFonts w:ascii="Times New Roman" w:hAnsi="Times New Roman" w:cs="Times New Roman"/>
                <w:sz w:val="24"/>
                <w:szCs w:val="24"/>
              </w:rPr>
            </w:pPr>
          </w:p>
          <w:p w14:paraId="3A79098A" w14:textId="38FEAE79" w:rsidR="00BC28C0" w:rsidRPr="00BC28C0" w:rsidRDefault="00BC28C0" w:rsidP="00BC28C0">
            <w:pPr>
              <w:jc w:val="both"/>
              <w:rPr>
                <w:rFonts w:ascii="Times New Roman" w:hAnsi="Times New Roman" w:cs="Times New Roman"/>
                <w:b/>
                <w:bCs/>
                <w:sz w:val="24"/>
                <w:szCs w:val="24"/>
              </w:rPr>
            </w:pPr>
            <w:r w:rsidRPr="00BC28C0">
              <w:rPr>
                <w:rFonts w:ascii="Times New Roman" w:hAnsi="Times New Roman" w:cs="Times New Roman"/>
                <w:b/>
                <w:bCs/>
                <w:sz w:val="24"/>
                <w:szCs w:val="24"/>
              </w:rPr>
              <w:t>Täpsemad kommentaarid pinnavee kvaliteedi piirväärtuste ning pestitsiidide ja nende</w:t>
            </w:r>
            <w:r>
              <w:rPr>
                <w:rFonts w:ascii="Times New Roman" w:hAnsi="Times New Roman" w:cs="Times New Roman"/>
                <w:b/>
                <w:bCs/>
                <w:sz w:val="24"/>
                <w:szCs w:val="24"/>
              </w:rPr>
              <w:t xml:space="preserve"> </w:t>
            </w:r>
            <w:r w:rsidRPr="00BC28C0">
              <w:rPr>
                <w:rFonts w:ascii="Times New Roman" w:hAnsi="Times New Roman" w:cs="Times New Roman"/>
                <w:b/>
                <w:bCs/>
                <w:sz w:val="24"/>
                <w:szCs w:val="24"/>
              </w:rPr>
              <w:t>asjakohaste metaboliitide summa osas</w:t>
            </w:r>
          </w:p>
          <w:p w14:paraId="347BE0B1" w14:textId="44ED0F88" w:rsidR="00BC28C0" w:rsidRPr="00BC28C0" w:rsidRDefault="00BC28C0" w:rsidP="00BC28C0">
            <w:pPr>
              <w:jc w:val="both"/>
              <w:rPr>
                <w:rFonts w:ascii="Times New Roman" w:hAnsi="Times New Roman" w:cs="Times New Roman"/>
                <w:sz w:val="24"/>
                <w:szCs w:val="24"/>
              </w:rPr>
            </w:pPr>
            <w:r w:rsidRPr="00BC28C0">
              <w:rPr>
                <w:rFonts w:ascii="Times New Roman" w:hAnsi="Times New Roman" w:cs="Times New Roman"/>
                <w:sz w:val="24"/>
                <w:szCs w:val="24"/>
              </w:rPr>
              <w:t>Kavandatav lisamine pinnavees leiduvatele pestitsiidide ja nende asjakohaste metaboliitide</w:t>
            </w:r>
            <w:r>
              <w:rPr>
                <w:rFonts w:ascii="Times New Roman" w:hAnsi="Times New Roman" w:cs="Times New Roman"/>
                <w:sz w:val="24"/>
                <w:szCs w:val="24"/>
              </w:rPr>
              <w:t xml:space="preserve"> </w:t>
            </w:r>
            <w:r w:rsidRPr="00BC28C0">
              <w:rPr>
                <w:rFonts w:ascii="Times New Roman" w:hAnsi="Times New Roman" w:cs="Times New Roman"/>
                <w:sz w:val="24"/>
                <w:szCs w:val="24"/>
              </w:rPr>
              <w:t xml:space="preserve">summale 0,5 </w:t>
            </w:r>
            <w:proofErr w:type="spellStart"/>
            <w:r w:rsidRPr="00BC28C0">
              <w:rPr>
                <w:rFonts w:ascii="Times New Roman" w:hAnsi="Times New Roman" w:cs="Times New Roman"/>
                <w:sz w:val="24"/>
                <w:szCs w:val="24"/>
              </w:rPr>
              <w:t>μg</w:t>
            </w:r>
            <w:proofErr w:type="spellEnd"/>
            <w:r w:rsidRPr="00BC28C0">
              <w:rPr>
                <w:rFonts w:ascii="Times New Roman" w:hAnsi="Times New Roman" w:cs="Times New Roman"/>
                <w:sz w:val="24"/>
                <w:szCs w:val="24"/>
              </w:rPr>
              <w:t>/l, ei ole teaduspõhine ning on seetõttu üleliigne. Lisaks ei ole meile</w:t>
            </w:r>
            <w:r>
              <w:rPr>
                <w:rFonts w:ascii="Times New Roman" w:hAnsi="Times New Roman" w:cs="Times New Roman"/>
                <w:sz w:val="24"/>
                <w:szCs w:val="24"/>
              </w:rPr>
              <w:t xml:space="preserve"> </w:t>
            </w:r>
            <w:r w:rsidRPr="00BC28C0">
              <w:rPr>
                <w:rFonts w:ascii="Times New Roman" w:hAnsi="Times New Roman" w:cs="Times New Roman"/>
                <w:sz w:val="24"/>
                <w:szCs w:val="24"/>
              </w:rPr>
              <w:t>teadaolevalt seda arutatud ekspertrühmades ning puudub mõjuhinnang. See rühmitus ei ole</w:t>
            </w:r>
            <w:r>
              <w:rPr>
                <w:rFonts w:ascii="Times New Roman" w:hAnsi="Times New Roman" w:cs="Times New Roman"/>
                <w:sz w:val="24"/>
                <w:szCs w:val="24"/>
              </w:rPr>
              <w:t xml:space="preserve"> </w:t>
            </w:r>
            <w:r w:rsidRPr="00BC28C0">
              <w:rPr>
                <w:rFonts w:ascii="Times New Roman" w:hAnsi="Times New Roman" w:cs="Times New Roman"/>
                <w:sz w:val="24"/>
                <w:szCs w:val="24"/>
              </w:rPr>
              <w:t>pinnavees rakendatav ja seetõttu tuleks see keskkonna kvaliteedi standard/piirväärtus välja</w:t>
            </w:r>
            <w:r>
              <w:rPr>
                <w:rFonts w:ascii="Times New Roman" w:hAnsi="Times New Roman" w:cs="Times New Roman"/>
                <w:sz w:val="24"/>
                <w:szCs w:val="24"/>
              </w:rPr>
              <w:t xml:space="preserve"> </w:t>
            </w:r>
            <w:r w:rsidRPr="00BC28C0">
              <w:rPr>
                <w:rFonts w:ascii="Times New Roman" w:hAnsi="Times New Roman" w:cs="Times New Roman"/>
                <w:sz w:val="24"/>
                <w:szCs w:val="24"/>
              </w:rPr>
              <w:t>jätta. Näib, et see parameeter on lihtsalt kopeeritud põhjavett ja joogivett käsitlevatest</w:t>
            </w:r>
            <w:r>
              <w:rPr>
                <w:rFonts w:ascii="Times New Roman" w:hAnsi="Times New Roman" w:cs="Times New Roman"/>
                <w:sz w:val="24"/>
                <w:szCs w:val="24"/>
              </w:rPr>
              <w:t xml:space="preserve"> </w:t>
            </w:r>
            <w:r w:rsidRPr="00BC28C0">
              <w:rPr>
                <w:rFonts w:ascii="Times New Roman" w:hAnsi="Times New Roman" w:cs="Times New Roman"/>
                <w:sz w:val="24"/>
                <w:szCs w:val="24"/>
              </w:rPr>
              <w:t>õigusaktidest. Märgime, et veealaste õigusaktide ühtlustamise eesmärki ei saavutata lihtsalt</w:t>
            </w:r>
            <w:r>
              <w:rPr>
                <w:rFonts w:ascii="Times New Roman" w:hAnsi="Times New Roman" w:cs="Times New Roman"/>
                <w:sz w:val="24"/>
                <w:szCs w:val="24"/>
              </w:rPr>
              <w:t xml:space="preserve"> </w:t>
            </w:r>
            <w:r w:rsidRPr="00BC28C0">
              <w:rPr>
                <w:rFonts w:ascii="Times New Roman" w:hAnsi="Times New Roman" w:cs="Times New Roman"/>
                <w:sz w:val="24"/>
                <w:szCs w:val="24"/>
              </w:rPr>
              <w:t>teatud tüüpi vee (põhjavesi, puhastatud joogivesi) jaoks tuletatud standardite/piirväärtuste</w:t>
            </w:r>
            <w:r>
              <w:rPr>
                <w:rFonts w:ascii="Times New Roman" w:hAnsi="Times New Roman" w:cs="Times New Roman"/>
                <w:sz w:val="24"/>
                <w:szCs w:val="24"/>
              </w:rPr>
              <w:t xml:space="preserve"> </w:t>
            </w:r>
            <w:r w:rsidRPr="00BC28C0">
              <w:rPr>
                <w:rFonts w:ascii="Times New Roman" w:hAnsi="Times New Roman" w:cs="Times New Roman"/>
                <w:sz w:val="24"/>
                <w:szCs w:val="24"/>
              </w:rPr>
              <w:t>kopeerimisega teistesse õigusaktidesse, mis hõlmavad erinevat tüüpi veekogusid</w:t>
            </w:r>
            <w:r>
              <w:rPr>
                <w:rFonts w:ascii="Times New Roman" w:hAnsi="Times New Roman" w:cs="Times New Roman"/>
                <w:sz w:val="24"/>
                <w:szCs w:val="24"/>
              </w:rPr>
              <w:t xml:space="preserve"> </w:t>
            </w:r>
            <w:r w:rsidRPr="00BC28C0">
              <w:rPr>
                <w:rFonts w:ascii="Times New Roman" w:hAnsi="Times New Roman" w:cs="Times New Roman"/>
                <w:sz w:val="24"/>
                <w:szCs w:val="24"/>
              </w:rPr>
              <w:t>(pinnaveekogusid).</w:t>
            </w:r>
          </w:p>
          <w:p w14:paraId="5B242DF3" w14:textId="09A9D1EB" w:rsidR="00BC28C0" w:rsidRPr="00BC28C0" w:rsidRDefault="00BC28C0" w:rsidP="00BC28C0">
            <w:pPr>
              <w:jc w:val="both"/>
              <w:rPr>
                <w:rFonts w:ascii="Times New Roman" w:hAnsi="Times New Roman" w:cs="Times New Roman"/>
                <w:sz w:val="24"/>
                <w:szCs w:val="24"/>
              </w:rPr>
            </w:pPr>
            <w:r w:rsidRPr="00BC28C0">
              <w:rPr>
                <w:rFonts w:ascii="Times New Roman" w:hAnsi="Times New Roman" w:cs="Times New Roman"/>
                <w:sz w:val="24"/>
                <w:szCs w:val="24"/>
              </w:rPr>
              <w:t>Senise arusaama kohaselt, selliseid keskkonna kvaliteedi standardite/piirväärtuste summasid</w:t>
            </w:r>
            <w:r>
              <w:rPr>
                <w:rFonts w:ascii="Times New Roman" w:hAnsi="Times New Roman" w:cs="Times New Roman"/>
                <w:sz w:val="24"/>
                <w:szCs w:val="24"/>
              </w:rPr>
              <w:t xml:space="preserve"> </w:t>
            </w:r>
            <w:r w:rsidRPr="00BC28C0">
              <w:rPr>
                <w:rFonts w:ascii="Times New Roman" w:hAnsi="Times New Roman" w:cs="Times New Roman"/>
                <w:sz w:val="24"/>
                <w:szCs w:val="24"/>
              </w:rPr>
              <w:t>(„</w:t>
            </w:r>
            <w:proofErr w:type="spellStart"/>
            <w:r w:rsidRPr="00BC28C0">
              <w:rPr>
                <w:rFonts w:ascii="Times New Roman" w:hAnsi="Times New Roman" w:cs="Times New Roman"/>
                <w:sz w:val="24"/>
                <w:szCs w:val="24"/>
              </w:rPr>
              <w:t>sum</w:t>
            </w:r>
            <w:proofErr w:type="spellEnd"/>
            <w:r w:rsidRPr="00BC28C0">
              <w:rPr>
                <w:rFonts w:ascii="Times New Roman" w:hAnsi="Times New Roman" w:cs="Times New Roman"/>
                <w:sz w:val="24"/>
                <w:szCs w:val="24"/>
              </w:rPr>
              <w:t xml:space="preserve"> of“) tuleks rakendada ainult sarnase molekulaarstruktuuri ja/või sarnase toimeviisiga</w:t>
            </w:r>
            <w:r>
              <w:rPr>
                <w:rFonts w:ascii="Times New Roman" w:hAnsi="Times New Roman" w:cs="Times New Roman"/>
                <w:sz w:val="24"/>
                <w:szCs w:val="24"/>
              </w:rPr>
              <w:t xml:space="preserve"> </w:t>
            </w:r>
            <w:r w:rsidRPr="00BC28C0">
              <w:rPr>
                <w:rFonts w:ascii="Times New Roman" w:hAnsi="Times New Roman" w:cs="Times New Roman"/>
                <w:sz w:val="24"/>
                <w:szCs w:val="24"/>
              </w:rPr>
              <w:t>ainerühmade puhul. Väga mitmekesise pestitsiidide rühma ja nende asjakohaste</w:t>
            </w:r>
            <w:r>
              <w:rPr>
                <w:rFonts w:ascii="Times New Roman" w:hAnsi="Times New Roman" w:cs="Times New Roman"/>
                <w:sz w:val="24"/>
                <w:szCs w:val="24"/>
              </w:rPr>
              <w:t xml:space="preserve"> </w:t>
            </w:r>
            <w:r w:rsidRPr="00BC28C0">
              <w:rPr>
                <w:rFonts w:ascii="Times New Roman" w:hAnsi="Times New Roman" w:cs="Times New Roman"/>
                <w:sz w:val="24"/>
                <w:szCs w:val="24"/>
              </w:rPr>
              <w:t>metaboliitide puhul see nii ei ole ja järelikult ei saa eeldada seost veekogudele avalduva</w:t>
            </w:r>
            <w:r>
              <w:rPr>
                <w:rFonts w:ascii="Times New Roman" w:hAnsi="Times New Roman" w:cs="Times New Roman"/>
                <w:sz w:val="24"/>
                <w:szCs w:val="24"/>
              </w:rPr>
              <w:t xml:space="preserve"> </w:t>
            </w:r>
            <w:proofErr w:type="spellStart"/>
            <w:r w:rsidRPr="00BC28C0">
              <w:rPr>
                <w:rFonts w:ascii="Times New Roman" w:hAnsi="Times New Roman" w:cs="Times New Roman"/>
                <w:sz w:val="24"/>
                <w:szCs w:val="24"/>
              </w:rPr>
              <w:t>ökotoksikoloogilise</w:t>
            </w:r>
            <w:proofErr w:type="spellEnd"/>
            <w:r w:rsidRPr="00BC28C0">
              <w:rPr>
                <w:rFonts w:ascii="Times New Roman" w:hAnsi="Times New Roman" w:cs="Times New Roman"/>
                <w:sz w:val="24"/>
                <w:szCs w:val="24"/>
              </w:rPr>
              <w:t xml:space="preserve"> mõjuga.</w:t>
            </w:r>
          </w:p>
          <w:p w14:paraId="1E736F66" w14:textId="0A3CBFA2" w:rsidR="00BC28C0" w:rsidRDefault="00BC28C0" w:rsidP="00BC28C0">
            <w:pPr>
              <w:jc w:val="both"/>
              <w:rPr>
                <w:rFonts w:ascii="Times New Roman" w:hAnsi="Times New Roman" w:cs="Times New Roman"/>
                <w:sz w:val="24"/>
                <w:szCs w:val="24"/>
              </w:rPr>
            </w:pPr>
            <w:r w:rsidRPr="00BC28C0">
              <w:rPr>
                <w:rFonts w:ascii="Times New Roman" w:hAnsi="Times New Roman" w:cs="Times New Roman"/>
                <w:sz w:val="24"/>
                <w:szCs w:val="24"/>
              </w:rPr>
              <w:t>Pestitsiidide ja nende metaboliitide intensiivse seire tõttu eeldatakse kavandatud üldise</w:t>
            </w:r>
            <w:r>
              <w:rPr>
                <w:rFonts w:ascii="Times New Roman" w:hAnsi="Times New Roman" w:cs="Times New Roman"/>
                <w:sz w:val="24"/>
                <w:szCs w:val="24"/>
              </w:rPr>
              <w:t xml:space="preserve"> </w:t>
            </w:r>
            <w:r w:rsidRPr="00BC28C0">
              <w:rPr>
                <w:rFonts w:ascii="Times New Roman" w:hAnsi="Times New Roman" w:cs="Times New Roman"/>
                <w:sz w:val="24"/>
                <w:szCs w:val="24"/>
              </w:rPr>
              <w:t xml:space="preserve">keskkonna kvaliteedi piirväärtuse 0,5 </w:t>
            </w:r>
            <w:proofErr w:type="spellStart"/>
            <w:r w:rsidRPr="00BC28C0">
              <w:rPr>
                <w:rFonts w:ascii="Times New Roman" w:hAnsi="Times New Roman" w:cs="Times New Roman"/>
                <w:sz w:val="24"/>
                <w:szCs w:val="24"/>
              </w:rPr>
              <w:t>μg</w:t>
            </w:r>
            <w:proofErr w:type="spellEnd"/>
            <w:r w:rsidRPr="00BC28C0">
              <w:rPr>
                <w:rFonts w:ascii="Times New Roman" w:hAnsi="Times New Roman" w:cs="Times New Roman"/>
                <w:sz w:val="24"/>
                <w:szCs w:val="24"/>
              </w:rPr>
              <w:t>/l sagedast ületamist, mis toob kaasa tõenäoliselt</w:t>
            </w:r>
            <w:r>
              <w:rPr>
                <w:rFonts w:ascii="Times New Roman" w:hAnsi="Times New Roman" w:cs="Times New Roman"/>
                <w:sz w:val="24"/>
                <w:szCs w:val="24"/>
              </w:rPr>
              <w:t xml:space="preserve"> </w:t>
            </w:r>
            <w:r w:rsidRPr="00BC28C0">
              <w:rPr>
                <w:rFonts w:ascii="Times New Roman" w:hAnsi="Times New Roman" w:cs="Times New Roman"/>
                <w:sz w:val="24"/>
                <w:szCs w:val="24"/>
              </w:rPr>
              <w:t>korduvaid mittevastavusi selle meelevaldse künnise osas ja tekitab ühiskonnas</w:t>
            </w:r>
            <w:r>
              <w:rPr>
                <w:rFonts w:ascii="Times New Roman" w:hAnsi="Times New Roman" w:cs="Times New Roman"/>
                <w:sz w:val="24"/>
                <w:szCs w:val="24"/>
              </w:rPr>
              <w:t xml:space="preserve"> </w:t>
            </w:r>
            <w:r w:rsidRPr="00BC28C0">
              <w:rPr>
                <w:rFonts w:ascii="Times New Roman" w:hAnsi="Times New Roman" w:cs="Times New Roman"/>
                <w:sz w:val="24"/>
                <w:szCs w:val="24"/>
              </w:rPr>
              <w:t>põhjendamatuid muresid.</w:t>
            </w:r>
          </w:p>
          <w:p w14:paraId="735D52FB" w14:textId="77777777" w:rsidR="00BC28C0" w:rsidRPr="00BC28C0" w:rsidRDefault="00BC28C0" w:rsidP="00BC28C0">
            <w:pPr>
              <w:jc w:val="both"/>
              <w:rPr>
                <w:rFonts w:ascii="Times New Roman" w:hAnsi="Times New Roman" w:cs="Times New Roman"/>
                <w:sz w:val="24"/>
                <w:szCs w:val="24"/>
              </w:rPr>
            </w:pPr>
          </w:p>
          <w:p w14:paraId="6F6DFE7B" w14:textId="288AA80E" w:rsidR="00DE72D1" w:rsidRPr="00AA09F9" w:rsidRDefault="00BC28C0" w:rsidP="00BC28C0">
            <w:pPr>
              <w:jc w:val="both"/>
              <w:rPr>
                <w:rFonts w:ascii="Times New Roman" w:hAnsi="Times New Roman" w:cs="Times New Roman"/>
                <w:sz w:val="24"/>
                <w:szCs w:val="24"/>
              </w:rPr>
            </w:pPr>
            <w:r w:rsidRPr="00BC28C0">
              <w:rPr>
                <w:rFonts w:ascii="Times New Roman" w:hAnsi="Times New Roman" w:cs="Times New Roman"/>
                <w:sz w:val="24"/>
                <w:szCs w:val="24"/>
              </w:rPr>
              <w:t>Kokkuvõtvalt on meie hinnangul vajalik kustutada meelevaldne teadusel mittepõhinev</w:t>
            </w:r>
            <w:r>
              <w:rPr>
                <w:rFonts w:ascii="Times New Roman" w:hAnsi="Times New Roman" w:cs="Times New Roman"/>
                <w:sz w:val="24"/>
                <w:szCs w:val="24"/>
              </w:rPr>
              <w:t xml:space="preserve"> </w:t>
            </w:r>
            <w:r w:rsidRPr="00BC28C0">
              <w:rPr>
                <w:rFonts w:ascii="Times New Roman" w:hAnsi="Times New Roman" w:cs="Times New Roman"/>
                <w:sz w:val="24"/>
                <w:szCs w:val="24"/>
              </w:rPr>
              <w:t xml:space="preserve">keskkonna kvaliteedi piirväärtuste summa 0,5 </w:t>
            </w:r>
            <w:proofErr w:type="spellStart"/>
            <w:r w:rsidRPr="00BC28C0">
              <w:rPr>
                <w:rFonts w:ascii="Times New Roman" w:hAnsi="Times New Roman" w:cs="Times New Roman"/>
                <w:sz w:val="24"/>
                <w:szCs w:val="24"/>
              </w:rPr>
              <w:t>μg</w:t>
            </w:r>
            <w:proofErr w:type="spellEnd"/>
            <w:r w:rsidRPr="00BC28C0">
              <w:rPr>
                <w:rFonts w:ascii="Times New Roman" w:hAnsi="Times New Roman" w:cs="Times New Roman"/>
                <w:sz w:val="24"/>
                <w:szCs w:val="24"/>
              </w:rPr>
              <w:t>/l ehk EQSD lisa IA kanne 70.</w:t>
            </w:r>
          </w:p>
        </w:tc>
        <w:tc>
          <w:tcPr>
            <w:tcW w:w="5670" w:type="dxa"/>
          </w:tcPr>
          <w:p w14:paraId="69FF3D5B" w14:textId="2BB28EC2" w:rsidR="00974980" w:rsidRPr="00974980" w:rsidRDefault="00151664" w:rsidP="00974980">
            <w:pPr>
              <w:rPr>
                <w:rFonts w:ascii="Times New Roman" w:hAnsi="Times New Roman" w:cs="Times New Roman"/>
                <w:sz w:val="24"/>
                <w:szCs w:val="24"/>
              </w:rPr>
            </w:pPr>
            <w:r>
              <w:rPr>
                <w:rFonts w:ascii="Times New Roman" w:hAnsi="Times New Roman" w:cs="Times New Roman"/>
                <w:sz w:val="24"/>
                <w:szCs w:val="24"/>
              </w:rPr>
              <w:lastRenderedPageBreak/>
              <w:t>Arvestatud</w:t>
            </w:r>
            <w:r w:rsidR="00D73AB3">
              <w:rPr>
                <w:rFonts w:ascii="Times New Roman" w:hAnsi="Times New Roman" w:cs="Times New Roman"/>
                <w:sz w:val="24"/>
                <w:szCs w:val="24"/>
              </w:rPr>
              <w:t xml:space="preserve"> osaliselt</w:t>
            </w:r>
            <w:r w:rsidR="008F7A73">
              <w:rPr>
                <w:rFonts w:ascii="Times New Roman" w:hAnsi="Times New Roman" w:cs="Times New Roman"/>
                <w:sz w:val="24"/>
                <w:szCs w:val="24"/>
              </w:rPr>
              <w:t>.</w:t>
            </w:r>
            <w:r w:rsidR="00E47F46">
              <w:rPr>
                <w:rFonts w:ascii="Times New Roman" w:hAnsi="Times New Roman" w:cs="Times New Roman"/>
                <w:sz w:val="24"/>
                <w:szCs w:val="24"/>
              </w:rPr>
              <w:t xml:space="preserve"> Pestitsiidide mitteasjakohaste metaboliitide lisamine põhjaveedirektiivi lisasse I  on põhjaendatud, kuna tegemist on ainetega, mida on leitud liikmesriikide põhjavees laiaulatuslikult. Kuna põhjavesi on </w:t>
            </w:r>
            <w:r w:rsidR="00B36F52">
              <w:rPr>
                <w:rFonts w:ascii="Times New Roman" w:hAnsi="Times New Roman" w:cs="Times New Roman"/>
                <w:sz w:val="24"/>
                <w:szCs w:val="24"/>
              </w:rPr>
              <w:t>kõige suurem mageveeallikas ja põhiliselt kasutatav joogiveena, siis on</w:t>
            </w:r>
            <w:r w:rsidR="00E47F46">
              <w:rPr>
                <w:rFonts w:ascii="Times New Roman" w:hAnsi="Times New Roman" w:cs="Times New Roman"/>
                <w:sz w:val="24"/>
                <w:szCs w:val="24"/>
              </w:rPr>
              <w:t xml:space="preserve"> </w:t>
            </w:r>
            <w:r w:rsidR="00B36F52">
              <w:rPr>
                <w:rFonts w:ascii="Times New Roman" w:hAnsi="Times New Roman" w:cs="Times New Roman"/>
                <w:sz w:val="24"/>
                <w:szCs w:val="24"/>
              </w:rPr>
              <w:t>eriti tähtis kaitsta põhjavee kasutamise kaudu inimeste tervist</w:t>
            </w:r>
            <w:r w:rsidR="001A001C">
              <w:rPr>
                <w:rFonts w:ascii="Times New Roman" w:hAnsi="Times New Roman" w:cs="Times New Roman"/>
                <w:sz w:val="24"/>
                <w:szCs w:val="24"/>
              </w:rPr>
              <w:t xml:space="preserve">. EK põhjavee töörühma juurde moodustatud teadlastest koosnev vabatahtliku jälgimisnimekirja töögrupp </w:t>
            </w:r>
            <w:r w:rsidR="00B36F52">
              <w:rPr>
                <w:rFonts w:ascii="Times New Roman" w:hAnsi="Times New Roman" w:cs="Times New Roman"/>
                <w:sz w:val="24"/>
                <w:szCs w:val="24"/>
              </w:rPr>
              <w:t xml:space="preserve">viis läbi uuringu </w:t>
            </w:r>
            <w:r w:rsidR="001A001C">
              <w:rPr>
                <w:rFonts w:ascii="Times New Roman" w:hAnsi="Times New Roman" w:cs="Times New Roman"/>
                <w:sz w:val="24"/>
                <w:szCs w:val="24"/>
              </w:rPr>
              <w:t xml:space="preserve">(2020-2021) </w:t>
            </w:r>
            <w:r w:rsidR="00B36F52">
              <w:rPr>
                <w:rFonts w:ascii="Times New Roman" w:hAnsi="Times New Roman" w:cs="Times New Roman"/>
                <w:sz w:val="24"/>
                <w:szCs w:val="24"/>
              </w:rPr>
              <w:t>pestitsiidide mitteasjakohaste metaboliitide kohta</w:t>
            </w:r>
            <w:r w:rsidR="001A001C">
              <w:rPr>
                <w:rFonts w:ascii="Times New Roman" w:hAnsi="Times New Roman" w:cs="Times New Roman"/>
                <w:sz w:val="24"/>
                <w:szCs w:val="24"/>
              </w:rPr>
              <w:t>.</w:t>
            </w:r>
            <w:r w:rsidR="00B36F52">
              <w:rPr>
                <w:rFonts w:ascii="Times New Roman" w:hAnsi="Times New Roman" w:cs="Times New Roman"/>
                <w:sz w:val="24"/>
                <w:szCs w:val="24"/>
              </w:rPr>
              <w:t xml:space="preserve"> </w:t>
            </w:r>
            <w:r w:rsidR="001D4F7E">
              <w:rPr>
                <w:rFonts w:ascii="Times New Roman" w:hAnsi="Times New Roman" w:cs="Times New Roman"/>
                <w:sz w:val="24"/>
                <w:szCs w:val="24"/>
              </w:rPr>
              <w:t xml:space="preserve">Uuring viidi läbi vastavalt põhjavee jälgimisnimekirja koostamise metoodilisele juhendile. </w:t>
            </w:r>
            <w:r w:rsidR="00B36F52">
              <w:rPr>
                <w:rFonts w:ascii="Times New Roman" w:hAnsi="Times New Roman" w:cs="Times New Roman"/>
                <w:sz w:val="24"/>
                <w:szCs w:val="24"/>
              </w:rPr>
              <w:t xml:space="preserve">Raporti koostamisel kaasati </w:t>
            </w:r>
            <w:r w:rsidR="00B36F52" w:rsidRPr="00B36F52">
              <w:rPr>
                <w:rFonts w:ascii="Times New Roman" w:hAnsi="Times New Roman" w:cs="Times New Roman"/>
                <w:sz w:val="24"/>
                <w:szCs w:val="24"/>
              </w:rPr>
              <w:t xml:space="preserve">liikmesriike, </w:t>
            </w:r>
            <w:r w:rsidR="00B36F52">
              <w:rPr>
                <w:rFonts w:ascii="Times New Roman" w:hAnsi="Times New Roman" w:cs="Times New Roman"/>
                <w:sz w:val="24"/>
                <w:szCs w:val="24"/>
              </w:rPr>
              <w:t>teadusasutusi</w:t>
            </w:r>
            <w:r w:rsidR="00B36F52" w:rsidRPr="00B36F52">
              <w:rPr>
                <w:rFonts w:ascii="Times New Roman" w:hAnsi="Times New Roman" w:cs="Times New Roman"/>
                <w:sz w:val="24"/>
                <w:szCs w:val="24"/>
              </w:rPr>
              <w:t xml:space="preserve"> ja teisi sidusrühmi, sealhulgas Euroopa</w:t>
            </w:r>
            <w:r w:rsidR="00B36F52">
              <w:rPr>
                <w:rFonts w:ascii="Times New Roman" w:hAnsi="Times New Roman" w:cs="Times New Roman"/>
                <w:sz w:val="24"/>
                <w:szCs w:val="24"/>
              </w:rPr>
              <w:t xml:space="preserve"> </w:t>
            </w:r>
            <w:r w:rsidR="00B36F52" w:rsidRPr="00B36F52">
              <w:rPr>
                <w:rFonts w:ascii="Times New Roman" w:hAnsi="Times New Roman" w:cs="Times New Roman"/>
                <w:sz w:val="24"/>
                <w:szCs w:val="24"/>
              </w:rPr>
              <w:t>komisjon.</w:t>
            </w:r>
            <w:r w:rsidR="001A001C">
              <w:rPr>
                <w:rFonts w:ascii="Times New Roman" w:hAnsi="Times New Roman" w:cs="Times New Roman"/>
                <w:sz w:val="24"/>
                <w:szCs w:val="24"/>
              </w:rPr>
              <w:t xml:space="preserve"> </w:t>
            </w:r>
            <w:r w:rsidR="001A001C" w:rsidRPr="001A001C">
              <w:rPr>
                <w:rFonts w:ascii="Times New Roman" w:hAnsi="Times New Roman" w:cs="Times New Roman"/>
                <w:sz w:val="24"/>
                <w:szCs w:val="24"/>
              </w:rPr>
              <w:t xml:space="preserve">Hinnates olemasolevaid </w:t>
            </w:r>
            <w:r w:rsidR="001A001C">
              <w:rPr>
                <w:rFonts w:ascii="Times New Roman" w:hAnsi="Times New Roman" w:cs="Times New Roman"/>
                <w:sz w:val="24"/>
                <w:szCs w:val="24"/>
              </w:rPr>
              <w:t xml:space="preserve">vabatahtliku jälgimisnimekirja </w:t>
            </w:r>
            <w:r w:rsidR="001A001C" w:rsidRPr="001A001C">
              <w:rPr>
                <w:rFonts w:ascii="Times New Roman" w:hAnsi="Times New Roman" w:cs="Times New Roman"/>
                <w:sz w:val="24"/>
                <w:szCs w:val="24"/>
              </w:rPr>
              <w:t>seireandmeid</w:t>
            </w:r>
            <w:r w:rsidR="001A001C">
              <w:rPr>
                <w:rFonts w:ascii="Times New Roman" w:hAnsi="Times New Roman" w:cs="Times New Roman"/>
                <w:sz w:val="24"/>
                <w:szCs w:val="24"/>
              </w:rPr>
              <w:t xml:space="preserve"> ja ohtu põhjaveele</w:t>
            </w:r>
            <w:r w:rsidR="001A001C" w:rsidRPr="001A001C">
              <w:rPr>
                <w:rFonts w:ascii="Times New Roman" w:hAnsi="Times New Roman" w:cs="Times New Roman"/>
                <w:sz w:val="24"/>
                <w:szCs w:val="24"/>
              </w:rPr>
              <w:t xml:space="preserve">, </w:t>
            </w:r>
            <w:r w:rsidR="001A001C">
              <w:rPr>
                <w:rFonts w:ascii="Times New Roman" w:hAnsi="Times New Roman" w:cs="Times New Roman"/>
                <w:sz w:val="24"/>
                <w:szCs w:val="24"/>
              </w:rPr>
              <w:t>leidis töögrupp piisavalt tõendeid mitteasjakohaste metaboliitide</w:t>
            </w:r>
            <w:r w:rsidR="001A001C" w:rsidRPr="001A001C">
              <w:rPr>
                <w:rFonts w:ascii="Times New Roman" w:hAnsi="Times New Roman" w:cs="Times New Roman"/>
                <w:sz w:val="24"/>
                <w:szCs w:val="24"/>
              </w:rPr>
              <w:t xml:space="preserve"> la</w:t>
            </w:r>
            <w:r w:rsidR="001A001C">
              <w:rPr>
                <w:rFonts w:ascii="Times New Roman" w:hAnsi="Times New Roman" w:cs="Times New Roman"/>
                <w:sz w:val="24"/>
                <w:szCs w:val="24"/>
              </w:rPr>
              <w:t xml:space="preserve">ialdase esinemise kohta Euroopa </w:t>
            </w:r>
            <w:r w:rsidR="001A001C" w:rsidRPr="001A001C">
              <w:rPr>
                <w:rFonts w:ascii="Times New Roman" w:hAnsi="Times New Roman" w:cs="Times New Roman"/>
                <w:sz w:val="24"/>
                <w:szCs w:val="24"/>
              </w:rPr>
              <w:t>põhjave</w:t>
            </w:r>
            <w:r w:rsidR="001A001C">
              <w:rPr>
                <w:rFonts w:ascii="Times New Roman" w:hAnsi="Times New Roman" w:cs="Times New Roman"/>
                <w:sz w:val="24"/>
                <w:szCs w:val="24"/>
              </w:rPr>
              <w:t>es</w:t>
            </w:r>
            <w:r w:rsidR="001A001C" w:rsidRPr="001A001C">
              <w:rPr>
                <w:rFonts w:ascii="Times New Roman" w:hAnsi="Times New Roman" w:cs="Times New Roman"/>
                <w:sz w:val="24"/>
                <w:szCs w:val="24"/>
              </w:rPr>
              <w:t xml:space="preserve"> ja soovitati kaaluda </w:t>
            </w:r>
            <w:r w:rsidR="001A001C">
              <w:rPr>
                <w:rFonts w:ascii="Times New Roman" w:hAnsi="Times New Roman" w:cs="Times New Roman"/>
                <w:sz w:val="24"/>
                <w:szCs w:val="24"/>
              </w:rPr>
              <w:t xml:space="preserve">nende ainete </w:t>
            </w:r>
            <w:r w:rsidR="001A001C" w:rsidRPr="001A001C">
              <w:rPr>
                <w:rFonts w:ascii="Times New Roman" w:hAnsi="Times New Roman" w:cs="Times New Roman"/>
                <w:sz w:val="24"/>
                <w:szCs w:val="24"/>
              </w:rPr>
              <w:t xml:space="preserve">lisamist </w:t>
            </w:r>
            <w:r w:rsidR="001A001C">
              <w:rPr>
                <w:rFonts w:ascii="Times New Roman" w:hAnsi="Times New Roman" w:cs="Times New Roman"/>
                <w:sz w:val="24"/>
                <w:szCs w:val="24"/>
              </w:rPr>
              <w:t xml:space="preserve">põhjaveedirektiivi lisasse I. </w:t>
            </w:r>
            <w:r w:rsidR="00511EA7">
              <w:rPr>
                <w:rFonts w:ascii="Times New Roman" w:hAnsi="Times New Roman" w:cs="Times New Roman"/>
                <w:sz w:val="24"/>
                <w:szCs w:val="24"/>
              </w:rPr>
              <w:t>EK põhjavee töörühm</w:t>
            </w:r>
            <w:r w:rsidR="008F7A73">
              <w:rPr>
                <w:rFonts w:ascii="Times New Roman" w:hAnsi="Times New Roman" w:cs="Times New Roman"/>
                <w:sz w:val="24"/>
                <w:szCs w:val="24"/>
              </w:rPr>
              <w:t xml:space="preserve"> </w:t>
            </w:r>
            <w:r w:rsidR="00511EA7">
              <w:rPr>
                <w:rFonts w:ascii="Times New Roman" w:hAnsi="Times New Roman" w:cs="Times New Roman"/>
                <w:sz w:val="24"/>
                <w:szCs w:val="24"/>
              </w:rPr>
              <w:t>nõustus sellega.</w:t>
            </w:r>
            <w:r w:rsidR="008F7A73">
              <w:rPr>
                <w:rFonts w:ascii="Times New Roman" w:hAnsi="Times New Roman" w:cs="Times New Roman"/>
                <w:sz w:val="24"/>
                <w:szCs w:val="24"/>
              </w:rPr>
              <w:t xml:space="preserve"> </w:t>
            </w:r>
            <w:r w:rsidR="00B36F52">
              <w:rPr>
                <w:rFonts w:ascii="Times New Roman" w:hAnsi="Times New Roman" w:cs="Times New Roman"/>
                <w:sz w:val="24"/>
                <w:szCs w:val="24"/>
              </w:rPr>
              <w:t xml:space="preserve">Mitteasjakohaste metaboliitide lisamise vajadust põhjaveedirektiivi lisasse I on kinnitanud ka teaduslikud uuringud ja mõjuhinnangud. </w:t>
            </w:r>
            <w:r w:rsidR="008F7A73">
              <w:rPr>
                <w:rFonts w:ascii="Times New Roman" w:hAnsi="Times New Roman" w:cs="Times New Roman"/>
                <w:sz w:val="24"/>
                <w:szCs w:val="24"/>
              </w:rPr>
              <w:t xml:space="preserve">Eelnõuga on ette nähtud, et jälgimisnimekirja koostamisega hakkab tegelema ECHA ja vastavaid raporteid koostama ning avalikustama. </w:t>
            </w:r>
            <w:r w:rsidR="001D4F7E">
              <w:rPr>
                <w:rFonts w:ascii="Times New Roman" w:hAnsi="Times New Roman" w:cs="Times New Roman"/>
                <w:sz w:val="24"/>
                <w:szCs w:val="24"/>
              </w:rPr>
              <w:t>Muld ja ülemised pudedad setted kaitsevad sageli</w:t>
            </w:r>
            <w:r w:rsidR="001D4F7E" w:rsidRPr="001D4F7E">
              <w:rPr>
                <w:rFonts w:ascii="Times New Roman" w:hAnsi="Times New Roman" w:cs="Times New Roman"/>
                <w:sz w:val="24"/>
                <w:szCs w:val="24"/>
              </w:rPr>
              <w:t xml:space="preserve"> põhjavett saasteainete </w:t>
            </w:r>
            <w:r w:rsidR="001D4F7E">
              <w:rPr>
                <w:rFonts w:ascii="Times New Roman" w:hAnsi="Times New Roman" w:cs="Times New Roman"/>
                <w:sz w:val="24"/>
                <w:szCs w:val="24"/>
              </w:rPr>
              <w:t>leostumise eest. Kuid kui põhjavesi on juba saastunud pestitsiididega, siis selle puhastamine on kallis  ja enamasti võimatu, seepärast  on ennetavad meetmed olulised.</w:t>
            </w:r>
            <w:r w:rsidR="00974980">
              <w:rPr>
                <w:rFonts w:ascii="Times New Roman" w:hAnsi="Times New Roman" w:cs="Times New Roman"/>
                <w:sz w:val="24"/>
                <w:szCs w:val="24"/>
              </w:rPr>
              <w:t xml:space="preserve"> EL p</w:t>
            </w:r>
            <w:r w:rsidR="00974980" w:rsidRPr="00974980">
              <w:rPr>
                <w:rFonts w:ascii="Times New Roman" w:hAnsi="Times New Roman" w:cs="Times New Roman"/>
                <w:sz w:val="24"/>
                <w:szCs w:val="24"/>
              </w:rPr>
              <w:t>õhjavee</w:t>
            </w:r>
            <w:r w:rsidR="00974980">
              <w:rPr>
                <w:rFonts w:ascii="Times New Roman" w:hAnsi="Times New Roman" w:cs="Times New Roman"/>
                <w:sz w:val="24"/>
                <w:szCs w:val="24"/>
              </w:rPr>
              <w:t xml:space="preserve"> kaitse </w:t>
            </w:r>
            <w:r w:rsidR="00974980" w:rsidRPr="00974980">
              <w:rPr>
                <w:rFonts w:ascii="Times New Roman" w:hAnsi="Times New Roman" w:cs="Times New Roman"/>
                <w:sz w:val="24"/>
                <w:szCs w:val="24"/>
              </w:rPr>
              <w:lastRenderedPageBreak/>
              <w:t>poliitika ja seadusandlus rõhutavad vajadust vältida reostust ja</w:t>
            </w:r>
            <w:r w:rsidR="00974980">
              <w:rPr>
                <w:rFonts w:ascii="Times New Roman" w:hAnsi="Times New Roman" w:cs="Times New Roman"/>
                <w:sz w:val="24"/>
                <w:szCs w:val="24"/>
              </w:rPr>
              <w:t xml:space="preserve"> </w:t>
            </w:r>
            <w:r w:rsidR="00974980" w:rsidRPr="00974980">
              <w:rPr>
                <w:rFonts w:ascii="Times New Roman" w:hAnsi="Times New Roman" w:cs="Times New Roman"/>
                <w:sz w:val="24"/>
                <w:szCs w:val="24"/>
              </w:rPr>
              <w:t>põhjavee seisundi halvenemi</w:t>
            </w:r>
            <w:r w:rsidR="00974980">
              <w:rPr>
                <w:rFonts w:ascii="Times New Roman" w:hAnsi="Times New Roman" w:cs="Times New Roman"/>
                <w:sz w:val="24"/>
                <w:szCs w:val="24"/>
              </w:rPr>
              <w:t>st</w:t>
            </w:r>
            <w:r w:rsidR="00974980" w:rsidRPr="00974980">
              <w:rPr>
                <w:rFonts w:ascii="Times New Roman" w:hAnsi="Times New Roman" w:cs="Times New Roman"/>
                <w:sz w:val="24"/>
                <w:szCs w:val="24"/>
              </w:rPr>
              <w:t>e</w:t>
            </w:r>
            <w:r w:rsidR="00974980">
              <w:rPr>
                <w:rFonts w:ascii="Times New Roman" w:hAnsi="Times New Roman" w:cs="Times New Roman"/>
                <w:sz w:val="24"/>
                <w:szCs w:val="24"/>
              </w:rPr>
              <w:t xml:space="preserve"> võrreldes põhjavee</w:t>
            </w:r>
            <w:r w:rsidR="00974980" w:rsidRPr="00974980">
              <w:rPr>
                <w:rFonts w:ascii="Times New Roman" w:hAnsi="Times New Roman" w:cs="Times New Roman"/>
                <w:sz w:val="24"/>
                <w:szCs w:val="24"/>
              </w:rPr>
              <w:t xml:space="preserve"> tervendamis</w:t>
            </w:r>
            <w:r w:rsidR="00974980">
              <w:rPr>
                <w:rFonts w:ascii="Times New Roman" w:hAnsi="Times New Roman" w:cs="Times New Roman"/>
                <w:sz w:val="24"/>
                <w:szCs w:val="24"/>
              </w:rPr>
              <w:t>ega</w:t>
            </w:r>
            <w:r w:rsidR="00974980" w:rsidRPr="00974980">
              <w:rPr>
                <w:rFonts w:ascii="Times New Roman" w:hAnsi="Times New Roman" w:cs="Times New Roman"/>
                <w:sz w:val="24"/>
                <w:szCs w:val="24"/>
              </w:rPr>
              <w:t>.</w:t>
            </w:r>
            <w:r w:rsidR="00974980">
              <w:rPr>
                <w:rFonts w:ascii="Times New Roman" w:hAnsi="Times New Roman" w:cs="Times New Roman"/>
                <w:sz w:val="24"/>
                <w:szCs w:val="24"/>
              </w:rPr>
              <w:t xml:space="preserve"> </w:t>
            </w:r>
          </w:p>
          <w:p w14:paraId="69A0ECA0" w14:textId="6C9A8F47" w:rsidR="001D4F7E" w:rsidRPr="001D4F7E" w:rsidRDefault="001D4F7E" w:rsidP="001D4F7E">
            <w:pPr>
              <w:rPr>
                <w:rFonts w:ascii="Times New Roman" w:hAnsi="Times New Roman" w:cs="Times New Roman"/>
                <w:sz w:val="24"/>
                <w:szCs w:val="24"/>
              </w:rPr>
            </w:pPr>
          </w:p>
          <w:p w14:paraId="69C8B40F" w14:textId="75354045" w:rsidR="00DE72D1" w:rsidRPr="009A55B8" w:rsidRDefault="00DE72D1" w:rsidP="00511EA7">
            <w:pPr>
              <w:rPr>
                <w:rFonts w:ascii="Times New Roman" w:hAnsi="Times New Roman" w:cs="Times New Roman"/>
                <w:sz w:val="24"/>
                <w:szCs w:val="24"/>
              </w:rPr>
            </w:pPr>
          </w:p>
        </w:tc>
      </w:tr>
      <w:tr w:rsidR="00DE72D1" w:rsidRPr="009A55B8" w14:paraId="29E73F30" w14:textId="77777777" w:rsidTr="00D44837">
        <w:tc>
          <w:tcPr>
            <w:tcW w:w="2263" w:type="dxa"/>
          </w:tcPr>
          <w:p w14:paraId="394C9D4F" w14:textId="5B2C1E34" w:rsidR="00DE72D1" w:rsidRPr="00AA09F9" w:rsidRDefault="00E13AFF" w:rsidP="00D44837">
            <w:pPr>
              <w:rPr>
                <w:rFonts w:ascii="Times New Roman" w:hAnsi="Times New Roman" w:cs="Times New Roman"/>
                <w:sz w:val="24"/>
                <w:szCs w:val="24"/>
              </w:rPr>
            </w:pPr>
            <w:r>
              <w:rPr>
                <w:rFonts w:ascii="Times New Roman" w:hAnsi="Times New Roman" w:cs="Times New Roman"/>
                <w:sz w:val="24"/>
                <w:szCs w:val="24"/>
              </w:rPr>
              <w:lastRenderedPageBreak/>
              <w:t>Keskkonnaamet</w:t>
            </w:r>
          </w:p>
        </w:tc>
        <w:tc>
          <w:tcPr>
            <w:tcW w:w="6804" w:type="dxa"/>
          </w:tcPr>
          <w:p w14:paraId="50850331" w14:textId="77777777" w:rsidR="008D4FC8" w:rsidRPr="008D4FC8" w:rsidRDefault="008D4FC8" w:rsidP="008D4FC8">
            <w:pPr>
              <w:jc w:val="both"/>
              <w:rPr>
                <w:rFonts w:ascii="Times New Roman" w:hAnsi="Times New Roman" w:cs="Times New Roman"/>
                <w:sz w:val="24"/>
                <w:szCs w:val="24"/>
              </w:rPr>
            </w:pPr>
            <w:r w:rsidRPr="008D4FC8">
              <w:rPr>
                <w:rFonts w:ascii="Times New Roman" w:hAnsi="Times New Roman" w:cs="Times New Roman"/>
                <w:sz w:val="24"/>
                <w:szCs w:val="24"/>
              </w:rPr>
              <w:t>Tutvusime saadetud direktiivide muutmise algatuste dokumentatsiooni ning regulatsiooni kirjeldusega. Edastame esmased kommentaarid ja ettepanekud.</w:t>
            </w:r>
          </w:p>
          <w:p w14:paraId="19D85FCC" w14:textId="77777777" w:rsidR="008D4FC8" w:rsidRPr="008D4FC8" w:rsidRDefault="008D4FC8" w:rsidP="008D4FC8">
            <w:pPr>
              <w:jc w:val="both"/>
              <w:rPr>
                <w:rFonts w:ascii="Times New Roman" w:hAnsi="Times New Roman" w:cs="Times New Roman"/>
                <w:sz w:val="24"/>
                <w:szCs w:val="24"/>
              </w:rPr>
            </w:pPr>
          </w:p>
          <w:p w14:paraId="1CDFC54A" w14:textId="77777777" w:rsidR="008D4FC8" w:rsidRPr="008D4FC8" w:rsidRDefault="008D4FC8" w:rsidP="008D4FC8">
            <w:pPr>
              <w:jc w:val="both"/>
              <w:rPr>
                <w:rFonts w:ascii="Times New Roman" w:hAnsi="Times New Roman" w:cs="Times New Roman"/>
                <w:sz w:val="24"/>
                <w:szCs w:val="24"/>
              </w:rPr>
            </w:pPr>
            <w:r w:rsidRPr="008D4FC8">
              <w:rPr>
                <w:rFonts w:ascii="Times New Roman" w:hAnsi="Times New Roman" w:cs="Times New Roman"/>
                <w:sz w:val="24"/>
                <w:szCs w:val="24"/>
              </w:rPr>
              <w:t>Asulareovee direktiivi muutmise algatus</w:t>
            </w:r>
          </w:p>
          <w:p w14:paraId="4FA079DB" w14:textId="77777777" w:rsidR="008D4FC8" w:rsidRPr="008D4FC8" w:rsidRDefault="008D4FC8" w:rsidP="008D4FC8">
            <w:pPr>
              <w:jc w:val="both"/>
              <w:rPr>
                <w:rFonts w:ascii="Times New Roman" w:hAnsi="Times New Roman" w:cs="Times New Roman"/>
                <w:sz w:val="24"/>
                <w:szCs w:val="24"/>
              </w:rPr>
            </w:pPr>
          </w:p>
          <w:p w14:paraId="5A6F9575" w14:textId="77777777" w:rsidR="008D4FC8" w:rsidRPr="008D4FC8" w:rsidRDefault="008D4FC8" w:rsidP="008D4FC8">
            <w:pPr>
              <w:jc w:val="both"/>
              <w:rPr>
                <w:rFonts w:ascii="Times New Roman" w:hAnsi="Times New Roman" w:cs="Times New Roman"/>
                <w:sz w:val="24"/>
                <w:szCs w:val="24"/>
              </w:rPr>
            </w:pPr>
            <w:r w:rsidRPr="008D4FC8">
              <w:rPr>
                <w:rFonts w:ascii="Times New Roman" w:hAnsi="Times New Roman" w:cs="Times New Roman"/>
                <w:sz w:val="24"/>
                <w:szCs w:val="24"/>
              </w:rPr>
              <w:t>1.</w:t>
            </w:r>
            <w:r w:rsidRPr="008D4FC8">
              <w:rPr>
                <w:rFonts w:ascii="Times New Roman" w:hAnsi="Times New Roman" w:cs="Times New Roman"/>
                <w:sz w:val="24"/>
                <w:szCs w:val="24"/>
              </w:rPr>
              <w:tab/>
              <w:t xml:space="preserve">Direktiivi skoop laiendatakse kehtivalt üle 2000 </w:t>
            </w:r>
            <w:proofErr w:type="spellStart"/>
            <w:r w:rsidRPr="008D4FC8">
              <w:rPr>
                <w:rFonts w:ascii="Times New Roman" w:hAnsi="Times New Roman" w:cs="Times New Roman"/>
                <w:sz w:val="24"/>
                <w:szCs w:val="24"/>
              </w:rPr>
              <w:t>ie</w:t>
            </w:r>
            <w:proofErr w:type="spellEnd"/>
            <w:r w:rsidRPr="008D4FC8">
              <w:rPr>
                <w:rFonts w:ascii="Times New Roman" w:hAnsi="Times New Roman" w:cs="Times New Roman"/>
                <w:sz w:val="24"/>
                <w:szCs w:val="24"/>
              </w:rPr>
              <w:t xml:space="preserve"> reoveekogumisaladelt RKA-</w:t>
            </w:r>
            <w:proofErr w:type="spellStart"/>
            <w:r w:rsidRPr="008D4FC8">
              <w:rPr>
                <w:rFonts w:ascii="Times New Roman" w:hAnsi="Times New Roman" w:cs="Times New Roman"/>
                <w:sz w:val="24"/>
                <w:szCs w:val="24"/>
              </w:rPr>
              <w:t>dele</w:t>
            </w:r>
            <w:proofErr w:type="spellEnd"/>
            <w:r w:rsidRPr="008D4FC8">
              <w:rPr>
                <w:rFonts w:ascii="Times New Roman" w:hAnsi="Times New Roman" w:cs="Times New Roman"/>
                <w:sz w:val="24"/>
                <w:szCs w:val="24"/>
              </w:rPr>
              <w:t xml:space="preserve"> alates 1000 </w:t>
            </w:r>
            <w:proofErr w:type="spellStart"/>
            <w:r w:rsidRPr="008D4FC8">
              <w:rPr>
                <w:rFonts w:ascii="Times New Roman" w:hAnsi="Times New Roman" w:cs="Times New Roman"/>
                <w:sz w:val="24"/>
                <w:szCs w:val="24"/>
              </w:rPr>
              <w:t>ie</w:t>
            </w:r>
            <w:proofErr w:type="spellEnd"/>
          </w:p>
          <w:p w14:paraId="05C58D9D" w14:textId="77777777" w:rsidR="008D4FC8" w:rsidRPr="008D4FC8" w:rsidRDefault="008D4FC8" w:rsidP="008D4FC8">
            <w:pPr>
              <w:jc w:val="both"/>
              <w:rPr>
                <w:rFonts w:ascii="Times New Roman" w:hAnsi="Times New Roman" w:cs="Times New Roman"/>
                <w:sz w:val="24"/>
                <w:szCs w:val="24"/>
              </w:rPr>
            </w:pPr>
            <w:r w:rsidRPr="008D4FC8">
              <w:rPr>
                <w:rFonts w:ascii="Times New Roman" w:hAnsi="Times New Roman" w:cs="Times New Roman"/>
                <w:sz w:val="24"/>
                <w:szCs w:val="24"/>
              </w:rPr>
              <w:t>Eelnimetatud muudatuse kohaselt on ette nähtud reovee kogumissüsteemide olemasolu ja ühendatus aastaks 2030.</w:t>
            </w:r>
          </w:p>
          <w:p w14:paraId="06D666ED" w14:textId="77777777" w:rsidR="008D4FC8" w:rsidRPr="008D4FC8" w:rsidRDefault="008D4FC8" w:rsidP="008D4FC8">
            <w:pPr>
              <w:jc w:val="both"/>
              <w:rPr>
                <w:rFonts w:ascii="Times New Roman" w:hAnsi="Times New Roman" w:cs="Times New Roman"/>
                <w:sz w:val="24"/>
                <w:szCs w:val="24"/>
              </w:rPr>
            </w:pPr>
            <w:r w:rsidRPr="008D4FC8">
              <w:rPr>
                <w:rFonts w:ascii="Times New Roman" w:hAnsi="Times New Roman" w:cs="Times New Roman"/>
                <w:sz w:val="24"/>
                <w:szCs w:val="24"/>
              </w:rPr>
              <w:t>Antud muudatuse elluviimiseks on vajalik muuta seadusandlust ning kogumissüsteemide/kanalisatsioonitaristu planeerimiseks ja väljaehitamiseks rajamiseks on vajalikud ettevalmistavad tegevused kohalike omavalitsuste ja vee-ettevõtete tasandil. Samuti on planeeritav muudatus seotud täiendava investeeringuvajadusega, mistõttu on vaja leida selle elluviimiseks/rakendamiseks rahalised vahendid. Eelnevat arvestades on Keskkonnaameti hinnangul üleminekuaeg liiga lühike ning teeme ettepaneku üle vaadata hetkel väljapakutud tähtaeg.</w:t>
            </w:r>
          </w:p>
          <w:p w14:paraId="6A374FFC" w14:textId="77777777" w:rsidR="008D4FC8" w:rsidRPr="008D4FC8" w:rsidRDefault="008D4FC8" w:rsidP="008D4FC8">
            <w:pPr>
              <w:jc w:val="both"/>
              <w:rPr>
                <w:rFonts w:ascii="Times New Roman" w:hAnsi="Times New Roman" w:cs="Times New Roman"/>
                <w:sz w:val="24"/>
                <w:szCs w:val="24"/>
              </w:rPr>
            </w:pPr>
          </w:p>
          <w:p w14:paraId="67047819" w14:textId="77777777" w:rsidR="008D4FC8" w:rsidRPr="008D4FC8" w:rsidRDefault="008D4FC8" w:rsidP="008D4FC8">
            <w:pPr>
              <w:jc w:val="both"/>
              <w:rPr>
                <w:rFonts w:ascii="Times New Roman" w:hAnsi="Times New Roman" w:cs="Times New Roman"/>
                <w:sz w:val="24"/>
                <w:szCs w:val="24"/>
              </w:rPr>
            </w:pPr>
            <w:r w:rsidRPr="008D4FC8">
              <w:rPr>
                <w:rFonts w:ascii="Times New Roman" w:hAnsi="Times New Roman" w:cs="Times New Roman"/>
                <w:sz w:val="24"/>
                <w:szCs w:val="24"/>
              </w:rPr>
              <w:t>2.</w:t>
            </w:r>
            <w:r w:rsidRPr="008D4FC8">
              <w:rPr>
                <w:rFonts w:ascii="Times New Roman" w:hAnsi="Times New Roman" w:cs="Times New Roman"/>
                <w:sz w:val="24"/>
                <w:szCs w:val="24"/>
              </w:rPr>
              <w:tab/>
              <w:t>Kohtkäitlussüsteemidele nähakse ette toime- ja kontrollinõuded</w:t>
            </w:r>
          </w:p>
          <w:p w14:paraId="31803318" w14:textId="77777777" w:rsidR="008D4FC8" w:rsidRPr="008D4FC8" w:rsidRDefault="008D4FC8" w:rsidP="008D4FC8">
            <w:pPr>
              <w:jc w:val="both"/>
              <w:rPr>
                <w:rFonts w:ascii="Times New Roman" w:hAnsi="Times New Roman" w:cs="Times New Roman"/>
                <w:sz w:val="24"/>
                <w:szCs w:val="24"/>
              </w:rPr>
            </w:pPr>
            <w:r w:rsidRPr="008D4FC8">
              <w:rPr>
                <w:rFonts w:ascii="Times New Roman" w:hAnsi="Times New Roman" w:cs="Times New Roman"/>
                <w:sz w:val="24"/>
                <w:szCs w:val="24"/>
              </w:rPr>
              <w:t xml:space="preserve">Kohalikel omavalitsustel on info olemas tiheasustusalade kohta, kus piirkond on liidetud ühiskanalisatsiooniga, kuid ei pruugi olla ülevaatliku infot kohtkäitus punktide üle. Keskkonnaameti hinnangul on kohtkäitlussüsteemidest ülevaate saamine vajalik üle-eestiliselt. Registri loomise ja pidamise peaks korraldama kohalikud omavalitsused. Toetame kohtkäitluse registri loomist </w:t>
            </w:r>
            <w:proofErr w:type="spellStart"/>
            <w:r w:rsidRPr="008D4FC8">
              <w:rPr>
                <w:rFonts w:ascii="Times New Roman" w:hAnsi="Times New Roman" w:cs="Times New Roman"/>
                <w:sz w:val="24"/>
                <w:szCs w:val="24"/>
              </w:rPr>
              <w:t>EELIS-es</w:t>
            </w:r>
            <w:proofErr w:type="spellEnd"/>
            <w:r w:rsidRPr="008D4FC8">
              <w:rPr>
                <w:rFonts w:ascii="Times New Roman" w:hAnsi="Times New Roman" w:cs="Times New Roman"/>
                <w:sz w:val="24"/>
                <w:szCs w:val="24"/>
              </w:rPr>
              <w:t>, kuid kuna tegemist on ajamahuka tööga, siis üleminekuaja kehtestamisel oleks vajalik antud asjaoluga arvestada. Kohtkäitluse toime kontroll peaks jääma kohalike omavalitsuste tasandile. Kohtkäitlussüsteemide kasutamise üle järelevalve teostamise kohustus on ka praeguse regulatsiooni kohaselt kohalikel omavalitsustel (ja Keskkonnaametil).</w:t>
            </w:r>
          </w:p>
          <w:p w14:paraId="1E34FBA8" w14:textId="77777777" w:rsidR="008D4FC8" w:rsidRPr="008D4FC8" w:rsidRDefault="008D4FC8" w:rsidP="008D4FC8">
            <w:pPr>
              <w:jc w:val="both"/>
              <w:rPr>
                <w:rFonts w:ascii="Times New Roman" w:hAnsi="Times New Roman" w:cs="Times New Roman"/>
                <w:sz w:val="24"/>
                <w:szCs w:val="24"/>
              </w:rPr>
            </w:pPr>
          </w:p>
          <w:p w14:paraId="71A730FF" w14:textId="77777777" w:rsidR="008D4FC8" w:rsidRPr="008D4FC8" w:rsidRDefault="008D4FC8" w:rsidP="008D4FC8">
            <w:pPr>
              <w:jc w:val="both"/>
              <w:rPr>
                <w:rFonts w:ascii="Times New Roman" w:hAnsi="Times New Roman" w:cs="Times New Roman"/>
                <w:sz w:val="24"/>
                <w:szCs w:val="24"/>
              </w:rPr>
            </w:pPr>
            <w:r w:rsidRPr="008D4FC8">
              <w:rPr>
                <w:rFonts w:ascii="Times New Roman" w:hAnsi="Times New Roman" w:cs="Times New Roman"/>
                <w:sz w:val="24"/>
                <w:szCs w:val="24"/>
              </w:rPr>
              <w:t>3.</w:t>
            </w:r>
            <w:r w:rsidRPr="008D4FC8">
              <w:rPr>
                <w:rFonts w:ascii="Times New Roman" w:hAnsi="Times New Roman" w:cs="Times New Roman"/>
                <w:sz w:val="24"/>
                <w:szCs w:val="24"/>
              </w:rPr>
              <w:tab/>
              <w:t>Liikmesriikidelt nõutakse mitte-kodumajapidamisest pärineva saaste täiendav kontroll</w:t>
            </w:r>
          </w:p>
          <w:p w14:paraId="360FA617" w14:textId="77777777" w:rsidR="008D4FC8" w:rsidRPr="008D4FC8" w:rsidRDefault="008D4FC8" w:rsidP="008D4FC8">
            <w:pPr>
              <w:jc w:val="both"/>
              <w:rPr>
                <w:rFonts w:ascii="Times New Roman" w:hAnsi="Times New Roman" w:cs="Times New Roman"/>
                <w:sz w:val="24"/>
                <w:szCs w:val="24"/>
              </w:rPr>
            </w:pPr>
            <w:r w:rsidRPr="008D4FC8">
              <w:rPr>
                <w:rFonts w:ascii="Times New Roman" w:hAnsi="Times New Roman" w:cs="Times New Roman"/>
                <w:sz w:val="24"/>
                <w:szCs w:val="24"/>
              </w:rPr>
              <w:t xml:space="preserve">Ühisveevärgi ja –kanalisatsiooni seaduse eelnõu kohaselt on ettevõtjale pandud ohtliku ainete teavitamiskohustus. Selleks, et ettevõtetel oleks võimalik sellekohaseid andmeid riigile esitada, on </w:t>
            </w:r>
            <w:r w:rsidRPr="008D4FC8">
              <w:rPr>
                <w:rFonts w:ascii="Times New Roman" w:hAnsi="Times New Roman" w:cs="Times New Roman"/>
                <w:sz w:val="24"/>
                <w:szCs w:val="24"/>
              </w:rPr>
              <w:lastRenderedPageBreak/>
              <w:t>arendatud keskkonnaotsuste infosüsteemis (KOTKAS) teavitussüsteem, aga see puudutab ainult keskkonnakaitseloaga ettevõtteid. Riigil puudub teadmine ettevõtete kohta, kellel ei ole keskkonnaluba. Keskkonnaametil ei ole võimekust, et kontrollida ettevõtteid, kellel ei ole keskkonnakaitseluba. Tulevikus on vaja välja töötada ettevõttete teavituse lahendus. Potentsiaalse võimalusena näeb Keskkonnaamet reaalajamajanduse projekti raames loodavat veekasutuse andmete esitamise platvormi.</w:t>
            </w:r>
          </w:p>
          <w:p w14:paraId="11639926" w14:textId="77777777" w:rsidR="008D4FC8" w:rsidRPr="008D4FC8" w:rsidRDefault="008D4FC8" w:rsidP="008D4FC8">
            <w:pPr>
              <w:jc w:val="both"/>
              <w:rPr>
                <w:rFonts w:ascii="Times New Roman" w:hAnsi="Times New Roman" w:cs="Times New Roman"/>
                <w:sz w:val="24"/>
                <w:szCs w:val="24"/>
              </w:rPr>
            </w:pPr>
          </w:p>
          <w:p w14:paraId="34F703A6" w14:textId="77777777" w:rsidR="008D4FC8" w:rsidRPr="008D4FC8" w:rsidRDefault="008D4FC8" w:rsidP="008D4FC8">
            <w:pPr>
              <w:jc w:val="both"/>
              <w:rPr>
                <w:rFonts w:ascii="Times New Roman" w:hAnsi="Times New Roman" w:cs="Times New Roman"/>
                <w:sz w:val="24"/>
                <w:szCs w:val="24"/>
              </w:rPr>
            </w:pPr>
            <w:r w:rsidRPr="008D4FC8">
              <w:rPr>
                <w:rFonts w:ascii="Times New Roman" w:hAnsi="Times New Roman" w:cs="Times New Roman"/>
                <w:sz w:val="24"/>
                <w:szCs w:val="24"/>
              </w:rPr>
              <w:t xml:space="preserve">Pinnavee ja põhjavee saasteainete nimekirjade uuendamine keskkonna ja </w:t>
            </w:r>
            <w:proofErr w:type="spellStart"/>
            <w:r w:rsidRPr="008D4FC8">
              <w:rPr>
                <w:rFonts w:ascii="Times New Roman" w:hAnsi="Times New Roman" w:cs="Times New Roman"/>
                <w:sz w:val="24"/>
                <w:szCs w:val="24"/>
              </w:rPr>
              <w:t>inimtervise</w:t>
            </w:r>
            <w:proofErr w:type="spellEnd"/>
            <w:r w:rsidRPr="008D4FC8">
              <w:rPr>
                <w:rFonts w:ascii="Times New Roman" w:hAnsi="Times New Roman" w:cs="Times New Roman"/>
                <w:sz w:val="24"/>
                <w:szCs w:val="24"/>
              </w:rPr>
              <w:t xml:space="preserve"> paremaks kaitseks</w:t>
            </w:r>
          </w:p>
          <w:p w14:paraId="0353BDAB" w14:textId="77777777" w:rsidR="008D4FC8" w:rsidRPr="008D4FC8" w:rsidRDefault="008D4FC8" w:rsidP="008D4FC8">
            <w:pPr>
              <w:jc w:val="both"/>
              <w:rPr>
                <w:rFonts w:ascii="Times New Roman" w:hAnsi="Times New Roman" w:cs="Times New Roman"/>
                <w:sz w:val="24"/>
                <w:szCs w:val="24"/>
              </w:rPr>
            </w:pPr>
          </w:p>
          <w:p w14:paraId="3E9FEBBD" w14:textId="77777777" w:rsidR="008D4FC8" w:rsidRPr="008D4FC8" w:rsidRDefault="008D4FC8" w:rsidP="008D4FC8">
            <w:pPr>
              <w:jc w:val="both"/>
              <w:rPr>
                <w:rFonts w:ascii="Times New Roman" w:hAnsi="Times New Roman" w:cs="Times New Roman"/>
                <w:sz w:val="24"/>
                <w:szCs w:val="24"/>
              </w:rPr>
            </w:pPr>
            <w:r w:rsidRPr="008D4FC8">
              <w:rPr>
                <w:rFonts w:ascii="Times New Roman" w:hAnsi="Times New Roman" w:cs="Times New Roman"/>
                <w:sz w:val="24"/>
                <w:szCs w:val="24"/>
              </w:rPr>
              <w:t>1.</w:t>
            </w:r>
            <w:r w:rsidRPr="008D4FC8">
              <w:rPr>
                <w:rFonts w:ascii="Times New Roman" w:hAnsi="Times New Roman" w:cs="Times New Roman"/>
                <w:sz w:val="24"/>
                <w:szCs w:val="24"/>
              </w:rPr>
              <w:tab/>
              <w:t>Ettepanekud põhjaveedirektiivi osas, mida võiks riiklikul tasandil kaaluda:</w:t>
            </w:r>
          </w:p>
          <w:p w14:paraId="1823885B" w14:textId="77777777" w:rsidR="008D4FC8" w:rsidRPr="008D4FC8" w:rsidRDefault="008D4FC8" w:rsidP="008D4FC8">
            <w:pPr>
              <w:jc w:val="both"/>
              <w:rPr>
                <w:rFonts w:ascii="Times New Roman" w:hAnsi="Times New Roman" w:cs="Times New Roman"/>
                <w:sz w:val="24"/>
                <w:szCs w:val="24"/>
              </w:rPr>
            </w:pPr>
          </w:p>
          <w:p w14:paraId="2632DB9C" w14:textId="77777777" w:rsidR="008D4FC8" w:rsidRPr="008D4FC8" w:rsidRDefault="008D4FC8" w:rsidP="008D4FC8">
            <w:pPr>
              <w:jc w:val="both"/>
              <w:rPr>
                <w:rFonts w:ascii="Times New Roman" w:hAnsi="Times New Roman" w:cs="Times New Roman"/>
                <w:sz w:val="24"/>
                <w:szCs w:val="24"/>
              </w:rPr>
            </w:pPr>
            <w:r w:rsidRPr="008D4FC8">
              <w:rPr>
                <w:rFonts w:ascii="Times New Roman" w:hAnsi="Times New Roman" w:cs="Times New Roman"/>
                <w:sz w:val="24"/>
                <w:szCs w:val="24"/>
              </w:rPr>
              <w:t>•</w:t>
            </w:r>
            <w:r w:rsidRPr="008D4FC8">
              <w:rPr>
                <w:rFonts w:ascii="Times New Roman" w:hAnsi="Times New Roman" w:cs="Times New Roman"/>
                <w:sz w:val="24"/>
                <w:szCs w:val="24"/>
              </w:rPr>
              <w:tab/>
              <w:t>uute, nimekirja lisatavate ainete seire (seirejaamad, põhjaveekogumid jms) on riiklik tasand;</w:t>
            </w:r>
          </w:p>
          <w:p w14:paraId="081FAD44" w14:textId="77777777" w:rsidR="008D4FC8" w:rsidRPr="008D4FC8" w:rsidRDefault="008D4FC8" w:rsidP="008D4FC8">
            <w:pPr>
              <w:jc w:val="both"/>
              <w:rPr>
                <w:rFonts w:ascii="Times New Roman" w:hAnsi="Times New Roman" w:cs="Times New Roman"/>
                <w:sz w:val="24"/>
                <w:szCs w:val="24"/>
              </w:rPr>
            </w:pPr>
            <w:r w:rsidRPr="008D4FC8">
              <w:rPr>
                <w:rFonts w:ascii="Times New Roman" w:hAnsi="Times New Roman" w:cs="Times New Roman"/>
                <w:sz w:val="24"/>
                <w:szCs w:val="24"/>
              </w:rPr>
              <w:t>•</w:t>
            </w:r>
            <w:r w:rsidRPr="008D4FC8">
              <w:rPr>
                <w:rFonts w:ascii="Times New Roman" w:hAnsi="Times New Roman" w:cs="Times New Roman"/>
                <w:sz w:val="24"/>
                <w:szCs w:val="24"/>
              </w:rPr>
              <w:tab/>
              <w:t>liikmesriigil peab olema võimalus ise otsustada, lähtuvalt aluspõhja hüdrogeoloogilisest ehitusest, millistes põhjaveekogumites uute ainete seiret teha (eelnema peab fooniseire);</w:t>
            </w:r>
          </w:p>
          <w:p w14:paraId="4246C905" w14:textId="77777777" w:rsidR="008D4FC8" w:rsidRPr="008D4FC8" w:rsidRDefault="008D4FC8" w:rsidP="008D4FC8">
            <w:pPr>
              <w:jc w:val="both"/>
              <w:rPr>
                <w:rFonts w:ascii="Times New Roman" w:hAnsi="Times New Roman" w:cs="Times New Roman"/>
                <w:sz w:val="24"/>
                <w:szCs w:val="24"/>
              </w:rPr>
            </w:pPr>
            <w:r w:rsidRPr="008D4FC8">
              <w:rPr>
                <w:rFonts w:ascii="Times New Roman" w:hAnsi="Times New Roman" w:cs="Times New Roman"/>
                <w:sz w:val="24"/>
                <w:szCs w:val="24"/>
              </w:rPr>
              <w:t>•</w:t>
            </w:r>
            <w:r w:rsidRPr="008D4FC8">
              <w:rPr>
                <w:rFonts w:ascii="Times New Roman" w:hAnsi="Times New Roman" w:cs="Times New Roman"/>
                <w:sz w:val="24"/>
                <w:szCs w:val="24"/>
              </w:rPr>
              <w:tab/>
              <w:t>vajalik on ette näha riigi laborivõrgu ajakohastamine uute ainete analüüsimise võimaldamiseks;</w:t>
            </w:r>
          </w:p>
          <w:p w14:paraId="309A8AF3" w14:textId="77777777" w:rsidR="008D4FC8" w:rsidRPr="008D4FC8" w:rsidRDefault="008D4FC8" w:rsidP="008D4FC8">
            <w:pPr>
              <w:jc w:val="both"/>
              <w:rPr>
                <w:rFonts w:ascii="Times New Roman" w:hAnsi="Times New Roman" w:cs="Times New Roman"/>
                <w:sz w:val="24"/>
                <w:szCs w:val="24"/>
              </w:rPr>
            </w:pPr>
            <w:r w:rsidRPr="008D4FC8">
              <w:rPr>
                <w:rFonts w:ascii="Times New Roman" w:hAnsi="Times New Roman" w:cs="Times New Roman"/>
                <w:sz w:val="24"/>
                <w:szCs w:val="24"/>
              </w:rPr>
              <w:t>•</w:t>
            </w:r>
            <w:r w:rsidRPr="008D4FC8">
              <w:rPr>
                <w:rFonts w:ascii="Times New Roman" w:hAnsi="Times New Roman" w:cs="Times New Roman"/>
                <w:sz w:val="24"/>
                <w:szCs w:val="24"/>
              </w:rPr>
              <w:tab/>
              <w:t xml:space="preserve">järelevalve vajaduse hindamine spetsiifiliste ainete osas. </w:t>
            </w:r>
          </w:p>
          <w:p w14:paraId="33D166B8" w14:textId="77777777" w:rsidR="008D4FC8" w:rsidRPr="008D4FC8" w:rsidRDefault="008D4FC8" w:rsidP="008D4FC8">
            <w:pPr>
              <w:jc w:val="both"/>
              <w:rPr>
                <w:rFonts w:ascii="Times New Roman" w:hAnsi="Times New Roman" w:cs="Times New Roman"/>
                <w:sz w:val="24"/>
                <w:szCs w:val="24"/>
              </w:rPr>
            </w:pPr>
            <w:r w:rsidRPr="008D4FC8">
              <w:rPr>
                <w:rFonts w:ascii="Times New Roman" w:hAnsi="Times New Roman" w:cs="Times New Roman"/>
                <w:sz w:val="24"/>
                <w:szCs w:val="24"/>
              </w:rPr>
              <w:t>Silmas peab pidama, et uute ainete lisandamine põhjaveedirektiivi lisadesse I ja II võib kaasa tuua mõnes piirkonnas (nt nitraaditundlik ala) ja mõnede vee-ettevõtjate osas muudatuste sisseviimist keskkonnalubadesse (administratiivse koormuse kasv).</w:t>
            </w:r>
          </w:p>
          <w:p w14:paraId="035E5D8A" w14:textId="77777777" w:rsidR="008D4FC8" w:rsidRPr="008D4FC8" w:rsidRDefault="008D4FC8" w:rsidP="008D4FC8">
            <w:pPr>
              <w:jc w:val="both"/>
              <w:rPr>
                <w:rFonts w:ascii="Times New Roman" w:hAnsi="Times New Roman" w:cs="Times New Roman"/>
                <w:sz w:val="24"/>
                <w:szCs w:val="24"/>
              </w:rPr>
            </w:pPr>
          </w:p>
          <w:p w14:paraId="56372F8E" w14:textId="77777777" w:rsidR="008D4FC8" w:rsidRPr="008D4FC8" w:rsidRDefault="008D4FC8" w:rsidP="008D4FC8">
            <w:pPr>
              <w:jc w:val="both"/>
              <w:rPr>
                <w:rFonts w:ascii="Times New Roman" w:hAnsi="Times New Roman" w:cs="Times New Roman"/>
                <w:sz w:val="24"/>
                <w:szCs w:val="24"/>
              </w:rPr>
            </w:pPr>
            <w:r w:rsidRPr="008D4FC8">
              <w:rPr>
                <w:rFonts w:ascii="Times New Roman" w:hAnsi="Times New Roman" w:cs="Times New Roman"/>
                <w:sz w:val="24"/>
                <w:szCs w:val="24"/>
              </w:rPr>
              <w:t>2.</w:t>
            </w:r>
            <w:r w:rsidRPr="008D4FC8">
              <w:rPr>
                <w:rFonts w:ascii="Times New Roman" w:hAnsi="Times New Roman" w:cs="Times New Roman"/>
                <w:sz w:val="24"/>
                <w:szCs w:val="24"/>
              </w:rPr>
              <w:tab/>
              <w:t>Ettepanekud pinnavee osas, mida võiks riiklikul tasandil kaaluda:</w:t>
            </w:r>
          </w:p>
          <w:p w14:paraId="1E282BD0" w14:textId="77777777" w:rsidR="008D4FC8" w:rsidRPr="008D4FC8" w:rsidRDefault="008D4FC8" w:rsidP="008D4FC8">
            <w:pPr>
              <w:jc w:val="both"/>
              <w:rPr>
                <w:rFonts w:ascii="Times New Roman" w:hAnsi="Times New Roman" w:cs="Times New Roman"/>
                <w:sz w:val="24"/>
                <w:szCs w:val="24"/>
              </w:rPr>
            </w:pPr>
          </w:p>
          <w:p w14:paraId="06257A25" w14:textId="77777777" w:rsidR="008D4FC8" w:rsidRPr="008D4FC8" w:rsidRDefault="008D4FC8" w:rsidP="008D4FC8">
            <w:pPr>
              <w:jc w:val="both"/>
              <w:rPr>
                <w:rFonts w:ascii="Times New Roman" w:hAnsi="Times New Roman" w:cs="Times New Roman"/>
                <w:sz w:val="24"/>
                <w:szCs w:val="24"/>
              </w:rPr>
            </w:pPr>
            <w:r w:rsidRPr="008D4FC8">
              <w:rPr>
                <w:rFonts w:ascii="Times New Roman" w:hAnsi="Times New Roman" w:cs="Times New Roman"/>
                <w:sz w:val="24"/>
                <w:szCs w:val="24"/>
              </w:rPr>
              <w:t>•</w:t>
            </w:r>
            <w:r w:rsidRPr="008D4FC8">
              <w:rPr>
                <w:rFonts w:ascii="Times New Roman" w:hAnsi="Times New Roman" w:cs="Times New Roman"/>
                <w:sz w:val="24"/>
                <w:szCs w:val="24"/>
              </w:rPr>
              <w:tab/>
              <w:t>vajalik on ette näha riigi laborivõrgu ajakohastamine uute ainete analüüsimise võimaldamiseks.</w:t>
            </w:r>
          </w:p>
          <w:p w14:paraId="66CB9E07" w14:textId="77777777" w:rsidR="008D4FC8" w:rsidRPr="008D4FC8" w:rsidRDefault="008D4FC8" w:rsidP="008D4FC8">
            <w:pPr>
              <w:jc w:val="both"/>
              <w:rPr>
                <w:rFonts w:ascii="Times New Roman" w:hAnsi="Times New Roman" w:cs="Times New Roman"/>
                <w:sz w:val="24"/>
                <w:szCs w:val="24"/>
              </w:rPr>
            </w:pPr>
          </w:p>
          <w:p w14:paraId="4B3BA9CE" w14:textId="2C7A626A" w:rsidR="00DE72D1" w:rsidRPr="00AA09F9" w:rsidRDefault="008D4FC8" w:rsidP="008D4FC8">
            <w:pPr>
              <w:jc w:val="both"/>
              <w:rPr>
                <w:rFonts w:ascii="Times New Roman" w:hAnsi="Times New Roman" w:cs="Times New Roman"/>
                <w:sz w:val="24"/>
                <w:szCs w:val="24"/>
              </w:rPr>
            </w:pPr>
            <w:r w:rsidRPr="008D4FC8">
              <w:rPr>
                <w:rFonts w:ascii="Times New Roman" w:hAnsi="Times New Roman" w:cs="Times New Roman"/>
                <w:sz w:val="24"/>
                <w:szCs w:val="24"/>
              </w:rPr>
              <w:lastRenderedPageBreak/>
              <w:t xml:space="preserve">Keskkonnaametile tähendab algatustes välja toodud muutmise ettepanekute realiseerumine eeldatavalt administratiivse koormuse kasvu, mis väljendub keskkonnakaitselubade muutmise vajaduses (kehtestatud nõuete ülevaatamine, uute saasteainete/piirväärtuste kehtestamine), seiremahu ja riikliku järelevalve töömahu suurenemises.  </w:t>
            </w:r>
          </w:p>
        </w:tc>
        <w:tc>
          <w:tcPr>
            <w:tcW w:w="5670" w:type="dxa"/>
          </w:tcPr>
          <w:p w14:paraId="4AEE0FF6" w14:textId="5295E423" w:rsidR="00DE72D1" w:rsidRPr="009A55B8" w:rsidRDefault="00151664" w:rsidP="00D44837">
            <w:pPr>
              <w:rPr>
                <w:rFonts w:ascii="Times New Roman" w:hAnsi="Times New Roman" w:cs="Times New Roman"/>
                <w:sz w:val="24"/>
                <w:szCs w:val="24"/>
              </w:rPr>
            </w:pPr>
            <w:r>
              <w:rPr>
                <w:rFonts w:ascii="Times New Roman" w:hAnsi="Times New Roman" w:cs="Times New Roman"/>
                <w:sz w:val="24"/>
                <w:szCs w:val="24"/>
              </w:rPr>
              <w:lastRenderedPageBreak/>
              <w:t>Arvestatud</w:t>
            </w:r>
          </w:p>
        </w:tc>
      </w:tr>
      <w:tr w:rsidR="00DE72D1" w:rsidRPr="009A55B8" w14:paraId="7114A649" w14:textId="77777777" w:rsidTr="00D44837">
        <w:tc>
          <w:tcPr>
            <w:tcW w:w="2263" w:type="dxa"/>
          </w:tcPr>
          <w:p w14:paraId="276FE0B7" w14:textId="2A3D1C2B" w:rsidR="00DE72D1" w:rsidRPr="00AA09F9" w:rsidRDefault="00E3098D" w:rsidP="00D44837">
            <w:pPr>
              <w:rPr>
                <w:rFonts w:ascii="Times New Roman" w:hAnsi="Times New Roman" w:cs="Times New Roman"/>
                <w:sz w:val="24"/>
                <w:szCs w:val="24"/>
              </w:rPr>
            </w:pPr>
            <w:r>
              <w:rPr>
                <w:rFonts w:ascii="Times New Roman" w:hAnsi="Times New Roman" w:cs="Times New Roman"/>
                <w:sz w:val="24"/>
                <w:szCs w:val="24"/>
              </w:rPr>
              <w:lastRenderedPageBreak/>
              <w:t>Sotsiaalministeerium koos Terviseametiga</w:t>
            </w:r>
          </w:p>
        </w:tc>
        <w:tc>
          <w:tcPr>
            <w:tcW w:w="6804" w:type="dxa"/>
          </w:tcPr>
          <w:p w14:paraId="153A2BDD" w14:textId="77777777" w:rsidR="00E3098D" w:rsidRPr="00E3098D" w:rsidRDefault="00E3098D" w:rsidP="00E3098D">
            <w:pPr>
              <w:jc w:val="both"/>
              <w:rPr>
                <w:rFonts w:ascii="Times New Roman" w:hAnsi="Times New Roman" w:cs="Times New Roman"/>
                <w:sz w:val="24"/>
                <w:szCs w:val="24"/>
              </w:rPr>
            </w:pPr>
            <w:r w:rsidRPr="00E3098D">
              <w:rPr>
                <w:rFonts w:ascii="Times New Roman" w:hAnsi="Times New Roman" w:cs="Times New Roman"/>
                <w:sz w:val="24"/>
                <w:szCs w:val="24"/>
              </w:rPr>
              <w:t>Riigikantselei palus esitada Keskkonnaministeeriumile sisend seisukohtade kujundamiseks põhjavee ja pinnavee saasteainete loetelu ning asulareovee puhastamise direktiivide läbivaatamise ettepanekute eelnõu kohta.</w:t>
            </w:r>
          </w:p>
          <w:p w14:paraId="73B180A5" w14:textId="77777777" w:rsidR="00E3098D" w:rsidRPr="00E3098D" w:rsidRDefault="00E3098D" w:rsidP="00E3098D">
            <w:pPr>
              <w:jc w:val="both"/>
              <w:rPr>
                <w:rFonts w:ascii="Times New Roman" w:hAnsi="Times New Roman" w:cs="Times New Roman"/>
                <w:sz w:val="24"/>
                <w:szCs w:val="24"/>
              </w:rPr>
            </w:pPr>
          </w:p>
          <w:p w14:paraId="7BA11F17" w14:textId="77777777" w:rsidR="00E3098D" w:rsidRPr="00E3098D" w:rsidRDefault="00E3098D" w:rsidP="00E3098D">
            <w:pPr>
              <w:jc w:val="both"/>
              <w:rPr>
                <w:rFonts w:ascii="Times New Roman" w:hAnsi="Times New Roman" w:cs="Times New Roman"/>
                <w:sz w:val="24"/>
                <w:szCs w:val="24"/>
              </w:rPr>
            </w:pPr>
            <w:r w:rsidRPr="00E3098D">
              <w:rPr>
                <w:rFonts w:ascii="Times New Roman" w:hAnsi="Times New Roman" w:cs="Times New Roman"/>
                <w:sz w:val="24"/>
                <w:szCs w:val="24"/>
              </w:rPr>
              <w:t xml:space="preserve">Toetame põhimõtteliselt algatuse eesmärke, milleks on uuendada pinnavee ja põhjavee saasteainete nimekiri keskkonna ja </w:t>
            </w:r>
            <w:proofErr w:type="spellStart"/>
            <w:r w:rsidRPr="00E3098D">
              <w:rPr>
                <w:rFonts w:ascii="Times New Roman" w:hAnsi="Times New Roman" w:cs="Times New Roman"/>
                <w:sz w:val="24"/>
                <w:szCs w:val="24"/>
              </w:rPr>
              <w:t>inimtervise</w:t>
            </w:r>
            <w:proofErr w:type="spellEnd"/>
            <w:r w:rsidRPr="00E3098D">
              <w:rPr>
                <w:rFonts w:ascii="Times New Roman" w:hAnsi="Times New Roman" w:cs="Times New Roman"/>
                <w:sz w:val="24"/>
                <w:szCs w:val="24"/>
              </w:rPr>
              <w:t xml:space="preserve"> paremaks kaitseks ning pakkuda palju täpsemat, täielikumat ja kaasaegsemat informatsiooni vee kvaliteedi osas. Samuti pakkuda paindlik raamistik uute saasteainete nagu mikroplast ja antibiootikumresistentsed geenid tegelemiseks.  Samuti toetame asulareovee puhastamise direktiivi ümbersõnastamist, mille eesmärgiks on vähendada asulatest veekogudesse jõudvat punktreostust, parandada ühilduvust Euroopa Rohepöördega, suurendada reovee koostises peituva informatsiooni kasutamist rahvatervise hüvanguks ning suunata liikmesriike rohkem rakendama saastaja maksab põhimõtet. Algatuse eesmärgid ühilduvad rahvatervise poliitika ja eesmärkidega ning ka uue joogivee direktiivi (2020/2184/EL) eesmärkidega ning aitavad seda kui ka direktiivi tulemusel muudetavat veeseadust paremini rakendada.</w:t>
            </w:r>
          </w:p>
          <w:p w14:paraId="6F32BDF2" w14:textId="77777777" w:rsidR="00E3098D" w:rsidRPr="00E3098D" w:rsidRDefault="00E3098D" w:rsidP="00E3098D">
            <w:pPr>
              <w:jc w:val="both"/>
              <w:rPr>
                <w:rFonts w:ascii="Times New Roman" w:hAnsi="Times New Roman" w:cs="Times New Roman"/>
                <w:sz w:val="24"/>
                <w:szCs w:val="24"/>
              </w:rPr>
            </w:pPr>
          </w:p>
          <w:p w14:paraId="08ADF237" w14:textId="77777777" w:rsidR="00E3098D" w:rsidRPr="00E3098D" w:rsidRDefault="00E3098D" w:rsidP="00E3098D">
            <w:pPr>
              <w:jc w:val="both"/>
              <w:rPr>
                <w:rFonts w:ascii="Times New Roman" w:hAnsi="Times New Roman" w:cs="Times New Roman"/>
                <w:sz w:val="24"/>
                <w:szCs w:val="24"/>
              </w:rPr>
            </w:pPr>
            <w:r w:rsidRPr="00E3098D">
              <w:rPr>
                <w:rFonts w:ascii="Times New Roman" w:hAnsi="Times New Roman" w:cs="Times New Roman"/>
                <w:sz w:val="24"/>
                <w:szCs w:val="24"/>
              </w:rPr>
              <w:t>Sotsiaalministeerium koos Terviseametiga esitab tähelepanekud algatuse eelnõu kohta:</w:t>
            </w:r>
          </w:p>
          <w:p w14:paraId="1431E0DB" w14:textId="77777777" w:rsidR="00E3098D" w:rsidRPr="00E3098D" w:rsidRDefault="00E3098D" w:rsidP="00E3098D">
            <w:pPr>
              <w:jc w:val="both"/>
              <w:rPr>
                <w:rFonts w:ascii="Times New Roman" w:hAnsi="Times New Roman" w:cs="Times New Roman"/>
                <w:sz w:val="24"/>
                <w:szCs w:val="24"/>
              </w:rPr>
            </w:pPr>
          </w:p>
          <w:p w14:paraId="588BDFDD" w14:textId="77777777" w:rsidR="00E3098D" w:rsidRPr="00E3098D" w:rsidRDefault="00E3098D" w:rsidP="00E3098D">
            <w:pPr>
              <w:jc w:val="both"/>
              <w:rPr>
                <w:rFonts w:ascii="Times New Roman" w:hAnsi="Times New Roman" w:cs="Times New Roman"/>
                <w:sz w:val="24"/>
                <w:szCs w:val="24"/>
              </w:rPr>
            </w:pPr>
            <w:r w:rsidRPr="00E3098D">
              <w:rPr>
                <w:rFonts w:ascii="Times New Roman" w:hAnsi="Times New Roman" w:cs="Times New Roman"/>
                <w:sz w:val="24"/>
                <w:szCs w:val="24"/>
              </w:rPr>
              <w:t>1.</w:t>
            </w:r>
            <w:r w:rsidRPr="00E3098D">
              <w:rPr>
                <w:rFonts w:ascii="Times New Roman" w:hAnsi="Times New Roman" w:cs="Times New Roman"/>
                <w:sz w:val="24"/>
                <w:szCs w:val="24"/>
              </w:rPr>
              <w:tab/>
            </w:r>
            <w:proofErr w:type="spellStart"/>
            <w:r w:rsidRPr="00E3098D">
              <w:rPr>
                <w:rFonts w:ascii="Times New Roman" w:hAnsi="Times New Roman" w:cs="Times New Roman"/>
                <w:sz w:val="24"/>
                <w:szCs w:val="24"/>
              </w:rPr>
              <w:t>Proposal</w:t>
            </w:r>
            <w:proofErr w:type="spellEnd"/>
            <w:r w:rsidRPr="00E3098D">
              <w:rPr>
                <w:rFonts w:ascii="Times New Roman" w:hAnsi="Times New Roman" w:cs="Times New Roman"/>
                <w:sz w:val="24"/>
                <w:szCs w:val="24"/>
              </w:rPr>
              <w:t xml:space="preserve"> </w:t>
            </w:r>
            <w:proofErr w:type="spellStart"/>
            <w:r w:rsidRPr="00E3098D">
              <w:rPr>
                <w:rFonts w:ascii="Times New Roman" w:hAnsi="Times New Roman" w:cs="Times New Roman"/>
                <w:sz w:val="24"/>
                <w:szCs w:val="24"/>
              </w:rPr>
              <w:t>for</w:t>
            </w:r>
            <w:proofErr w:type="spellEnd"/>
            <w:r w:rsidRPr="00E3098D">
              <w:rPr>
                <w:rFonts w:ascii="Times New Roman" w:hAnsi="Times New Roman" w:cs="Times New Roman"/>
                <w:sz w:val="24"/>
                <w:szCs w:val="24"/>
              </w:rPr>
              <w:t xml:space="preserve"> a DIRECTIVE OF THE EUROPEAN PARLIAMENT AND OF THE COUNCIL </w:t>
            </w:r>
            <w:proofErr w:type="spellStart"/>
            <w:r w:rsidRPr="00E3098D">
              <w:rPr>
                <w:rFonts w:ascii="Times New Roman" w:hAnsi="Times New Roman" w:cs="Times New Roman"/>
                <w:sz w:val="24"/>
                <w:szCs w:val="24"/>
              </w:rPr>
              <w:t>concerning</w:t>
            </w:r>
            <w:proofErr w:type="spellEnd"/>
            <w:r w:rsidRPr="00E3098D">
              <w:rPr>
                <w:rFonts w:ascii="Times New Roman" w:hAnsi="Times New Roman" w:cs="Times New Roman"/>
                <w:sz w:val="24"/>
                <w:szCs w:val="24"/>
              </w:rPr>
              <w:t xml:space="preserve"> </w:t>
            </w:r>
            <w:proofErr w:type="spellStart"/>
            <w:r w:rsidRPr="00E3098D">
              <w:rPr>
                <w:rFonts w:ascii="Times New Roman" w:hAnsi="Times New Roman" w:cs="Times New Roman"/>
                <w:sz w:val="24"/>
                <w:szCs w:val="24"/>
              </w:rPr>
              <w:t>urban</w:t>
            </w:r>
            <w:proofErr w:type="spellEnd"/>
            <w:r w:rsidRPr="00E3098D">
              <w:rPr>
                <w:rFonts w:ascii="Times New Roman" w:hAnsi="Times New Roman" w:cs="Times New Roman"/>
                <w:sz w:val="24"/>
                <w:szCs w:val="24"/>
              </w:rPr>
              <w:t xml:space="preserve"> </w:t>
            </w:r>
            <w:proofErr w:type="spellStart"/>
            <w:r w:rsidRPr="00E3098D">
              <w:rPr>
                <w:rFonts w:ascii="Times New Roman" w:hAnsi="Times New Roman" w:cs="Times New Roman"/>
                <w:sz w:val="24"/>
                <w:szCs w:val="24"/>
              </w:rPr>
              <w:t>wastewater</w:t>
            </w:r>
            <w:proofErr w:type="spellEnd"/>
            <w:r w:rsidRPr="00E3098D">
              <w:rPr>
                <w:rFonts w:ascii="Times New Roman" w:hAnsi="Times New Roman" w:cs="Times New Roman"/>
                <w:sz w:val="24"/>
                <w:szCs w:val="24"/>
              </w:rPr>
              <w:t xml:space="preserve"> </w:t>
            </w:r>
            <w:proofErr w:type="spellStart"/>
            <w:r w:rsidRPr="00E3098D">
              <w:rPr>
                <w:rFonts w:ascii="Times New Roman" w:hAnsi="Times New Roman" w:cs="Times New Roman"/>
                <w:sz w:val="24"/>
                <w:szCs w:val="24"/>
              </w:rPr>
              <w:t>treatment</w:t>
            </w:r>
            <w:proofErr w:type="spellEnd"/>
            <w:r w:rsidRPr="00E3098D">
              <w:rPr>
                <w:rFonts w:ascii="Times New Roman" w:hAnsi="Times New Roman" w:cs="Times New Roman"/>
                <w:sz w:val="24"/>
                <w:szCs w:val="24"/>
              </w:rPr>
              <w:t xml:space="preserve"> COM(2022) 541 </w:t>
            </w:r>
            <w:proofErr w:type="spellStart"/>
            <w:r w:rsidRPr="00E3098D">
              <w:rPr>
                <w:rFonts w:ascii="Times New Roman" w:hAnsi="Times New Roman" w:cs="Times New Roman"/>
                <w:sz w:val="24"/>
                <w:szCs w:val="24"/>
              </w:rPr>
              <w:t>final</w:t>
            </w:r>
            <w:proofErr w:type="spellEnd"/>
            <w:r w:rsidRPr="00E3098D">
              <w:rPr>
                <w:rFonts w:ascii="Times New Roman" w:hAnsi="Times New Roman" w:cs="Times New Roman"/>
                <w:sz w:val="24"/>
                <w:szCs w:val="24"/>
              </w:rPr>
              <w:t xml:space="preserve"> 2022/0345 (COD)  (Asulareovee puhastamise direktiiv) edaspidi UWWTD </w:t>
            </w:r>
          </w:p>
          <w:p w14:paraId="091804DE" w14:textId="77777777" w:rsidR="00E3098D" w:rsidRPr="00E3098D" w:rsidRDefault="00E3098D" w:rsidP="00E3098D">
            <w:pPr>
              <w:jc w:val="both"/>
              <w:rPr>
                <w:rFonts w:ascii="Times New Roman" w:hAnsi="Times New Roman" w:cs="Times New Roman"/>
                <w:sz w:val="24"/>
                <w:szCs w:val="24"/>
              </w:rPr>
            </w:pPr>
            <w:r w:rsidRPr="00E3098D">
              <w:rPr>
                <w:rFonts w:ascii="Times New Roman" w:hAnsi="Times New Roman" w:cs="Times New Roman"/>
                <w:sz w:val="24"/>
                <w:szCs w:val="24"/>
              </w:rPr>
              <w:lastRenderedPageBreak/>
              <w:t xml:space="preserve">UWWT direktiivi  läbivaatamine peaks eeldatavasti veelgi vähendama  reostuse koormust  keskkonnale ja seekaudu vähendama mõju ka inimeste tervisele, mis on väga positiivne. Toome välja mõned artiklid, mis väärivad rahvatervise aspektist tähelepanu. </w:t>
            </w:r>
          </w:p>
          <w:p w14:paraId="797F7B7B" w14:textId="77777777" w:rsidR="00E3098D" w:rsidRPr="00E3098D" w:rsidRDefault="00E3098D" w:rsidP="00E3098D">
            <w:pPr>
              <w:jc w:val="both"/>
              <w:rPr>
                <w:rFonts w:ascii="Times New Roman" w:hAnsi="Times New Roman" w:cs="Times New Roman"/>
                <w:sz w:val="24"/>
                <w:szCs w:val="24"/>
              </w:rPr>
            </w:pPr>
          </w:p>
          <w:p w14:paraId="2AB11EC9" w14:textId="77777777" w:rsidR="00E3098D" w:rsidRPr="00E3098D" w:rsidRDefault="00E3098D" w:rsidP="00E3098D">
            <w:pPr>
              <w:jc w:val="both"/>
              <w:rPr>
                <w:rFonts w:ascii="Times New Roman" w:hAnsi="Times New Roman" w:cs="Times New Roman"/>
                <w:sz w:val="24"/>
                <w:szCs w:val="24"/>
              </w:rPr>
            </w:pPr>
            <w:r w:rsidRPr="00E3098D">
              <w:rPr>
                <w:rFonts w:ascii="Times New Roman" w:hAnsi="Times New Roman" w:cs="Times New Roman"/>
                <w:sz w:val="24"/>
                <w:szCs w:val="24"/>
              </w:rPr>
              <w:t>1)</w:t>
            </w:r>
            <w:r w:rsidRPr="00E3098D">
              <w:rPr>
                <w:rFonts w:ascii="Times New Roman" w:hAnsi="Times New Roman" w:cs="Times New Roman"/>
                <w:sz w:val="24"/>
                <w:szCs w:val="24"/>
              </w:rPr>
              <w:tab/>
              <w:t>UWWTD direktiivi artikkel 17 „</w:t>
            </w:r>
            <w:proofErr w:type="spellStart"/>
            <w:r w:rsidRPr="00E3098D">
              <w:rPr>
                <w:rFonts w:ascii="Times New Roman" w:hAnsi="Times New Roman" w:cs="Times New Roman"/>
                <w:sz w:val="24"/>
                <w:szCs w:val="24"/>
              </w:rPr>
              <w:t>Urban</w:t>
            </w:r>
            <w:proofErr w:type="spellEnd"/>
            <w:r w:rsidRPr="00E3098D">
              <w:rPr>
                <w:rFonts w:ascii="Times New Roman" w:hAnsi="Times New Roman" w:cs="Times New Roman"/>
                <w:sz w:val="24"/>
                <w:szCs w:val="24"/>
              </w:rPr>
              <w:t xml:space="preserve"> </w:t>
            </w:r>
            <w:proofErr w:type="spellStart"/>
            <w:r w:rsidRPr="00E3098D">
              <w:rPr>
                <w:rFonts w:ascii="Times New Roman" w:hAnsi="Times New Roman" w:cs="Times New Roman"/>
                <w:sz w:val="24"/>
                <w:szCs w:val="24"/>
              </w:rPr>
              <w:t>wastewater</w:t>
            </w:r>
            <w:proofErr w:type="spellEnd"/>
            <w:r w:rsidRPr="00E3098D">
              <w:rPr>
                <w:rFonts w:ascii="Times New Roman" w:hAnsi="Times New Roman" w:cs="Times New Roman"/>
                <w:sz w:val="24"/>
                <w:szCs w:val="24"/>
              </w:rPr>
              <w:t xml:space="preserve"> </w:t>
            </w:r>
            <w:proofErr w:type="spellStart"/>
            <w:r w:rsidRPr="00E3098D">
              <w:rPr>
                <w:rFonts w:ascii="Times New Roman" w:hAnsi="Times New Roman" w:cs="Times New Roman"/>
                <w:sz w:val="24"/>
                <w:szCs w:val="24"/>
              </w:rPr>
              <w:t>surveillance</w:t>
            </w:r>
            <w:proofErr w:type="spellEnd"/>
            <w:r w:rsidRPr="00E3098D">
              <w:rPr>
                <w:rFonts w:ascii="Times New Roman" w:hAnsi="Times New Roman" w:cs="Times New Roman"/>
                <w:sz w:val="24"/>
                <w:szCs w:val="24"/>
              </w:rPr>
              <w:t>“.</w:t>
            </w:r>
          </w:p>
          <w:p w14:paraId="67F6DDA8" w14:textId="77777777" w:rsidR="00E3098D" w:rsidRPr="00E3098D" w:rsidRDefault="00E3098D" w:rsidP="00E3098D">
            <w:pPr>
              <w:jc w:val="both"/>
              <w:rPr>
                <w:rFonts w:ascii="Times New Roman" w:hAnsi="Times New Roman" w:cs="Times New Roman"/>
                <w:sz w:val="24"/>
                <w:szCs w:val="24"/>
              </w:rPr>
            </w:pPr>
            <w:r w:rsidRPr="00E3098D">
              <w:rPr>
                <w:rFonts w:ascii="Times New Roman" w:hAnsi="Times New Roman" w:cs="Times New Roman"/>
                <w:sz w:val="24"/>
                <w:szCs w:val="24"/>
              </w:rPr>
              <w:t xml:space="preserve">See on uus artikkel, millega kohustatakse liikmesriike looma reovee seire süsteemi. </w:t>
            </w:r>
          </w:p>
          <w:p w14:paraId="04A271AB" w14:textId="77777777" w:rsidR="00E3098D" w:rsidRPr="00E3098D" w:rsidRDefault="00E3098D" w:rsidP="00E3098D">
            <w:pPr>
              <w:jc w:val="both"/>
              <w:rPr>
                <w:rFonts w:ascii="Times New Roman" w:hAnsi="Times New Roman" w:cs="Times New Roman"/>
                <w:sz w:val="24"/>
                <w:szCs w:val="24"/>
              </w:rPr>
            </w:pPr>
            <w:r w:rsidRPr="00E3098D">
              <w:rPr>
                <w:rFonts w:ascii="Times New Roman" w:hAnsi="Times New Roman" w:cs="Times New Roman"/>
                <w:sz w:val="24"/>
                <w:szCs w:val="24"/>
              </w:rPr>
              <w:t xml:space="preserve">Vastavalt art 17 lõikele 1 peab iga liikmesriik tagama järgmiste patogeenide seire teostuse reoveest: </w:t>
            </w:r>
          </w:p>
          <w:p w14:paraId="66EF555B" w14:textId="77777777" w:rsidR="00E3098D" w:rsidRPr="00E3098D" w:rsidRDefault="00E3098D" w:rsidP="00E3098D">
            <w:pPr>
              <w:jc w:val="both"/>
              <w:rPr>
                <w:rFonts w:ascii="Times New Roman" w:hAnsi="Times New Roman" w:cs="Times New Roman"/>
                <w:sz w:val="24"/>
                <w:szCs w:val="24"/>
              </w:rPr>
            </w:pPr>
            <w:r w:rsidRPr="00E3098D">
              <w:rPr>
                <w:rFonts w:ascii="Times New Roman" w:hAnsi="Times New Roman" w:cs="Times New Roman"/>
                <w:sz w:val="24"/>
                <w:szCs w:val="24"/>
              </w:rPr>
              <w:t xml:space="preserve">a) SARS-CoV-2 viirused ja selle variandid; </w:t>
            </w:r>
          </w:p>
          <w:p w14:paraId="06AA72A8" w14:textId="77777777" w:rsidR="00E3098D" w:rsidRPr="00E3098D" w:rsidRDefault="00E3098D" w:rsidP="00E3098D">
            <w:pPr>
              <w:jc w:val="both"/>
              <w:rPr>
                <w:rFonts w:ascii="Times New Roman" w:hAnsi="Times New Roman" w:cs="Times New Roman"/>
                <w:sz w:val="24"/>
                <w:szCs w:val="24"/>
              </w:rPr>
            </w:pPr>
            <w:r w:rsidRPr="00E3098D">
              <w:rPr>
                <w:rFonts w:ascii="Times New Roman" w:hAnsi="Times New Roman" w:cs="Times New Roman"/>
                <w:sz w:val="24"/>
                <w:szCs w:val="24"/>
              </w:rPr>
              <w:t xml:space="preserve">b) </w:t>
            </w:r>
            <w:proofErr w:type="spellStart"/>
            <w:r w:rsidRPr="00E3098D">
              <w:rPr>
                <w:rFonts w:ascii="Times New Roman" w:hAnsi="Times New Roman" w:cs="Times New Roman"/>
                <w:sz w:val="24"/>
                <w:szCs w:val="24"/>
              </w:rPr>
              <w:t>poliovirus</w:t>
            </w:r>
            <w:proofErr w:type="spellEnd"/>
            <w:r w:rsidRPr="00E3098D">
              <w:rPr>
                <w:rFonts w:ascii="Times New Roman" w:hAnsi="Times New Roman" w:cs="Times New Roman"/>
                <w:sz w:val="24"/>
                <w:szCs w:val="24"/>
              </w:rPr>
              <w:t xml:space="preserve">; </w:t>
            </w:r>
          </w:p>
          <w:p w14:paraId="53FD4E67" w14:textId="77777777" w:rsidR="00E3098D" w:rsidRPr="00E3098D" w:rsidRDefault="00E3098D" w:rsidP="00E3098D">
            <w:pPr>
              <w:jc w:val="both"/>
              <w:rPr>
                <w:rFonts w:ascii="Times New Roman" w:hAnsi="Times New Roman" w:cs="Times New Roman"/>
                <w:sz w:val="24"/>
                <w:szCs w:val="24"/>
              </w:rPr>
            </w:pPr>
            <w:r w:rsidRPr="00E3098D">
              <w:rPr>
                <w:rFonts w:ascii="Times New Roman" w:hAnsi="Times New Roman" w:cs="Times New Roman"/>
                <w:sz w:val="24"/>
                <w:szCs w:val="24"/>
              </w:rPr>
              <w:t xml:space="preserve">c) gripiviirused; </w:t>
            </w:r>
          </w:p>
          <w:p w14:paraId="37B5A82D" w14:textId="77777777" w:rsidR="00E3098D" w:rsidRPr="00E3098D" w:rsidRDefault="00E3098D" w:rsidP="00E3098D">
            <w:pPr>
              <w:jc w:val="both"/>
              <w:rPr>
                <w:rFonts w:ascii="Times New Roman" w:hAnsi="Times New Roman" w:cs="Times New Roman"/>
                <w:sz w:val="24"/>
                <w:szCs w:val="24"/>
              </w:rPr>
            </w:pPr>
            <w:r w:rsidRPr="00E3098D">
              <w:rPr>
                <w:rFonts w:ascii="Times New Roman" w:hAnsi="Times New Roman" w:cs="Times New Roman"/>
                <w:sz w:val="24"/>
                <w:szCs w:val="24"/>
              </w:rPr>
              <w:t xml:space="preserve">d) kõrgema ohukategooria patogeenid; </w:t>
            </w:r>
          </w:p>
          <w:p w14:paraId="4F018942" w14:textId="77777777" w:rsidR="00E3098D" w:rsidRPr="00E3098D" w:rsidRDefault="00E3098D" w:rsidP="00E3098D">
            <w:pPr>
              <w:jc w:val="both"/>
              <w:rPr>
                <w:rFonts w:ascii="Times New Roman" w:hAnsi="Times New Roman" w:cs="Times New Roman"/>
                <w:sz w:val="24"/>
                <w:szCs w:val="24"/>
              </w:rPr>
            </w:pPr>
            <w:r w:rsidRPr="00E3098D">
              <w:rPr>
                <w:rFonts w:ascii="Times New Roman" w:hAnsi="Times New Roman" w:cs="Times New Roman"/>
                <w:sz w:val="24"/>
                <w:szCs w:val="24"/>
              </w:rPr>
              <w:t xml:space="preserve">e) kõrgema ohukategooria saasteained; </w:t>
            </w:r>
          </w:p>
          <w:p w14:paraId="08FB8AB0" w14:textId="77777777" w:rsidR="00E3098D" w:rsidRPr="00E3098D" w:rsidRDefault="00E3098D" w:rsidP="00E3098D">
            <w:pPr>
              <w:jc w:val="both"/>
              <w:rPr>
                <w:rFonts w:ascii="Times New Roman" w:hAnsi="Times New Roman" w:cs="Times New Roman"/>
                <w:sz w:val="24"/>
                <w:szCs w:val="24"/>
              </w:rPr>
            </w:pPr>
            <w:r w:rsidRPr="00E3098D">
              <w:rPr>
                <w:rFonts w:ascii="Times New Roman" w:hAnsi="Times New Roman" w:cs="Times New Roman"/>
                <w:sz w:val="24"/>
                <w:szCs w:val="24"/>
              </w:rPr>
              <w:t>f) mistahes muud rahvatervist ohustavad ohutegurid, mida liikmesriikide pädevad asutused peavad seire seisukohast asjakohaseks;</w:t>
            </w:r>
          </w:p>
          <w:p w14:paraId="35043005" w14:textId="77777777" w:rsidR="00E3098D" w:rsidRPr="00E3098D" w:rsidRDefault="00E3098D" w:rsidP="00E3098D">
            <w:pPr>
              <w:jc w:val="both"/>
              <w:rPr>
                <w:rFonts w:ascii="Times New Roman" w:hAnsi="Times New Roman" w:cs="Times New Roman"/>
                <w:sz w:val="24"/>
                <w:szCs w:val="24"/>
              </w:rPr>
            </w:pPr>
            <w:r w:rsidRPr="00E3098D">
              <w:rPr>
                <w:rFonts w:ascii="Times New Roman" w:hAnsi="Times New Roman" w:cs="Times New Roman"/>
                <w:sz w:val="24"/>
                <w:szCs w:val="24"/>
              </w:rPr>
              <w:t xml:space="preserve">Lisaks täiendatakse sättes, et hiljemalt 01.01.2025 peab liikmesriikides olema loodud koordineeritud struktuur rahvatervise küsimustes pädevate ja reovee töötluses pädevate asutuste vahel, mille kohutus on määrata reoveest analüüsitavad näitajad, proovivõtu sageduse ja kasutatavad meetodid. Muuhulgas on nõutud, et niikaua kui liikmesriigi pädev asutus ei otsusta teisiti, tuleb reoveest määrata SARS-CoV-2,  kattes 70% elanikkonnast. Lisaks sellele tuleb regulaarselt määrata AMR (resistentsed geenid) kõikides suuremates, kui 100000 </w:t>
            </w:r>
            <w:proofErr w:type="spellStart"/>
            <w:r w:rsidRPr="00E3098D">
              <w:rPr>
                <w:rFonts w:ascii="Times New Roman" w:hAnsi="Times New Roman" w:cs="Times New Roman"/>
                <w:sz w:val="24"/>
                <w:szCs w:val="24"/>
              </w:rPr>
              <w:t>ie</w:t>
            </w:r>
            <w:proofErr w:type="spellEnd"/>
            <w:r w:rsidRPr="00E3098D">
              <w:rPr>
                <w:rFonts w:ascii="Times New Roman" w:hAnsi="Times New Roman" w:cs="Times New Roman"/>
                <w:sz w:val="24"/>
                <w:szCs w:val="24"/>
              </w:rPr>
              <w:t xml:space="preserve"> linnastutes. </w:t>
            </w:r>
          </w:p>
          <w:p w14:paraId="7CB2FE7D" w14:textId="77777777" w:rsidR="00E3098D" w:rsidRPr="00E3098D" w:rsidRDefault="00E3098D" w:rsidP="00E3098D">
            <w:pPr>
              <w:jc w:val="both"/>
              <w:rPr>
                <w:rFonts w:ascii="Times New Roman" w:hAnsi="Times New Roman" w:cs="Times New Roman"/>
                <w:sz w:val="24"/>
                <w:szCs w:val="24"/>
              </w:rPr>
            </w:pPr>
          </w:p>
          <w:p w14:paraId="79D9F6F8" w14:textId="77777777" w:rsidR="00E3098D" w:rsidRPr="00E3098D" w:rsidRDefault="00E3098D" w:rsidP="00E3098D">
            <w:pPr>
              <w:jc w:val="both"/>
              <w:rPr>
                <w:rFonts w:ascii="Times New Roman" w:hAnsi="Times New Roman" w:cs="Times New Roman"/>
                <w:sz w:val="24"/>
                <w:szCs w:val="24"/>
              </w:rPr>
            </w:pPr>
            <w:r w:rsidRPr="00E3098D">
              <w:rPr>
                <w:rFonts w:ascii="Times New Roman" w:hAnsi="Times New Roman" w:cs="Times New Roman"/>
                <w:sz w:val="24"/>
                <w:szCs w:val="24"/>
              </w:rPr>
              <w:t xml:space="preserve">SARS-CoV-2 viiruse põhjustatud COVID-19 pandeemia ajal osutus viiruse määramine reoveest väga oluliseks rahvatervise kaitse meetmeks võimaldades hinnata eelhoiatusena nakatumiste arvu kasvu.  SARS-CoV-2 RNA seire reovees pakkus olulist täiendavat teavet rahvatervisega seotud otsuste tegemisel koos kliinilistest katsetest saadud teabega. Maailma Terviseorganisatsiooni (WHO) </w:t>
            </w:r>
            <w:r w:rsidRPr="00E3098D">
              <w:rPr>
                <w:rFonts w:ascii="Times New Roman" w:hAnsi="Times New Roman" w:cs="Times New Roman"/>
                <w:sz w:val="24"/>
                <w:szCs w:val="24"/>
              </w:rPr>
              <w:lastRenderedPageBreak/>
              <w:t xml:space="preserve">soovitustel tuleb reovee seiret arendada varajase hoiatuse  ja trendide määramise eesmärgil. Ühtlasi soovitatakse laiendada määratavate näitajate valimit. </w:t>
            </w:r>
          </w:p>
          <w:p w14:paraId="39E48826" w14:textId="77777777" w:rsidR="00E3098D" w:rsidRPr="00E3098D" w:rsidRDefault="00E3098D" w:rsidP="00E3098D">
            <w:pPr>
              <w:jc w:val="both"/>
              <w:rPr>
                <w:rFonts w:ascii="Times New Roman" w:hAnsi="Times New Roman" w:cs="Times New Roman"/>
                <w:sz w:val="24"/>
                <w:szCs w:val="24"/>
              </w:rPr>
            </w:pPr>
          </w:p>
          <w:p w14:paraId="0F47DD9E" w14:textId="77777777" w:rsidR="00E3098D" w:rsidRPr="00E3098D" w:rsidRDefault="00E3098D" w:rsidP="00E3098D">
            <w:pPr>
              <w:jc w:val="both"/>
              <w:rPr>
                <w:rFonts w:ascii="Times New Roman" w:hAnsi="Times New Roman" w:cs="Times New Roman"/>
                <w:sz w:val="24"/>
                <w:szCs w:val="24"/>
              </w:rPr>
            </w:pPr>
            <w:r w:rsidRPr="00E3098D">
              <w:rPr>
                <w:rFonts w:ascii="Times New Roman" w:hAnsi="Times New Roman" w:cs="Times New Roman"/>
                <w:sz w:val="24"/>
                <w:szCs w:val="24"/>
              </w:rPr>
              <w:t xml:space="preserve">Rahvatervist ohustada võivate näitajate seiret reoveest on Terviseamet teinud juba mitme aasta jooksul. Kõige kauem on toestatud seiret </w:t>
            </w:r>
            <w:proofErr w:type="spellStart"/>
            <w:r w:rsidRPr="00E3098D">
              <w:rPr>
                <w:rFonts w:ascii="Times New Roman" w:hAnsi="Times New Roman" w:cs="Times New Roman"/>
                <w:sz w:val="24"/>
                <w:szCs w:val="24"/>
              </w:rPr>
              <w:t>Polio</w:t>
            </w:r>
            <w:proofErr w:type="spellEnd"/>
            <w:r w:rsidRPr="00E3098D">
              <w:rPr>
                <w:rFonts w:ascii="Times New Roman" w:hAnsi="Times New Roman" w:cs="Times New Roman"/>
                <w:sz w:val="24"/>
                <w:szCs w:val="24"/>
              </w:rPr>
              <w:t>-viiruse osas reoveest. Reoveeproove võetakse aastaringselt üks kord kuus kahest kohast Tallinna kanalisatsioonitrassist ning ühest kohast Pärnu, Tartu ja Narva kanalisatsioonitrassist. Seire kuulub rutiinsete epidemioloogiliste uuringute hulka ning on kaetud riigi eelarvest. Gripi ja AMR uuringuid veel tehtud ei ole ja siiamaani on Terviseamet reoveeuuringuid katnud lisaeelarvest.</w:t>
            </w:r>
          </w:p>
          <w:p w14:paraId="530DB8A2" w14:textId="77777777" w:rsidR="00E3098D" w:rsidRPr="00E3098D" w:rsidRDefault="00E3098D" w:rsidP="00E3098D">
            <w:pPr>
              <w:jc w:val="both"/>
              <w:rPr>
                <w:rFonts w:ascii="Times New Roman" w:hAnsi="Times New Roman" w:cs="Times New Roman"/>
                <w:sz w:val="24"/>
                <w:szCs w:val="24"/>
              </w:rPr>
            </w:pPr>
          </w:p>
          <w:p w14:paraId="50710E92" w14:textId="77777777" w:rsidR="00E3098D" w:rsidRPr="00E3098D" w:rsidRDefault="00E3098D" w:rsidP="00E3098D">
            <w:pPr>
              <w:jc w:val="both"/>
              <w:rPr>
                <w:rFonts w:ascii="Times New Roman" w:hAnsi="Times New Roman" w:cs="Times New Roman"/>
                <w:sz w:val="24"/>
                <w:szCs w:val="24"/>
              </w:rPr>
            </w:pPr>
            <w:r w:rsidRPr="00E3098D">
              <w:rPr>
                <w:rFonts w:ascii="Times New Roman" w:hAnsi="Times New Roman" w:cs="Times New Roman"/>
                <w:sz w:val="24"/>
                <w:szCs w:val="24"/>
              </w:rPr>
              <w:t xml:space="preserve">Hiljuti hakati seirama ka SARS-CoV-2. Kuni 2021. a lõpuni toimus selles osas koostöö Terviseameti, Tartu Ülikooli ja Eesti Keskkonnauuringute Keskuse vahel. Seire oli rahastatud projektina HTM-poolt. Alates 01.01.2022. a võttis Terviseamet SARS-CoV-2 reovee seire enda peale. Raha taotleti lisaeelarvest ja saadi ühekordseks kasutamiseks. Seire raames võeti iganädalaselt 24 </w:t>
            </w:r>
            <w:proofErr w:type="spellStart"/>
            <w:r w:rsidRPr="00E3098D">
              <w:rPr>
                <w:rFonts w:ascii="Times New Roman" w:hAnsi="Times New Roman" w:cs="Times New Roman"/>
                <w:sz w:val="24"/>
                <w:szCs w:val="24"/>
              </w:rPr>
              <w:t>keskmistatud</w:t>
            </w:r>
            <w:proofErr w:type="spellEnd"/>
            <w:r w:rsidRPr="00E3098D">
              <w:rPr>
                <w:rFonts w:ascii="Times New Roman" w:hAnsi="Times New Roman" w:cs="Times New Roman"/>
                <w:sz w:val="24"/>
                <w:szCs w:val="24"/>
              </w:rPr>
              <w:t xml:space="preserve"> proovi, lisaks mõned punktproovid ning kokkuvõttes on hetkel seirega kaetud 66% elanikkonnast. Tulemused on iganädalaselt kättesaadavad  reovee kaardil Terviseameti kodulehel ning 2022. a kavandatakse seirega jätkata. </w:t>
            </w:r>
          </w:p>
          <w:p w14:paraId="1C48CA36" w14:textId="77777777" w:rsidR="00E3098D" w:rsidRPr="00E3098D" w:rsidRDefault="00E3098D" w:rsidP="00E3098D">
            <w:pPr>
              <w:jc w:val="both"/>
              <w:rPr>
                <w:rFonts w:ascii="Times New Roman" w:hAnsi="Times New Roman" w:cs="Times New Roman"/>
                <w:sz w:val="24"/>
                <w:szCs w:val="24"/>
              </w:rPr>
            </w:pPr>
            <w:r w:rsidRPr="00E3098D">
              <w:rPr>
                <w:rFonts w:ascii="Times New Roman" w:hAnsi="Times New Roman" w:cs="Times New Roman"/>
                <w:sz w:val="24"/>
                <w:szCs w:val="24"/>
              </w:rPr>
              <w:t xml:space="preserve">Selleks, et katta ~70% elanikkonnast, tuleb üle Eesti võtta 24-26 </w:t>
            </w:r>
            <w:proofErr w:type="spellStart"/>
            <w:r w:rsidRPr="00E3098D">
              <w:rPr>
                <w:rFonts w:ascii="Times New Roman" w:hAnsi="Times New Roman" w:cs="Times New Roman"/>
                <w:sz w:val="24"/>
                <w:szCs w:val="24"/>
              </w:rPr>
              <w:t>keskmistatud</w:t>
            </w:r>
            <w:proofErr w:type="spellEnd"/>
            <w:r w:rsidRPr="00E3098D">
              <w:rPr>
                <w:rFonts w:ascii="Times New Roman" w:hAnsi="Times New Roman" w:cs="Times New Roman"/>
                <w:sz w:val="24"/>
                <w:szCs w:val="24"/>
              </w:rPr>
              <w:t xml:space="preserve"> proovi. Selleks tuleb ette näha  ~392106 eurot ilma </w:t>
            </w:r>
            <w:proofErr w:type="spellStart"/>
            <w:r w:rsidRPr="00E3098D">
              <w:rPr>
                <w:rFonts w:ascii="Times New Roman" w:hAnsi="Times New Roman" w:cs="Times New Roman"/>
                <w:sz w:val="24"/>
                <w:szCs w:val="24"/>
              </w:rPr>
              <w:t>sekveneerimiseta</w:t>
            </w:r>
            <w:proofErr w:type="spellEnd"/>
            <w:r w:rsidRPr="00E3098D">
              <w:rPr>
                <w:rFonts w:ascii="Times New Roman" w:hAnsi="Times New Roman" w:cs="Times New Roman"/>
                <w:sz w:val="24"/>
                <w:szCs w:val="24"/>
              </w:rPr>
              <w:t xml:space="preserve"> või 566826 eurot koos </w:t>
            </w:r>
            <w:proofErr w:type="spellStart"/>
            <w:r w:rsidRPr="00E3098D">
              <w:rPr>
                <w:rFonts w:ascii="Times New Roman" w:hAnsi="Times New Roman" w:cs="Times New Roman"/>
                <w:sz w:val="24"/>
                <w:szCs w:val="24"/>
              </w:rPr>
              <w:t>sekveneerimisega</w:t>
            </w:r>
            <w:proofErr w:type="spellEnd"/>
            <w:r w:rsidRPr="00E3098D">
              <w:rPr>
                <w:rFonts w:ascii="Times New Roman" w:hAnsi="Times New Roman" w:cs="Times New Roman"/>
                <w:sz w:val="24"/>
                <w:szCs w:val="24"/>
              </w:rPr>
              <w:t xml:space="preserve">. </w:t>
            </w:r>
          </w:p>
          <w:p w14:paraId="2F8244EC" w14:textId="77777777" w:rsidR="00E3098D" w:rsidRPr="00E3098D" w:rsidRDefault="00E3098D" w:rsidP="00E3098D">
            <w:pPr>
              <w:jc w:val="both"/>
              <w:rPr>
                <w:rFonts w:ascii="Times New Roman" w:hAnsi="Times New Roman" w:cs="Times New Roman"/>
                <w:sz w:val="24"/>
                <w:szCs w:val="24"/>
              </w:rPr>
            </w:pPr>
          </w:p>
          <w:p w14:paraId="339ADA44" w14:textId="77777777" w:rsidR="00E3098D" w:rsidRPr="00E3098D" w:rsidRDefault="00E3098D" w:rsidP="00E3098D">
            <w:pPr>
              <w:jc w:val="both"/>
              <w:rPr>
                <w:rFonts w:ascii="Times New Roman" w:hAnsi="Times New Roman" w:cs="Times New Roman"/>
                <w:sz w:val="24"/>
                <w:szCs w:val="24"/>
              </w:rPr>
            </w:pPr>
            <w:r w:rsidRPr="00E3098D">
              <w:rPr>
                <w:rFonts w:ascii="Times New Roman" w:hAnsi="Times New Roman" w:cs="Times New Roman"/>
                <w:sz w:val="24"/>
                <w:szCs w:val="24"/>
              </w:rPr>
              <w:t xml:space="preserve">Proovivõtt ~170000 eurot </w:t>
            </w:r>
          </w:p>
          <w:p w14:paraId="56B435F3" w14:textId="77777777" w:rsidR="00E3098D" w:rsidRPr="00E3098D" w:rsidRDefault="00E3098D" w:rsidP="00E3098D">
            <w:pPr>
              <w:jc w:val="both"/>
              <w:rPr>
                <w:rFonts w:ascii="Times New Roman" w:hAnsi="Times New Roman" w:cs="Times New Roman"/>
                <w:sz w:val="24"/>
                <w:szCs w:val="24"/>
              </w:rPr>
            </w:pPr>
            <w:proofErr w:type="spellStart"/>
            <w:r w:rsidRPr="00E3098D">
              <w:rPr>
                <w:rFonts w:ascii="Times New Roman" w:hAnsi="Times New Roman" w:cs="Times New Roman"/>
                <w:sz w:val="24"/>
                <w:szCs w:val="24"/>
              </w:rPr>
              <w:t>dPCR</w:t>
            </w:r>
            <w:proofErr w:type="spellEnd"/>
            <w:r w:rsidRPr="00E3098D">
              <w:rPr>
                <w:rFonts w:ascii="Times New Roman" w:hAnsi="Times New Roman" w:cs="Times New Roman"/>
                <w:sz w:val="24"/>
                <w:szCs w:val="24"/>
              </w:rPr>
              <w:t xml:space="preserve"> – 1 proovi hind 28,63 EUR + KM</w:t>
            </w:r>
          </w:p>
          <w:p w14:paraId="5A867D8C" w14:textId="77777777" w:rsidR="00E3098D" w:rsidRPr="00E3098D" w:rsidRDefault="00E3098D" w:rsidP="00E3098D">
            <w:pPr>
              <w:jc w:val="both"/>
              <w:rPr>
                <w:rFonts w:ascii="Times New Roman" w:hAnsi="Times New Roman" w:cs="Times New Roman"/>
                <w:sz w:val="24"/>
                <w:szCs w:val="24"/>
              </w:rPr>
            </w:pPr>
            <w:r w:rsidRPr="00E3098D">
              <w:rPr>
                <w:rFonts w:ascii="Times New Roman" w:hAnsi="Times New Roman" w:cs="Times New Roman"/>
                <w:sz w:val="24"/>
                <w:szCs w:val="24"/>
              </w:rPr>
              <w:t>1 aasta kogumaksumus: 35 proovi * 52 nädalat * 28,63= 52 106,6 EUR + KM</w:t>
            </w:r>
          </w:p>
          <w:p w14:paraId="748B4EA1" w14:textId="77777777" w:rsidR="00E3098D" w:rsidRPr="00E3098D" w:rsidRDefault="00E3098D" w:rsidP="00E3098D">
            <w:pPr>
              <w:jc w:val="both"/>
              <w:rPr>
                <w:rFonts w:ascii="Times New Roman" w:hAnsi="Times New Roman" w:cs="Times New Roman"/>
                <w:sz w:val="24"/>
                <w:szCs w:val="24"/>
              </w:rPr>
            </w:pPr>
            <w:proofErr w:type="spellStart"/>
            <w:r w:rsidRPr="00E3098D">
              <w:rPr>
                <w:rFonts w:ascii="Times New Roman" w:hAnsi="Times New Roman" w:cs="Times New Roman"/>
                <w:sz w:val="24"/>
                <w:szCs w:val="24"/>
              </w:rPr>
              <w:t>Sekveneerimine</w:t>
            </w:r>
            <w:proofErr w:type="spellEnd"/>
            <w:r w:rsidRPr="00E3098D">
              <w:rPr>
                <w:rFonts w:ascii="Times New Roman" w:hAnsi="Times New Roman" w:cs="Times New Roman"/>
                <w:sz w:val="24"/>
                <w:szCs w:val="24"/>
              </w:rPr>
              <w:t xml:space="preserve"> – 1 proovi hind 96,00 EUR + KM</w:t>
            </w:r>
          </w:p>
          <w:p w14:paraId="1F547079" w14:textId="77777777" w:rsidR="00E3098D" w:rsidRPr="00E3098D" w:rsidRDefault="00E3098D" w:rsidP="00E3098D">
            <w:pPr>
              <w:jc w:val="both"/>
              <w:rPr>
                <w:rFonts w:ascii="Times New Roman" w:hAnsi="Times New Roman" w:cs="Times New Roman"/>
                <w:sz w:val="24"/>
                <w:szCs w:val="24"/>
              </w:rPr>
            </w:pPr>
            <w:r w:rsidRPr="00E3098D">
              <w:rPr>
                <w:rFonts w:ascii="Times New Roman" w:hAnsi="Times New Roman" w:cs="Times New Roman"/>
                <w:sz w:val="24"/>
                <w:szCs w:val="24"/>
              </w:rPr>
              <w:t>1 aasta kogumaksumus: 35 proovi * 52 nädalat * 96 = 174 720,00 EUR + KM</w:t>
            </w:r>
          </w:p>
          <w:p w14:paraId="056BA0B6" w14:textId="77777777" w:rsidR="00E3098D" w:rsidRPr="00E3098D" w:rsidRDefault="00E3098D" w:rsidP="00E3098D">
            <w:pPr>
              <w:jc w:val="both"/>
              <w:rPr>
                <w:rFonts w:ascii="Times New Roman" w:hAnsi="Times New Roman" w:cs="Times New Roman"/>
                <w:sz w:val="24"/>
                <w:szCs w:val="24"/>
              </w:rPr>
            </w:pPr>
          </w:p>
          <w:p w14:paraId="0D0115ED" w14:textId="77777777" w:rsidR="00E3098D" w:rsidRPr="00E3098D" w:rsidRDefault="00E3098D" w:rsidP="00E3098D">
            <w:pPr>
              <w:jc w:val="both"/>
              <w:rPr>
                <w:rFonts w:ascii="Times New Roman" w:hAnsi="Times New Roman" w:cs="Times New Roman"/>
                <w:sz w:val="24"/>
                <w:szCs w:val="24"/>
              </w:rPr>
            </w:pPr>
            <w:r w:rsidRPr="00E3098D">
              <w:rPr>
                <w:rFonts w:ascii="Times New Roman" w:hAnsi="Times New Roman" w:cs="Times New Roman"/>
                <w:sz w:val="24"/>
                <w:szCs w:val="24"/>
              </w:rPr>
              <w:t xml:space="preserve">Kokkuvõttes - Terviseametil on olemas võimekus teostada kõik direktiiviga nõutud analüüsid reovees, kuid lahendamist vajab finantseerimise küsimus ja seega ka teenuse jätkusuutlikkus koos Keskkonnaministeeriumiga.  </w:t>
            </w:r>
          </w:p>
          <w:p w14:paraId="7DB2D439" w14:textId="77777777" w:rsidR="00E3098D" w:rsidRPr="00E3098D" w:rsidRDefault="00E3098D" w:rsidP="00E3098D">
            <w:pPr>
              <w:jc w:val="both"/>
              <w:rPr>
                <w:rFonts w:ascii="Times New Roman" w:hAnsi="Times New Roman" w:cs="Times New Roman"/>
                <w:sz w:val="24"/>
                <w:szCs w:val="24"/>
              </w:rPr>
            </w:pPr>
          </w:p>
          <w:p w14:paraId="50849893" w14:textId="77777777" w:rsidR="00E3098D" w:rsidRPr="00E3098D" w:rsidRDefault="00E3098D" w:rsidP="00E3098D">
            <w:pPr>
              <w:jc w:val="both"/>
              <w:rPr>
                <w:rFonts w:ascii="Times New Roman" w:hAnsi="Times New Roman" w:cs="Times New Roman"/>
                <w:sz w:val="24"/>
                <w:szCs w:val="24"/>
              </w:rPr>
            </w:pPr>
            <w:r w:rsidRPr="00E3098D">
              <w:rPr>
                <w:rFonts w:ascii="Times New Roman" w:hAnsi="Times New Roman" w:cs="Times New Roman"/>
                <w:sz w:val="24"/>
                <w:szCs w:val="24"/>
              </w:rPr>
              <w:t>2)</w:t>
            </w:r>
            <w:r w:rsidRPr="00E3098D">
              <w:rPr>
                <w:rFonts w:ascii="Times New Roman" w:hAnsi="Times New Roman" w:cs="Times New Roman"/>
                <w:sz w:val="24"/>
                <w:szCs w:val="24"/>
              </w:rPr>
              <w:tab/>
              <w:t xml:space="preserve">UWWT direktiivi artikkel 18 „Risk </w:t>
            </w:r>
            <w:proofErr w:type="spellStart"/>
            <w:r w:rsidRPr="00E3098D">
              <w:rPr>
                <w:rFonts w:ascii="Times New Roman" w:hAnsi="Times New Roman" w:cs="Times New Roman"/>
                <w:sz w:val="24"/>
                <w:szCs w:val="24"/>
              </w:rPr>
              <w:t>assessment</w:t>
            </w:r>
            <w:proofErr w:type="spellEnd"/>
            <w:r w:rsidRPr="00E3098D">
              <w:rPr>
                <w:rFonts w:ascii="Times New Roman" w:hAnsi="Times New Roman" w:cs="Times New Roman"/>
                <w:sz w:val="24"/>
                <w:szCs w:val="24"/>
              </w:rPr>
              <w:t xml:space="preserve"> and </w:t>
            </w:r>
            <w:proofErr w:type="spellStart"/>
            <w:r w:rsidRPr="00E3098D">
              <w:rPr>
                <w:rFonts w:ascii="Times New Roman" w:hAnsi="Times New Roman" w:cs="Times New Roman"/>
                <w:sz w:val="24"/>
                <w:szCs w:val="24"/>
              </w:rPr>
              <w:t>management</w:t>
            </w:r>
            <w:proofErr w:type="spellEnd"/>
            <w:r w:rsidRPr="00E3098D">
              <w:rPr>
                <w:rFonts w:ascii="Times New Roman" w:hAnsi="Times New Roman" w:cs="Times New Roman"/>
                <w:sz w:val="24"/>
                <w:szCs w:val="24"/>
              </w:rPr>
              <w:t>“</w:t>
            </w:r>
          </w:p>
          <w:p w14:paraId="09DE21A3" w14:textId="77777777" w:rsidR="00E3098D" w:rsidRPr="00E3098D" w:rsidRDefault="00E3098D" w:rsidP="00E3098D">
            <w:pPr>
              <w:jc w:val="both"/>
              <w:rPr>
                <w:rFonts w:ascii="Times New Roman" w:hAnsi="Times New Roman" w:cs="Times New Roman"/>
                <w:sz w:val="24"/>
                <w:szCs w:val="24"/>
              </w:rPr>
            </w:pPr>
            <w:r w:rsidRPr="00E3098D">
              <w:rPr>
                <w:rFonts w:ascii="Times New Roman" w:hAnsi="Times New Roman" w:cs="Times New Roman"/>
                <w:sz w:val="24"/>
                <w:szCs w:val="24"/>
              </w:rPr>
              <w:t xml:space="preserve">See on uus artikkel UWWT direktiivis, mis kohustab liikmesriike hindama reoveest tulenevaid riske keskkonnale ja inimese tervisele. Artikli kohaselt peavad muu hulgas olema riskid hinnatud: </w:t>
            </w:r>
          </w:p>
          <w:p w14:paraId="29BD22B6" w14:textId="77777777" w:rsidR="00E3098D" w:rsidRPr="00E3098D" w:rsidRDefault="00E3098D" w:rsidP="00E3098D">
            <w:pPr>
              <w:jc w:val="both"/>
              <w:rPr>
                <w:rFonts w:ascii="Times New Roman" w:hAnsi="Times New Roman" w:cs="Times New Roman"/>
                <w:sz w:val="24"/>
                <w:szCs w:val="24"/>
              </w:rPr>
            </w:pPr>
            <w:r w:rsidRPr="00E3098D">
              <w:rPr>
                <w:rFonts w:ascii="Times New Roman" w:hAnsi="Times New Roman" w:cs="Times New Roman"/>
                <w:sz w:val="24"/>
                <w:szCs w:val="24"/>
              </w:rPr>
              <w:t>a)</w:t>
            </w:r>
            <w:r w:rsidRPr="00E3098D">
              <w:rPr>
                <w:rFonts w:ascii="Times New Roman" w:hAnsi="Times New Roman" w:cs="Times New Roman"/>
                <w:sz w:val="24"/>
                <w:szCs w:val="24"/>
              </w:rPr>
              <w:tab/>
              <w:t xml:space="preserve">Joogivee allikatena kasutatavate veekogude vee kvaliteet joogivee direktiivi (2020/2184(EL) artikli 2 punktis 1 määratletud tähenduses </w:t>
            </w:r>
          </w:p>
          <w:p w14:paraId="57E9784F" w14:textId="77777777" w:rsidR="00E3098D" w:rsidRPr="00E3098D" w:rsidRDefault="00E3098D" w:rsidP="00E3098D">
            <w:pPr>
              <w:jc w:val="both"/>
              <w:rPr>
                <w:rFonts w:ascii="Times New Roman" w:hAnsi="Times New Roman" w:cs="Times New Roman"/>
                <w:sz w:val="24"/>
                <w:szCs w:val="24"/>
              </w:rPr>
            </w:pPr>
            <w:r w:rsidRPr="00E3098D">
              <w:rPr>
                <w:rFonts w:ascii="Times New Roman" w:hAnsi="Times New Roman" w:cs="Times New Roman"/>
                <w:sz w:val="24"/>
                <w:szCs w:val="24"/>
              </w:rPr>
              <w:t>b)</w:t>
            </w:r>
            <w:r w:rsidRPr="00E3098D">
              <w:rPr>
                <w:rFonts w:ascii="Times New Roman" w:hAnsi="Times New Roman" w:cs="Times New Roman"/>
                <w:sz w:val="24"/>
                <w:szCs w:val="24"/>
              </w:rPr>
              <w:tab/>
              <w:t xml:space="preserve">direktiivi 2006/7/EÜ reguleerimisalasse kuuluva suplusvee kvaliteet </w:t>
            </w:r>
          </w:p>
          <w:p w14:paraId="32B94086" w14:textId="77777777" w:rsidR="00E3098D" w:rsidRPr="00E3098D" w:rsidRDefault="00E3098D" w:rsidP="00E3098D">
            <w:pPr>
              <w:jc w:val="both"/>
              <w:rPr>
                <w:rFonts w:ascii="Times New Roman" w:hAnsi="Times New Roman" w:cs="Times New Roman"/>
                <w:sz w:val="24"/>
                <w:szCs w:val="24"/>
              </w:rPr>
            </w:pPr>
            <w:r w:rsidRPr="00E3098D">
              <w:rPr>
                <w:rFonts w:ascii="Times New Roman" w:hAnsi="Times New Roman" w:cs="Times New Roman"/>
                <w:sz w:val="24"/>
                <w:szCs w:val="24"/>
              </w:rPr>
              <w:t xml:space="preserve">Tähelepanu tuleb pöörata, et joogivee direktiivi artikkel 8 kohaselt peab samuti olema tehtud joogivee veevõtukohtade valgalade riskihindamine ja riskijuhtimine. Riskihinnang peab muu hulgas sisaldama veevõtukohtade valgalade ohtude ja ohtlike olukordade kindlakstegemist ning nende poolt olmevee kvaliteedile mõjuvat võimaliku riski hindamist; hindamise käigus hinnatakse võimalikke riske, mis võivad põhjustada vee kvaliteedi halvenemist sel määral, et see võib kujutada ohtu inimeste tervisele. Sünergia loomine kahe direktiivi vahel on oluline, aga selgeks tuleb teha, mis on sisulised erinevused UWWT ja joogivee direktiivide vastavate kohustuste vahel (mis puudutab riskide hindamist). Tähelepanu tuleb pöörata veel asjaolule, et UWWT eelnõu artikkel 18 lõike 3 kohaselt tuleb riskid tuvastada ja üle vaadata iga 5 aasta tagant. Joogivee direktiivi kohaselt tuleb aga riske hinnata ja juhtida 6 aasta tagant. Kas UWWT artikkel 18 lõikes 3 sätestatud riskihindamise ajakohastamise tähtaja eesmärk on, et UWWT raames riskid oleks hinnatud varem, et neid oleks võimalik arvesse võtta joogivee direktiivi skoobi all tehtud riskihinnangutes? </w:t>
            </w:r>
          </w:p>
          <w:p w14:paraId="07ED15A5" w14:textId="77777777" w:rsidR="00E3098D" w:rsidRPr="00E3098D" w:rsidRDefault="00E3098D" w:rsidP="00E3098D">
            <w:pPr>
              <w:jc w:val="both"/>
              <w:rPr>
                <w:rFonts w:ascii="Times New Roman" w:hAnsi="Times New Roman" w:cs="Times New Roman"/>
                <w:sz w:val="24"/>
                <w:szCs w:val="24"/>
              </w:rPr>
            </w:pPr>
          </w:p>
          <w:p w14:paraId="2D6420ED" w14:textId="77777777" w:rsidR="00E3098D" w:rsidRPr="00E3098D" w:rsidRDefault="00E3098D" w:rsidP="00E3098D">
            <w:pPr>
              <w:jc w:val="both"/>
              <w:rPr>
                <w:rFonts w:ascii="Times New Roman" w:hAnsi="Times New Roman" w:cs="Times New Roman"/>
                <w:sz w:val="24"/>
                <w:szCs w:val="24"/>
              </w:rPr>
            </w:pPr>
            <w:r w:rsidRPr="00E3098D">
              <w:rPr>
                <w:rFonts w:ascii="Times New Roman" w:hAnsi="Times New Roman" w:cs="Times New Roman"/>
                <w:sz w:val="24"/>
                <w:szCs w:val="24"/>
              </w:rPr>
              <w:lastRenderedPageBreak/>
              <w:t xml:space="preserve">Samuti suplusvee profiilide koostamisel toimub muuhulgas ka suplusveekogu ja </w:t>
            </w:r>
            <w:proofErr w:type="spellStart"/>
            <w:r w:rsidRPr="00E3098D">
              <w:rPr>
                <w:rFonts w:ascii="Times New Roman" w:hAnsi="Times New Roman" w:cs="Times New Roman"/>
                <w:sz w:val="24"/>
                <w:szCs w:val="24"/>
              </w:rPr>
              <w:t>suplejate</w:t>
            </w:r>
            <w:proofErr w:type="spellEnd"/>
            <w:r w:rsidRPr="00E3098D">
              <w:rPr>
                <w:rFonts w:ascii="Times New Roman" w:hAnsi="Times New Roman" w:cs="Times New Roman"/>
                <w:sz w:val="24"/>
                <w:szCs w:val="24"/>
              </w:rPr>
              <w:t xml:space="preserve"> tervist mõjutada võivate reostuse põhjuste kindlakstegemine ja hindamine. </w:t>
            </w:r>
          </w:p>
          <w:p w14:paraId="754FF099" w14:textId="77777777" w:rsidR="00E3098D" w:rsidRPr="00E3098D" w:rsidRDefault="00E3098D" w:rsidP="00E3098D">
            <w:pPr>
              <w:jc w:val="both"/>
              <w:rPr>
                <w:rFonts w:ascii="Times New Roman" w:hAnsi="Times New Roman" w:cs="Times New Roman"/>
                <w:sz w:val="24"/>
                <w:szCs w:val="24"/>
              </w:rPr>
            </w:pPr>
            <w:r w:rsidRPr="00E3098D">
              <w:rPr>
                <w:rFonts w:ascii="Times New Roman" w:hAnsi="Times New Roman" w:cs="Times New Roman"/>
                <w:sz w:val="24"/>
                <w:szCs w:val="24"/>
              </w:rPr>
              <w:t>Seoses sellega jääb ebaselgeks, kas UWWTD artikkel 18 näeb ette veel täiendava toimingu või see võib olla tehtud olmevee veevõtukohtade valgala riskihindamise või suplusvee profiili koostamise raames.</w:t>
            </w:r>
          </w:p>
          <w:p w14:paraId="16CE08E2" w14:textId="77777777" w:rsidR="00E3098D" w:rsidRPr="00E3098D" w:rsidRDefault="00E3098D" w:rsidP="00E3098D">
            <w:pPr>
              <w:jc w:val="both"/>
              <w:rPr>
                <w:rFonts w:ascii="Times New Roman" w:hAnsi="Times New Roman" w:cs="Times New Roman"/>
                <w:sz w:val="24"/>
                <w:szCs w:val="24"/>
              </w:rPr>
            </w:pPr>
          </w:p>
          <w:p w14:paraId="79377DC5" w14:textId="77777777" w:rsidR="00E3098D" w:rsidRPr="00E3098D" w:rsidRDefault="00E3098D" w:rsidP="00E3098D">
            <w:pPr>
              <w:jc w:val="both"/>
              <w:rPr>
                <w:rFonts w:ascii="Times New Roman" w:hAnsi="Times New Roman" w:cs="Times New Roman"/>
                <w:sz w:val="24"/>
                <w:szCs w:val="24"/>
              </w:rPr>
            </w:pPr>
            <w:r w:rsidRPr="00E3098D">
              <w:rPr>
                <w:rFonts w:ascii="Times New Roman" w:hAnsi="Times New Roman" w:cs="Times New Roman"/>
                <w:sz w:val="24"/>
                <w:szCs w:val="24"/>
              </w:rPr>
              <w:t>3)</w:t>
            </w:r>
            <w:r w:rsidRPr="00E3098D">
              <w:rPr>
                <w:rFonts w:ascii="Times New Roman" w:hAnsi="Times New Roman" w:cs="Times New Roman"/>
                <w:sz w:val="24"/>
                <w:szCs w:val="24"/>
              </w:rPr>
              <w:tab/>
              <w:t xml:space="preserve">UWWT direktiivi artikkel 19 „Juurdepääs kanalisatsioonile“ . </w:t>
            </w:r>
          </w:p>
          <w:p w14:paraId="60E0ED32" w14:textId="77777777" w:rsidR="00E3098D" w:rsidRPr="00E3098D" w:rsidRDefault="00E3098D" w:rsidP="00E3098D">
            <w:pPr>
              <w:jc w:val="both"/>
              <w:rPr>
                <w:rFonts w:ascii="Times New Roman" w:hAnsi="Times New Roman" w:cs="Times New Roman"/>
                <w:sz w:val="24"/>
                <w:szCs w:val="24"/>
              </w:rPr>
            </w:pPr>
            <w:r w:rsidRPr="00E3098D">
              <w:rPr>
                <w:rFonts w:ascii="Times New Roman" w:hAnsi="Times New Roman" w:cs="Times New Roman"/>
                <w:sz w:val="24"/>
                <w:szCs w:val="24"/>
              </w:rPr>
              <w:t>Artiklis sätestatakse, et liikmesriigid võtavad kõik vajalikud meetmed, et parandada kõigi juurdepääsu sanitaarteenustele, eriti haavatavate ja marginaliseeritud rühmade jaoks.</w:t>
            </w:r>
          </w:p>
          <w:p w14:paraId="2FF8701B" w14:textId="77777777" w:rsidR="00E3098D" w:rsidRPr="00E3098D" w:rsidRDefault="00E3098D" w:rsidP="00E3098D">
            <w:pPr>
              <w:jc w:val="both"/>
              <w:rPr>
                <w:rFonts w:ascii="Times New Roman" w:hAnsi="Times New Roman" w:cs="Times New Roman"/>
                <w:sz w:val="24"/>
                <w:szCs w:val="24"/>
              </w:rPr>
            </w:pPr>
            <w:r w:rsidRPr="00E3098D">
              <w:rPr>
                <w:rFonts w:ascii="Times New Roman" w:hAnsi="Times New Roman" w:cs="Times New Roman"/>
                <w:sz w:val="24"/>
                <w:szCs w:val="24"/>
              </w:rPr>
              <w:t>Selleks tuleb liikmesriikidel 31. detsembriks 2027:</w:t>
            </w:r>
          </w:p>
          <w:p w14:paraId="68F18696" w14:textId="77777777" w:rsidR="00E3098D" w:rsidRPr="00E3098D" w:rsidRDefault="00E3098D" w:rsidP="00E3098D">
            <w:pPr>
              <w:jc w:val="both"/>
              <w:rPr>
                <w:rFonts w:ascii="Times New Roman" w:hAnsi="Times New Roman" w:cs="Times New Roman"/>
                <w:sz w:val="24"/>
                <w:szCs w:val="24"/>
              </w:rPr>
            </w:pPr>
            <w:r w:rsidRPr="00E3098D">
              <w:rPr>
                <w:rFonts w:ascii="Times New Roman" w:hAnsi="Times New Roman" w:cs="Times New Roman"/>
                <w:sz w:val="24"/>
                <w:szCs w:val="24"/>
              </w:rPr>
              <w:t>a) tuvastada inimeste kategooriad, kellel puudub juurdepääs või kellel on juurdepääs piiratud</w:t>
            </w:r>
          </w:p>
          <w:p w14:paraId="14C50CF9" w14:textId="77777777" w:rsidR="00E3098D" w:rsidRPr="00E3098D" w:rsidRDefault="00E3098D" w:rsidP="00E3098D">
            <w:pPr>
              <w:jc w:val="both"/>
              <w:rPr>
                <w:rFonts w:ascii="Times New Roman" w:hAnsi="Times New Roman" w:cs="Times New Roman"/>
                <w:sz w:val="24"/>
                <w:szCs w:val="24"/>
              </w:rPr>
            </w:pPr>
            <w:r w:rsidRPr="00E3098D">
              <w:rPr>
                <w:rFonts w:ascii="Times New Roman" w:hAnsi="Times New Roman" w:cs="Times New Roman"/>
                <w:sz w:val="24"/>
                <w:szCs w:val="24"/>
              </w:rPr>
              <w:t xml:space="preserve">sanitaar-tehnilistele seadmetele, sealhulgas haavatavad ja marginaliseeritud rühmad, </w:t>
            </w:r>
          </w:p>
          <w:p w14:paraId="668F762F" w14:textId="77777777" w:rsidR="00E3098D" w:rsidRPr="00E3098D" w:rsidRDefault="00E3098D" w:rsidP="00E3098D">
            <w:pPr>
              <w:jc w:val="both"/>
              <w:rPr>
                <w:rFonts w:ascii="Times New Roman" w:hAnsi="Times New Roman" w:cs="Times New Roman"/>
                <w:sz w:val="24"/>
                <w:szCs w:val="24"/>
              </w:rPr>
            </w:pPr>
            <w:r w:rsidRPr="00E3098D">
              <w:rPr>
                <w:rFonts w:ascii="Times New Roman" w:hAnsi="Times New Roman" w:cs="Times New Roman"/>
                <w:sz w:val="24"/>
                <w:szCs w:val="24"/>
              </w:rPr>
              <w:t xml:space="preserve">b) hinnata võimalusi parandada juurdepääsu sanitaarseadmetele punktis a) mainitud inimeste kategooriatele. </w:t>
            </w:r>
          </w:p>
          <w:p w14:paraId="28B5DF17" w14:textId="77777777" w:rsidR="00E3098D" w:rsidRPr="00E3098D" w:rsidRDefault="00E3098D" w:rsidP="00E3098D">
            <w:pPr>
              <w:jc w:val="both"/>
              <w:rPr>
                <w:rFonts w:ascii="Times New Roman" w:hAnsi="Times New Roman" w:cs="Times New Roman"/>
                <w:sz w:val="24"/>
                <w:szCs w:val="24"/>
              </w:rPr>
            </w:pPr>
            <w:r w:rsidRPr="00E3098D">
              <w:rPr>
                <w:rFonts w:ascii="Times New Roman" w:hAnsi="Times New Roman" w:cs="Times New Roman"/>
                <w:sz w:val="24"/>
                <w:szCs w:val="24"/>
              </w:rPr>
              <w:t xml:space="preserve">c) kõigi 10 000 </w:t>
            </w:r>
            <w:proofErr w:type="spellStart"/>
            <w:r w:rsidRPr="00E3098D">
              <w:rPr>
                <w:rFonts w:ascii="Times New Roman" w:hAnsi="Times New Roman" w:cs="Times New Roman"/>
                <w:sz w:val="24"/>
                <w:szCs w:val="24"/>
              </w:rPr>
              <w:t>ie</w:t>
            </w:r>
            <w:proofErr w:type="spellEnd"/>
            <w:r w:rsidRPr="00E3098D">
              <w:rPr>
                <w:rFonts w:ascii="Times New Roman" w:hAnsi="Times New Roman" w:cs="Times New Roman"/>
                <w:sz w:val="24"/>
                <w:szCs w:val="24"/>
              </w:rPr>
              <w:t xml:space="preserve"> ja suurema arvuga linnastute puhul soodustada piisava arvu tasuta sanitaarseadmete olemasolu avalikes kohtades.</w:t>
            </w:r>
          </w:p>
          <w:p w14:paraId="643C2C0D" w14:textId="77777777" w:rsidR="00E3098D" w:rsidRPr="00E3098D" w:rsidRDefault="00E3098D" w:rsidP="00E3098D">
            <w:pPr>
              <w:jc w:val="both"/>
              <w:rPr>
                <w:rFonts w:ascii="Times New Roman" w:hAnsi="Times New Roman" w:cs="Times New Roman"/>
                <w:sz w:val="24"/>
                <w:szCs w:val="24"/>
              </w:rPr>
            </w:pPr>
          </w:p>
          <w:p w14:paraId="7372DF7D" w14:textId="77777777" w:rsidR="00E3098D" w:rsidRPr="00E3098D" w:rsidRDefault="00E3098D" w:rsidP="00E3098D">
            <w:pPr>
              <w:jc w:val="both"/>
              <w:rPr>
                <w:rFonts w:ascii="Times New Roman" w:hAnsi="Times New Roman" w:cs="Times New Roman"/>
                <w:sz w:val="24"/>
                <w:szCs w:val="24"/>
              </w:rPr>
            </w:pPr>
            <w:r w:rsidRPr="00E3098D">
              <w:rPr>
                <w:rFonts w:ascii="Times New Roman" w:hAnsi="Times New Roman" w:cs="Times New Roman"/>
                <w:sz w:val="24"/>
                <w:szCs w:val="24"/>
              </w:rPr>
              <w:t xml:space="preserve">Artikkel 19 on kooskõlas mitmete rahvusvaheliste dokumentidega (sh WHO sanitaar- ja tervishoiu soovitustega ja Vee- ja Tervise Protokolli sätetega. Riiklikul tasandil tuleb parandada juurdepääsu kanalisatsioonile, rajada ühiskondlikud sanitaarrajatised avalikes hoonetes, muuhulgas peavad sanitaarrajatised (WC-d) olema kas tasuta või taskukohased. </w:t>
            </w:r>
          </w:p>
          <w:p w14:paraId="18F4A66A" w14:textId="77777777" w:rsidR="00E3098D" w:rsidRPr="00E3098D" w:rsidRDefault="00E3098D" w:rsidP="00E3098D">
            <w:pPr>
              <w:jc w:val="both"/>
              <w:rPr>
                <w:rFonts w:ascii="Times New Roman" w:hAnsi="Times New Roman" w:cs="Times New Roman"/>
                <w:sz w:val="24"/>
                <w:szCs w:val="24"/>
              </w:rPr>
            </w:pPr>
            <w:r w:rsidRPr="00E3098D">
              <w:rPr>
                <w:rFonts w:ascii="Times New Roman" w:hAnsi="Times New Roman" w:cs="Times New Roman"/>
                <w:sz w:val="24"/>
                <w:szCs w:val="24"/>
              </w:rPr>
              <w:t xml:space="preserve">Analoogne artikkel (16) on olemas joogivee direktiivis. Nimelt joogivee direktiivi art 16 sätestab, et liikmesriigid peavad parandama juurdepääsu joogiveele kõikidele, sh kaitsetutele ja tõrjutud rühmadele. Joogivee direktiivi ülevõtmise menetluse käigus selgus, et tuleb täpsemini selgitada, mida  soovitatakse saavutada ja missugused ootused ja kohustused tulevad </w:t>
            </w:r>
            <w:proofErr w:type="spellStart"/>
            <w:r w:rsidRPr="00E3098D">
              <w:rPr>
                <w:rFonts w:ascii="Times New Roman" w:hAnsi="Times New Roman" w:cs="Times New Roman"/>
                <w:sz w:val="24"/>
                <w:szCs w:val="24"/>
              </w:rPr>
              <w:t>KOV-dele</w:t>
            </w:r>
            <w:proofErr w:type="spellEnd"/>
            <w:r w:rsidRPr="00E3098D">
              <w:rPr>
                <w:rFonts w:ascii="Times New Roman" w:hAnsi="Times New Roman" w:cs="Times New Roman"/>
                <w:sz w:val="24"/>
                <w:szCs w:val="24"/>
              </w:rPr>
              <w:t xml:space="preserve"> ja vee-</w:t>
            </w:r>
            <w:r w:rsidRPr="00E3098D">
              <w:rPr>
                <w:rFonts w:ascii="Times New Roman" w:hAnsi="Times New Roman" w:cs="Times New Roman"/>
                <w:sz w:val="24"/>
                <w:szCs w:val="24"/>
              </w:rPr>
              <w:lastRenderedPageBreak/>
              <w:t xml:space="preserve">ettevõtetele. </w:t>
            </w:r>
            <w:proofErr w:type="spellStart"/>
            <w:r w:rsidRPr="00E3098D">
              <w:rPr>
                <w:rFonts w:ascii="Times New Roman" w:hAnsi="Times New Roman" w:cs="Times New Roman"/>
                <w:sz w:val="24"/>
                <w:szCs w:val="24"/>
              </w:rPr>
              <w:t>KOV-ide</w:t>
            </w:r>
            <w:proofErr w:type="spellEnd"/>
            <w:r w:rsidRPr="00E3098D">
              <w:rPr>
                <w:rFonts w:ascii="Times New Roman" w:hAnsi="Times New Roman" w:cs="Times New Roman"/>
                <w:sz w:val="24"/>
                <w:szCs w:val="24"/>
              </w:rPr>
              <w:t xml:space="preserve"> ja vee-ettevõtete poolt on tulnud  tagasiside, et ebamäärane sõnastus võib edaspidi kutsuda esile probleemid tõlgendamisega. Näiteks tekib küsimus, kas iga kinnistu kanalisatsioon tuleb tagada ja kelle kulul. Rahvatervise aspektist on meede väga tervitatav ja positiivne, kuid tuleb arvestada vajadusega teha selgitustööd </w:t>
            </w:r>
            <w:proofErr w:type="spellStart"/>
            <w:r w:rsidRPr="00E3098D">
              <w:rPr>
                <w:rFonts w:ascii="Times New Roman" w:hAnsi="Times New Roman" w:cs="Times New Roman"/>
                <w:sz w:val="24"/>
                <w:szCs w:val="24"/>
              </w:rPr>
              <w:t>KOV-de</w:t>
            </w:r>
            <w:proofErr w:type="spellEnd"/>
            <w:r w:rsidRPr="00E3098D">
              <w:rPr>
                <w:rFonts w:ascii="Times New Roman" w:hAnsi="Times New Roman" w:cs="Times New Roman"/>
                <w:sz w:val="24"/>
                <w:szCs w:val="24"/>
              </w:rPr>
              <w:t xml:space="preserve"> ja  vee- ettevõtetega. </w:t>
            </w:r>
            <w:proofErr w:type="spellStart"/>
            <w:r w:rsidRPr="00E3098D">
              <w:rPr>
                <w:rFonts w:ascii="Times New Roman" w:hAnsi="Times New Roman" w:cs="Times New Roman"/>
                <w:sz w:val="24"/>
                <w:szCs w:val="24"/>
              </w:rPr>
              <w:t>KOV-del</w:t>
            </w:r>
            <w:proofErr w:type="spellEnd"/>
            <w:r w:rsidRPr="00E3098D">
              <w:rPr>
                <w:rFonts w:ascii="Times New Roman" w:hAnsi="Times New Roman" w:cs="Times New Roman"/>
                <w:sz w:val="24"/>
                <w:szCs w:val="24"/>
              </w:rPr>
              <w:t xml:space="preserve"> tuleb siiski arvestada vajadusega kaardistada olukorda oma territooriumil ja planeerida vajalikud investeeringud. </w:t>
            </w:r>
          </w:p>
          <w:p w14:paraId="7CA0E87A" w14:textId="77777777" w:rsidR="00E3098D" w:rsidRPr="00E3098D" w:rsidRDefault="00E3098D" w:rsidP="00E3098D">
            <w:pPr>
              <w:jc w:val="both"/>
              <w:rPr>
                <w:rFonts w:ascii="Times New Roman" w:hAnsi="Times New Roman" w:cs="Times New Roman"/>
                <w:sz w:val="24"/>
                <w:szCs w:val="24"/>
              </w:rPr>
            </w:pPr>
          </w:p>
          <w:p w14:paraId="44038476" w14:textId="77777777" w:rsidR="00E3098D" w:rsidRPr="00E3098D" w:rsidRDefault="00E3098D" w:rsidP="00E3098D">
            <w:pPr>
              <w:jc w:val="both"/>
              <w:rPr>
                <w:rFonts w:ascii="Times New Roman" w:hAnsi="Times New Roman" w:cs="Times New Roman"/>
                <w:sz w:val="24"/>
                <w:szCs w:val="24"/>
              </w:rPr>
            </w:pPr>
            <w:r w:rsidRPr="00E3098D">
              <w:rPr>
                <w:rFonts w:ascii="Times New Roman" w:hAnsi="Times New Roman" w:cs="Times New Roman"/>
                <w:sz w:val="24"/>
                <w:szCs w:val="24"/>
              </w:rPr>
              <w:t>2.</w:t>
            </w:r>
            <w:r w:rsidRPr="00E3098D">
              <w:rPr>
                <w:rFonts w:ascii="Times New Roman" w:hAnsi="Times New Roman" w:cs="Times New Roman"/>
                <w:sz w:val="24"/>
                <w:szCs w:val="24"/>
              </w:rPr>
              <w:tab/>
              <w:t xml:space="preserve">DIRECTIVE OF THE EUROPEAN PARLIAMENT AND OF THE COUNCIL </w:t>
            </w:r>
            <w:proofErr w:type="spellStart"/>
            <w:r w:rsidRPr="00E3098D">
              <w:rPr>
                <w:rFonts w:ascii="Times New Roman" w:hAnsi="Times New Roman" w:cs="Times New Roman"/>
                <w:sz w:val="24"/>
                <w:szCs w:val="24"/>
              </w:rPr>
              <w:t>amending</w:t>
            </w:r>
            <w:proofErr w:type="spellEnd"/>
            <w:r w:rsidRPr="00E3098D">
              <w:rPr>
                <w:rFonts w:ascii="Times New Roman" w:hAnsi="Times New Roman" w:cs="Times New Roman"/>
                <w:sz w:val="24"/>
                <w:szCs w:val="24"/>
              </w:rPr>
              <w:t xml:space="preserve"> </w:t>
            </w:r>
            <w:proofErr w:type="spellStart"/>
            <w:r w:rsidRPr="00E3098D">
              <w:rPr>
                <w:rFonts w:ascii="Times New Roman" w:hAnsi="Times New Roman" w:cs="Times New Roman"/>
                <w:sz w:val="24"/>
                <w:szCs w:val="24"/>
              </w:rPr>
              <w:t>Directive</w:t>
            </w:r>
            <w:proofErr w:type="spellEnd"/>
            <w:r w:rsidRPr="00E3098D">
              <w:rPr>
                <w:rFonts w:ascii="Times New Roman" w:hAnsi="Times New Roman" w:cs="Times New Roman"/>
                <w:sz w:val="24"/>
                <w:szCs w:val="24"/>
              </w:rPr>
              <w:t xml:space="preserve"> 2000/60/EC </w:t>
            </w:r>
            <w:proofErr w:type="spellStart"/>
            <w:r w:rsidRPr="00E3098D">
              <w:rPr>
                <w:rFonts w:ascii="Times New Roman" w:hAnsi="Times New Roman" w:cs="Times New Roman"/>
                <w:sz w:val="24"/>
                <w:szCs w:val="24"/>
              </w:rPr>
              <w:t>establishing</w:t>
            </w:r>
            <w:proofErr w:type="spellEnd"/>
            <w:r w:rsidRPr="00E3098D">
              <w:rPr>
                <w:rFonts w:ascii="Times New Roman" w:hAnsi="Times New Roman" w:cs="Times New Roman"/>
                <w:sz w:val="24"/>
                <w:szCs w:val="24"/>
              </w:rPr>
              <w:t xml:space="preserve"> a </w:t>
            </w:r>
            <w:proofErr w:type="spellStart"/>
            <w:r w:rsidRPr="00E3098D">
              <w:rPr>
                <w:rFonts w:ascii="Times New Roman" w:hAnsi="Times New Roman" w:cs="Times New Roman"/>
                <w:sz w:val="24"/>
                <w:szCs w:val="24"/>
              </w:rPr>
              <w:t>framework</w:t>
            </w:r>
            <w:proofErr w:type="spellEnd"/>
            <w:r w:rsidRPr="00E3098D">
              <w:rPr>
                <w:rFonts w:ascii="Times New Roman" w:hAnsi="Times New Roman" w:cs="Times New Roman"/>
                <w:sz w:val="24"/>
                <w:szCs w:val="24"/>
              </w:rPr>
              <w:t xml:space="preserve"> </w:t>
            </w:r>
            <w:proofErr w:type="spellStart"/>
            <w:r w:rsidRPr="00E3098D">
              <w:rPr>
                <w:rFonts w:ascii="Times New Roman" w:hAnsi="Times New Roman" w:cs="Times New Roman"/>
                <w:sz w:val="24"/>
                <w:szCs w:val="24"/>
              </w:rPr>
              <w:t>for</w:t>
            </w:r>
            <w:proofErr w:type="spellEnd"/>
            <w:r w:rsidRPr="00E3098D">
              <w:rPr>
                <w:rFonts w:ascii="Times New Roman" w:hAnsi="Times New Roman" w:cs="Times New Roman"/>
                <w:sz w:val="24"/>
                <w:szCs w:val="24"/>
              </w:rPr>
              <w:t xml:space="preserve"> Community </w:t>
            </w:r>
            <w:proofErr w:type="spellStart"/>
            <w:r w:rsidRPr="00E3098D">
              <w:rPr>
                <w:rFonts w:ascii="Times New Roman" w:hAnsi="Times New Roman" w:cs="Times New Roman"/>
                <w:sz w:val="24"/>
                <w:szCs w:val="24"/>
              </w:rPr>
              <w:t>action</w:t>
            </w:r>
            <w:proofErr w:type="spellEnd"/>
            <w:r w:rsidRPr="00E3098D">
              <w:rPr>
                <w:rFonts w:ascii="Times New Roman" w:hAnsi="Times New Roman" w:cs="Times New Roman"/>
                <w:sz w:val="24"/>
                <w:szCs w:val="24"/>
              </w:rPr>
              <w:t xml:space="preserve"> in </w:t>
            </w:r>
            <w:proofErr w:type="spellStart"/>
            <w:r w:rsidRPr="00E3098D">
              <w:rPr>
                <w:rFonts w:ascii="Times New Roman" w:hAnsi="Times New Roman" w:cs="Times New Roman"/>
                <w:sz w:val="24"/>
                <w:szCs w:val="24"/>
              </w:rPr>
              <w:t>the</w:t>
            </w:r>
            <w:proofErr w:type="spellEnd"/>
            <w:r w:rsidRPr="00E3098D">
              <w:rPr>
                <w:rFonts w:ascii="Times New Roman" w:hAnsi="Times New Roman" w:cs="Times New Roman"/>
                <w:sz w:val="24"/>
                <w:szCs w:val="24"/>
              </w:rPr>
              <w:t xml:space="preserve"> </w:t>
            </w:r>
            <w:proofErr w:type="spellStart"/>
            <w:r w:rsidRPr="00E3098D">
              <w:rPr>
                <w:rFonts w:ascii="Times New Roman" w:hAnsi="Times New Roman" w:cs="Times New Roman"/>
                <w:sz w:val="24"/>
                <w:szCs w:val="24"/>
              </w:rPr>
              <w:t>field</w:t>
            </w:r>
            <w:proofErr w:type="spellEnd"/>
            <w:r w:rsidRPr="00E3098D">
              <w:rPr>
                <w:rFonts w:ascii="Times New Roman" w:hAnsi="Times New Roman" w:cs="Times New Roman"/>
                <w:sz w:val="24"/>
                <w:szCs w:val="24"/>
              </w:rPr>
              <w:t xml:space="preserve"> of </w:t>
            </w:r>
            <w:proofErr w:type="spellStart"/>
            <w:r w:rsidRPr="00E3098D">
              <w:rPr>
                <w:rFonts w:ascii="Times New Roman" w:hAnsi="Times New Roman" w:cs="Times New Roman"/>
                <w:sz w:val="24"/>
                <w:szCs w:val="24"/>
              </w:rPr>
              <w:t>water</w:t>
            </w:r>
            <w:proofErr w:type="spellEnd"/>
            <w:r w:rsidRPr="00E3098D">
              <w:rPr>
                <w:rFonts w:ascii="Times New Roman" w:hAnsi="Times New Roman" w:cs="Times New Roman"/>
                <w:sz w:val="24"/>
                <w:szCs w:val="24"/>
              </w:rPr>
              <w:t xml:space="preserve"> </w:t>
            </w:r>
            <w:proofErr w:type="spellStart"/>
            <w:r w:rsidRPr="00E3098D">
              <w:rPr>
                <w:rFonts w:ascii="Times New Roman" w:hAnsi="Times New Roman" w:cs="Times New Roman"/>
                <w:sz w:val="24"/>
                <w:szCs w:val="24"/>
              </w:rPr>
              <w:t>policy</w:t>
            </w:r>
            <w:proofErr w:type="spellEnd"/>
            <w:r w:rsidRPr="00E3098D">
              <w:rPr>
                <w:rFonts w:ascii="Times New Roman" w:hAnsi="Times New Roman" w:cs="Times New Roman"/>
                <w:sz w:val="24"/>
                <w:szCs w:val="24"/>
              </w:rPr>
              <w:t xml:space="preserve">, </w:t>
            </w:r>
            <w:proofErr w:type="spellStart"/>
            <w:r w:rsidRPr="00E3098D">
              <w:rPr>
                <w:rFonts w:ascii="Times New Roman" w:hAnsi="Times New Roman" w:cs="Times New Roman"/>
                <w:sz w:val="24"/>
                <w:szCs w:val="24"/>
              </w:rPr>
              <w:t>Directive</w:t>
            </w:r>
            <w:proofErr w:type="spellEnd"/>
            <w:r w:rsidRPr="00E3098D">
              <w:rPr>
                <w:rFonts w:ascii="Times New Roman" w:hAnsi="Times New Roman" w:cs="Times New Roman"/>
                <w:sz w:val="24"/>
                <w:szCs w:val="24"/>
              </w:rPr>
              <w:t xml:space="preserve"> 2006/118/EC on </w:t>
            </w:r>
            <w:proofErr w:type="spellStart"/>
            <w:r w:rsidRPr="00E3098D">
              <w:rPr>
                <w:rFonts w:ascii="Times New Roman" w:hAnsi="Times New Roman" w:cs="Times New Roman"/>
                <w:sz w:val="24"/>
                <w:szCs w:val="24"/>
              </w:rPr>
              <w:t>the</w:t>
            </w:r>
            <w:proofErr w:type="spellEnd"/>
            <w:r w:rsidRPr="00E3098D">
              <w:rPr>
                <w:rFonts w:ascii="Times New Roman" w:hAnsi="Times New Roman" w:cs="Times New Roman"/>
                <w:sz w:val="24"/>
                <w:szCs w:val="24"/>
              </w:rPr>
              <w:t xml:space="preserve"> </w:t>
            </w:r>
            <w:proofErr w:type="spellStart"/>
            <w:r w:rsidRPr="00E3098D">
              <w:rPr>
                <w:rFonts w:ascii="Times New Roman" w:hAnsi="Times New Roman" w:cs="Times New Roman"/>
                <w:sz w:val="24"/>
                <w:szCs w:val="24"/>
              </w:rPr>
              <w:t>protection</w:t>
            </w:r>
            <w:proofErr w:type="spellEnd"/>
            <w:r w:rsidRPr="00E3098D">
              <w:rPr>
                <w:rFonts w:ascii="Times New Roman" w:hAnsi="Times New Roman" w:cs="Times New Roman"/>
                <w:sz w:val="24"/>
                <w:szCs w:val="24"/>
              </w:rPr>
              <w:t xml:space="preserve"> of </w:t>
            </w:r>
            <w:proofErr w:type="spellStart"/>
            <w:r w:rsidRPr="00E3098D">
              <w:rPr>
                <w:rFonts w:ascii="Times New Roman" w:hAnsi="Times New Roman" w:cs="Times New Roman"/>
                <w:sz w:val="24"/>
                <w:szCs w:val="24"/>
              </w:rPr>
              <w:t>groundwater</w:t>
            </w:r>
            <w:proofErr w:type="spellEnd"/>
            <w:r w:rsidRPr="00E3098D">
              <w:rPr>
                <w:rFonts w:ascii="Times New Roman" w:hAnsi="Times New Roman" w:cs="Times New Roman"/>
                <w:sz w:val="24"/>
                <w:szCs w:val="24"/>
              </w:rPr>
              <w:t xml:space="preserve"> </w:t>
            </w:r>
            <w:proofErr w:type="spellStart"/>
            <w:r w:rsidRPr="00E3098D">
              <w:rPr>
                <w:rFonts w:ascii="Times New Roman" w:hAnsi="Times New Roman" w:cs="Times New Roman"/>
                <w:sz w:val="24"/>
                <w:szCs w:val="24"/>
              </w:rPr>
              <w:t>against</w:t>
            </w:r>
            <w:proofErr w:type="spellEnd"/>
            <w:r w:rsidRPr="00E3098D">
              <w:rPr>
                <w:rFonts w:ascii="Times New Roman" w:hAnsi="Times New Roman" w:cs="Times New Roman"/>
                <w:sz w:val="24"/>
                <w:szCs w:val="24"/>
              </w:rPr>
              <w:t xml:space="preserve"> </w:t>
            </w:r>
            <w:proofErr w:type="spellStart"/>
            <w:r w:rsidRPr="00E3098D">
              <w:rPr>
                <w:rFonts w:ascii="Times New Roman" w:hAnsi="Times New Roman" w:cs="Times New Roman"/>
                <w:sz w:val="24"/>
                <w:szCs w:val="24"/>
              </w:rPr>
              <w:t>pollution</w:t>
            </w:r>
            <w:proofErr w:type="spellEnd"/>
            <w:r w:rsidRPr="00E3098D">
              <w:rPr>
                <w:rFonts w:ascii="Times New Roman" w:hAnsi="Times New Roman" w:cs="Times New Roman"/>
                <w:sz w:val="24"/>
                <w:szCs w:val="24"/>
              </w:rPr>
              <w:t xml:space="preserve"> and </w:t>
            </w:r>
            <w:proofErr w:type="spellStart"/>
            <w:r w:rsidRPr="00E3098D">
              <w:rPr>
                <w:rFonts w:ascii="Times New Roman" w:hAnsi="Times New Roman" w:cs="Times New Roman"/>
                <w:sz w:val="24"/>
                <w:szCs w:val="24"/>
              </w:rPr>
              <w:t>deterioration</w:t>
            </w:r>
            <w:proofErr w:type="spellEnd"/>
            <w:r w:rsidRPr="00E3098D">
              <w:rPr>
                <w:rFonts w:ascii="Times New Roman" w:hAnsi="Times New Roman" w:cs="Times New Roman"/>
                <w:sz w:val="24"/>
                <w:szCs w:val="24"/>
              </w:rPr>
              <w:t xml:space="preserve"> and </w:t>
            </w:r>
            <w:proofErr w:type="spellStart"/>
            <w:r w:rsidRPr="00E3098D">
              <w:rPr>
                <w:rFonts w:ascii="Times New Roman" w:hAnsi="Times New Roman" w:cs="Times New Roman"/>
                <w:sz w:val="24"/>
                <w:szCs w:val="24"/>
              </w:rPr>
              <w:t>Directive</w:t>
            </w:r>
            <w:proofErr w:type="spellEnd"/>
            <w:r w:rsidRPr="00E3098D">
              <w:rPr>
                <w:rFonts w:ascii="Times New Roman" w:hAnsi="Times New Roman" w:cs="Times New Roman"/>
                <w:sz w:val="24"/>
                <w:szCs w:val="24"/>
              </w:rPr>
              <w:t xml:space="preserve"> 2008/105/EC on </w:t>
            </w:r>
            <w:proofErr w:type="spellStart"/>
            <w:r w:rsidRPr="00E3098D">
              <w:rPr>
                <w:rFonts w:ascii="Times New Roman" w:hAnsi="Times New Roman" w:cs="Times New Roman"/>
                <w:sz w:val="24"/>
                <w:szCs w:val="24"/>
              </w:rPr>
              <w:t>environmental</w:t>
            </w:r>
            <w:proofErr w:type="spellEnd"/>
            <w:r w:rsidRPr="00E3098D">
              <w:rPr>
                <w:rFonts w:ascii="Times New Roman" w:hAnsi="Times New Roman" w:cs="Times New Roman"/>
                <w:sz w:val="24"/>
                <w:szCs w:val="24"/>
              </w:rPr>
              <w:t xml:space="preserve"> </w:t>
            </w:r>
            <w:proofErr w:type="spellStart"/>
            <w:r w:rsidRPr="00E3098D">
              <w:rPr>
                <w:rFonts w:ascii="Times New Roman" w:hAnsi="Times New Roman" w:cs="Times New Roman"/>
                <w:sz w:val="24"/>
                <w:szCs w:val="24"/>
              </w:rPr>
              <w:t>quality</w:t>
            </w:r>
            <w:proofErr w:type="spellEnd"/>
            <w:r w:rsidRPr="00E3098D">
              <w:rPr>
                <w:rFonts w:ascii="Times New Roman" w:hAnsi="Times New Roman" w:cs="Times New Roman"/>
                <w:sz w:val="24"/>
                <w:szCs w:val="24"/>
              </w:rPr>
              <w:t xml:space="preserve"> </w:t>
            </w:r>
            <w:proofErr w:type="spellStart"/>
            <w:r w:rsidRPr="00E3098D">
              <w:rPr>
                <w:rFonts w:ascii="Times New Roman" w:hAnsi="Times New Roman" w:cs="Times New Roman"/>
                <w:sz w:val="24"/>
                <w:szCs w:val="24"/>
              </w:rPr>
              <w:t>standards</w:t>
            </w:r>
            <w:proofErr w:type="spellEnd"/>
            <w:r w:rsidRPr="00E3098D">
              <w:rPr>
                <w:rFonts w:ascii="Times New Roman" w:hAnsi="Times New Roman" w:cs="Times New Roman"/>
                <w:sz w:val="24"/>
                <w:szCs w:val="24"/>
              </w:rPr>
              <w:t xml:space="preserve"> in </w:t>
            </w:r>
            <w:proofErr w:type="spellStart"/>
            <w:r w:rsidRPr="00E3098D">
              <w:rPr>
                <w:rFonts w:ascii="Times New Roman" w:hAnsi="Times New Roman" w:cs="Times New Roman"/>
                <w:sz w:val="24"/>
                <w:szCs w:val="24"/>
              </w:rPr>
              <w:t>the</w:t>
            </w:r>
            <w:proofErr w:type="spellEnd"/>
            <w:r w:rsidRPr="00E3098D">
              <w:rPr>
                <w:rFonts w:ascii="Times New Roman" w:hAnsi="Times New Roman" w:cs="Times New Roman"/>
                <w:sz w:val="24"/>
                <w:szCs w:val="24"/>
              </w:rPr>
              <w:t xml:space="preserve"> </w:t>
            </w:r>
            <w:proofErr w:type="spellStart"/>
            <w:r w:rsidRPr="00E3098D">
              <w:rPr>
                <w:rFonts w:ascii="Times New Roman" w:hAnsi="Times New Roman" w:cs="Times New Roman"/>
                <w:sz w:val="24"/>
                <w:szCs w:val="24"/>
              </w:rPr>
              <w:t>field</w:t>
            </w:r>
            <w:proofErr w:type="spellEnd"/>
            <w:r w:rsidRPr="00E3098D">
              <w:rPr>
                <w:rFonts w:ascii="Times New Roman" w:hAnsi="Times New Roman" w:cs="Times New Roman"/>
                <w:sz w:val="24"/>
                <w:szCs w:val="24"/>
              </w:rPr>
              <w:t xml:space="preserve"> of </w:t>
            </w:r>
            <w:proofErr w:type="spellStart"/>
            <w:r w:rsidRPr="00E3098D">
              <w:rPr>
                <w:rFonts w:ascii="Times New Roman" w:hAnsi="Times New Roman" w:cs="Times New Roman"/>
                <w:sz w:val="24"/>
                <w:szCs w:val="24"/>
              </w:rPr>
              <w:t>water</w:t>
            </w:r>
            <w:proofErr w:type="spellEnd"/>
            <w:r w:rsidRPr="00E3098D">
              <w:rPr>
                <w:rFonts w:ascii="Times New Roman" w:hAnsi="Times New Roman" w:cs="Times New Roman"/>
                <w:sz w:val="24"/>
                <w:szCs w:val="24"/>
              </w:rPr>
              <w:t xml:space="preserve"> </w:t>
            </w:r>
            <w:proofErr w:type="spellStart"/>
            <w:r w:rsidRPr="00E3098D">
              <w:rPr>
                <w:rFonts w:ascii="Times New Roman" w:hAnsi="Times New Roman" w:cs="Times New Roman"/>
                <w:sz w:val="24"/>
                <w:szCs w:val="24"/>
              </w:rPr>
              <w:t>policy</w:t>
            </w:r>
            <w:proofErr w:type="spellEnd"/>
          </w:p>
          <w:p w14:paraId="55FD6B52" w14:textId="77777777" w:rsidR="00E3098D" w:rsidRPr="00E3098D" w:rsidRDefault="00E3098D" w:rsidP="00E3098D">
            <w:pPr>
              <w:jc w:val="both"/>
              <w:rPr>
                <w:rFonts w:ascii="Times New Roman" w:hAnsi="Times New Roman" w:cs="Times New Roman"/>
                <w:sz w:val="24"/>
                <w:szCs w:val="24"/>
              </w:rPr>
            </w:pPr>
          </w:p>
          <w:p w14:paraId="0A0CA2E0" w14:textId="760B1B6D" w:rsidR="00DE72D1" w:rsidRPr="00AA09F9" w:rsidRDefault="00E3098D" w:rsidP="00E3098D">
            <w:pPr>
              <w:jc w:val="both"/>
              <w:rPr>
                <w:rFonts w:ascii="Times New Roman" w:hAnsi="Times New Roman" w:cs="Times New Roman"/>
                <w:sz w:val="24"/>
                <w:szCs w:val="24"/>
              </w:rPr>
            </w:pPr>
            <w:r w:rsidRPr="00E3098D">
              <w:rPr>
                <w:rFonts w:ascii="Times New Roman" w:hAnsi="Times New Roman" w:cs="Times New Roman"/>
                <w:sz w:val="24"/>
                <w:szCs w:val="24"/>
              </w:rPr>
              <w:t>Käesoleva direktiivi artikliga 2 lisatakse Direktiivi 2006/118/EC artikkel 6a „</w:t>
            </w:r>
            <w:proofErr w:type="spellStart"/>
            <w:r w:rsidRPr="00E3098D">
              <w:rPr>
                <w:rFonts w:ascii="Times New Roman" w:hAnsi="Times New Roman" w:cs="Times New Roman"/>
                <w:sz w:val="24"/>
                <w:szCs w:val="24"/>
              </w:rPr>
              <w:t>Watch</w:t>
            </w:r>
            <w:proofErr w:type="spellEnd"/>
            <w:r w:rsidRPr="00E3098D">
              <w:rPr>
                <w:rFonts w:ascii="Times New Roman" w:hAnsi="Times New Roman" w:cs="Times New Roman"/>
                <w:sz w:val="24"/>
                <w:szCs w:val="24"/>
              </w:rPr>
              <w:t xml:space="preserve"> list“. Direktiiviga luuakse nimekiri, mida tuleb liikmesriigil jälgida põhjavees. Muu hulgas tuleb määrata mikroplastikud ja </w:t>
            </w:r>
            <w:proofErr w:type="spellStart"/>
            <w:r w:rsidRPr="00E3098D">
              <w:rPr>
                <w:rFonts w:ascii="Times New Roman" w:hAnsi="Times New Roman" w:cs="Times New Roman"/>
                <w:sz w:val="24"/>
                <w:szCs w:val="24"/>
              </w:rPr>
              <w:t>antimikroobse</w:t>
            </w:r>
            <w:proofErr w:type="spellEnd"/>
            <w:r w:rsidRPr="00E3098D">
              <w:rPr>
                <w:rFonts w:ascii="Times New Roman" w:hAnsi="Times New Roman" w:cs="Times New Roman"/>
                <w:sz w:val="24"/>
                <w:szCs w:val="24"/>
              </w:rPr>
              <w:t xml:space="preserve"> resistentsuse geenid. Kõik uued parameetrid ja meetodid vajavad arendamist ja täiendavate seadmete ostu. Näiteks, mikroplastikute määramismeetod ja proovivõtt. Selleks, et mikroplastikuid määrata vajavad laborid lisaseadmeid ja koolitust nii proovivõtu kui ka lõppmääramise osas. Proovivõtu lisaseadmed on pumbad, filtrid ja filtrite hoidikud, pumpade kaitsemajakesed. Mikroplastikute proovivõtu kulud  saavad olla umbes samas hinnaklassis nagu heitvee proovivõtt SARS-CoV-2, lisandub veel filtreerimisseadme ja filtrite hind. Kuna filtrid pole korduvkasutatavad, seega tuleb iga kord paigaldada uued filtrid. </w:t>
            </w:r>
            <w:proofErr w:type="spellStart"/>
            <w:r w:rsidRPr="00E3098D">
              <w:rPr>
                <w:rFonts w:ascii="Times New Roman" w:hAnsi="Times New Roman" w:cs="Times New Roman"/>
                <w:sz w:val="24"/>
                <w:szCs w:val="24"/>
              </w:rPr>
              <w:t>Vibrational</w:t>
            </w:r>
            <w:proofErr w:type="spellEnd"/>
            <w:r w:rsidRPr="00E3098D">
              <w:rPr>
                <w:rFonts w:ascii="Times New Roman" w:hAnsi="Times New Roman" w:cs="Times New Roman"/>
                <w:sz w:val="24"/>
                <w:szCs w:val="24"/>
              </w:rPr>
              <w:t xml:space="preserve"> </w:t>
            </w:r>
            <w:proofErr w:type="spellStart"/>
            <w:r w:rsidRPr="00E3098D">
              <w:rPr>
                <w:rFonts w:ascii="Times New Roman" w:hAnsi="Times New Roman" w:cs="Times New Roman"/>
                <w:sz w:val="24"/>
                <w:szCs w:val="24"/>
              </w:rPr>
              <w:t>spectroscopy</w:t>
            </w:r>
            <w:proofErr w:type="spellEnd"/>
            <w:r w:rsidRPr="00E3098D">
              <w:rPr>
                <w:rFonts w:ascii="Times New Roman" w:hAnsi="Times New Roman" w:cs="Times New Roman"/>
                <w:sz w:val="24"/>
                <w:szCs w:val="24"/>
              </w:rPr>
              <w:t xml:space="preserve"> </w:t>
            </w:r>
            <w:proofErr w:type="spellStart"/>
            <w:r w:rsidRPr="00E3098D">
              <w:rPr>
                <w:rFonts w:ascii="Times New Roman" w:hAnsi="Times New Roman" w:cs="Times New Roman"/>
                <w:sz w:val="24"/>
                <w:szCs w:val="24"/>
              </w:rPr>
              <w:t>analytical</w:t>
            </w:r>
            <w:proofErr w:type="spellEnd"/>
            <w:r w:rsidRPr="00E3098D">
              <w:rPr>
                <w:rFonts w:ascii="Times New Roman" w:hAnsi="Times New Roman" w:cs="Times New Roman"/>
                <w:sz w:val="24"/>
                <w:szCs w:val="24"/>
              </w:rPr>
              <w:t xml:space="preserve"> </w:t>
            </w:r>
            <w:proofErr w:type="spellStart"/>
            <w:r w:rsidRPr="00E3098D">
              <w:rPr>
                <w:rFonts w:ascii="Times New Roman" w:hAnsi="Times New Roman" w:cs="Times New Roman"/>
                <w:sz w:val="24"/>
                <w:szCs w:val="24"/>
              </w:rPr>
              <w:t>technique</w:t>
            </w:r>
            <w:proofErr w:type="spellEnd"/>
            <w:r w:rsidRPr="00E3098D">
              <w:rPr>
                <w:rFonts w:ascii="Times New Roman" w:hAnsi="Times New Roman" w:cs="Times New Roman"/>
                <w:sz w:val="24"/>
                <w:szCs w:val="24"/>
              </w:rPr>
              <w:t xml:space="preserve"> seadme  hind on umbes 370 000 </w:t>
            </w:r>
            <w:proofErr w:type="spellStart"/>
            <w:r w:rsidRPr="00E3098D">
              <w:rPr>
                <w:rFonts w:ascii="Times New Roman" w:hAnsi="Times New Roman" w:cs="Times New Roman"/>
                <w:sz w:val="24"/>
                <w:szCs w:val="24"/>
              </w:rPr>
              <w:t>eur</w:t>
            </w:r>
            <w:proofErr w:type="spellEnd"/>
            <w:r w:rsidRPr="00E3098D">
              <w:rPr>
                <w:rFonts w:ascii="Times New Roman" w:hAnsi="Times New Roman" w:cs="Times New Roman"/>
                <w:sz w:val="24"/>
                <w:szCs w:val="24"/>
              </w:rPr>
              <w:t xml:space="preserve">. Antud analüüsi juures on kiirus suhteliselt oluline, sest koguda tuleb palju andmeid ning on suur vahe kas seda tehakse samaaegselt või järjestikku skaneerides. AMR valdkonnas on Terviseametil võimekus  analüüside teostamiseks olemas. </w:t>
            </w:r>
            <w:r w:rsidRPr="00E3098D">
              <w:rPr>
                <w:rFonts w:ascii="Times New Roman" w:hAnsi="Times New Roman" w:cs="Times New Roman"/>
                <w:sz w:val="24"/>
                <w:szCs w:val="24"/>
              </w:rPr>
              <w:lastRenderedPageBreak/>
              <w:t>Kokkuvõttes tuleb leida kokkulepped riikliku seire teostaja ja rahastuse osas Keskkonnaministeeriumiga.</w:t>
            </w:r>
          </w:p>
        </w:tc>
        <w:tc>
          <w:tcPr>
            <w:tcW w:w="5670" w:type="dxa"/>
          </w:tcPr>
          <w:p w14:paraId="21D12F69" w14:textId="27E96A07" w:rsidR="00DE72D1" w:rsidRPr="009A55B8" w:rsidRDefault="00151664" w:rsidP="00D44837">
            <w:pPr>
              <w:rPr>
                <w:rFonts w:ascii="Times New Roman" w:hAnsi="Times New Roman" w:cs="Times New Roman"/>
                <w:sz w:val="24"/>
                <w:szCs w:val="24"/>
              </w:rPr>
            </w:pPr>
            <w:r>
              <w:rPr>
                <w:rFonts w:ascii="Times New Roman" w:hAnsi="Times New Roman" w:cs="Times New Roman"/>
                <w:sz w:val="24"/>
                <w:szCs w:val="24"/>
              </w:rPr>
              <w:lastRenderedPageBreak/>
              <w:t>Arvestatud</w:t>
            </w:r>
          </w:p>
        </w:tc>
      </w:tr>
      <w:tr w:rsidR="00DE72D1" w:rsidRPr="009A55B8" w14:paraId="6D9E32ED" w14:textId="77777777" w:rsidTr="00D44837">
        <w:tc>
          <w:tcPr>
            <w:tcW w:w="2263" w:type="dxa"/>
          </w:tcPr>
          <w:p w14:paraId="403C21E0" w14:textId="1DB8CCDA" w:rsidR="00DE72D1" w:rsidRPr="00AA09F9" w:rsidRDefault="003E268E" w:rsidP="00D44837">
            <w:pPr>
              <w:rPr>
                <w:rFonts w:ascii="Times New Roman" w:hAnsi="Times New Roman" w:cs="Times New Roman"/>
                <w:sz w:val="24"/>
                <w:szCs w:val="24"/>
              </w:rPr>
            </w:pPr>
            <w:r>
              <w:rPr>
                <w:rFonts w:ascii="Times New Roman" w:hAnsi="Times New Roman" w:cs="Times New Roman"/>
                <w:sz w:val="24"/>
                <w:szCs w:val="24"/>
              </w:rPr>
              <w:lastRenderedPageBreak/>
              <w:t>Justiitsministeerium</w:t>
            </w:r>
          </w:p>
        </w:tc>
        <w:tc>
          <w:tcPr>
            <w:tcW w:w="6804" w:type="dxa"/>
          </w:tcPr>
          <w:p w14:paraId="2F72A4BF" w14:textId="4D4267A7" w:rsidR="003E268E" w:rsidRDefault="003E268E" w:rsidP="003E268E">
            <w:pPr>
              <w:jc w:val="both"/>
              <w:rPr>
                <w:rFonts w:ascii="Times New Roman" w:hAnsi="Times New Roman" w:cs="Times New Roman"/>
                <w:sz w:val="24"/>
                <w:szCs w:val="24"/>
              </w:rPr>
            </w:pPr>
            <w:r w:rsidRPr="003E268E">
              <w:rPr>
                <w:rFonts w:ascii="Times New Roman" w:hAnsi="Times New Roman" w:cs="Times New Roman"/>
                <w:sz w:val="24"/>
                <w:szCs w:val="24"/>
              </w:rPr>
              <w:t>Justiitsministeeriumi kommentaarid seoses põhjavee ja pinn</w:t>
            </w:r>
            <w:r>
              <w:rPr>
                <w:rFonts w:ascii="Times New Roman" w:hAnsi="Times New Roman" w:cs="Times New Roman"/>
                <w:sz w:val="24"/>
                <w:szCs w:val="24"/>
              </w:rPr>
              <w:t xml:space="preserve">avee saasteainete loetelu ning </w:t>
            </w:r>
            <w:r w:rsidRPr="003E268E">
              <w:rPr>
                <w:rFonts w:ascii="Times New Roman" w:hAnsi="Times New Roman" w:cs="Times New Roman"/>
                <w:sz w:val="24"/>
                <w:szCs w:val="24"/>
              </w:rPr>
              <w:t xml:space="preserve">asulareovee puhastamise direktiivide läbivaatamisega on järgmised: </w:t>
            </w:r>
          </w:p>
          <w:p w14:paraId="078F50E8" w14:textId="77777777" w:rsidR="003E268E" w:rsidRPr="003E268E" w:rsidRDefault="003E268E" w:rsidP="003E268E">
            <w:pPr>
              <w:jc w:val="both"/>
              <w:rPr>
                <w:rFonts w:ascii="Times New Roman" w:hAnsi="Times New Roman" w:cs="Times New Roman"/>
                <w:sz w:val="24"/>
                <w:szCs w:val="24"/>
              </w:rPr>
            </w:pPr>
          </w:p>
          <w:p w14:paraId="5C270C66" w14:textId="77777777" w:rsidR="003E268E" w:rsidRPr="003E268E" w:rsidRDefault="003E268E" w:rsidP="003E268E">
            <w:pPr>
              <w:jc w:val="both"/>
              <w:rPr>
                <w:rFonts w:ascii="Times New Roman" w:hAnsi="Times New Roman" w:cs="Times New Roman"/>
                <w:b/>
                <w:sz w:val="24"/>
                <w:szCs w:val="24"/>
              </w:rPr>
            </w:pPr>
            <w:r w:rsidRPr="003E268E">
              <w:rPr>
                <w:rFonts w:ascii="Times New Roman" w:hAnsi="Times New Roman" w:cs="Times New Roman"/>
                <w:b/>
                <w:sz w:val="24"/>
                <w:szCs w:val="24"/>
              </w:rPr>
              <w:t>Artikkel 25</w:t>
            </w:r>
          </w:p>
          <w:p w14:paraId="1FCC5B81" w14:textId="322ED466" w:rsidR="003E268E" w:rsidRPr="003E268E" w:rsidRDefault="003E268E" w:rsidP="003E268E">
            <w:pPr>
              <w:jc w:val="both"/>
              <w:rPr>
                <w:rFonts w:ascii="Times New Roman" w:hAnsi="Times New Roman" w:cs="Times New Roman"/>
                <w:sz w:val="24"/>
                <w:szCs w:val="24"/>
              </w:rPr>
            </w:pPr>
            <w:r w:rsidRPr="003E268E">
              <w:rPr>
                <w:rFonts w:ascii="Times New Roman" w:hAnsi="Times New Roman" w:cs="Times New Roman"/>
                <w:sz w:val="24"/>
                <w:szCs w:val="24"/>
              </w:rPr>
              <w:t xml:space="preserve">Direktiivi ettepaneku artikkel 25, mis tugineb </w:t>
            </w:r>
            <w:proofErr w:type="spellStart"/>
            <w:r w:rsidRPr="003E268E">
              <w:rPr>
                <w:rFonts w:ascii="Times New Roman" w:hAnsi="Times New Roman" w:cs="Times New Roman"/>
                <w:sz w:val="24"/>
                <w:szCs w:val="24"/>
              </w:rPr>
              <w:t>Århusi</w:t>
            </w:r>
            <w:proofErr w:type="spellEnd"/>
            <w:r w:rsidRPr="003E268E">
              <w:rPr>
                <w:rFonts w:ascii="Times New Roman" w:hAnsi="Times New Roman" w:cs="Times New Roman"/>
                <w:sz w:val="24"/>
                <w:szCs w:val="24"/>
              </w:rPr>
              <w:t xml:space="preserve"> konventsiooni sätet</w:t>
            </w:r>
            <w:r>
              <w:rPr>
                <w:rFonts w:ascii="Times New Roman" w:hAnsi="Times New Roman" w:cs="Times New Roman"/>
                <w:sz w:val="24"/>
                <w:szCs w:val="24"/>
              </w:rPr>
              <w:t xml:space="preserve">ele, on sobiv. Eestis sätestab </w:t>
            </w:r>
            <w:r w:rsidRPr="003E268E">
              <w:rPr>
                <w:rFonts w:ascii="Times New Roman" w:hAnsi="Times New Roman" w:cs="Times New Roman"/>
                <w:sz w:val="24"/>
                <w:szCs w:val="24"/>
              </w:rPr>
              <w:t>keskkonnaalase kaebeõiguse alused vaide- ja kohtumenetlu</w:t>
            </w:r>
            <w:r>
              <w:rPr>
                <w:rFonts w:ascii="Times New Roman" w:hAnsi="Times New Roman" w:cs="Times New Roman"/>
                <w:sz w:val="24"/>
                <w:szCs w:val="24"/>
              </w:rPr>
              <w:t xml:space="preserve">ses keskkonnaseadustiku üldosa </w:t>
            </w:r>
            <w:r w:rsidRPr="003E268E">
              <w:rPr>
                <w:rFonts w:ascii="Times New Roman" w:hAnsi="Times New Roman" w:cs="Times New Roman"/>
                <w:sz w:val="24"/>
                <w:szCs w:val="24"/>
              </w:rPr>
              <w:t xml:space="preserve">seaduse § 30. Keskkonnaalase kaebeõiguse aluseks on samuti </w:t>
            </w:r>
            <w:proofErr w:type="spellStart"/>
            <w:r w:rsidRPr="003E268E">
              <w:rPr>
                <w:rFonts w:ascii="Times New Roman" w:hAnsi="Times New Roman" w:cs="Times New Roman"/>
                <w:sz w:val="24"/>
                <w:szCs w:val="24"/>
              </w:rPr>
              <w:t>Århusi</w:t>
            </w:r>
            <w:proofErr w:type="spellEnd"/>
            <w:r w:rsidRPr="003E268E">
              <w:rPr>
                <w:rFonts w:ascii="Times New Roman" w:hAnsi="Times New Roman" w:cs="Times New Roman"/>
                <w:sz w:val="24"/>
                <w:szCs w:val="24"/>
              </w:rPr>
              <w:t xml:space="preserve"> konventsiooni sätted. </w:t>
            </w:r>
          </w:p>
          <w:p w14:paraId="2B292ADD" w14:textId="46E93A78" w:rsidR="003E268E" w:rsidRPr="003E268E" w:rsidRDefault="003E268E" w:rsidP="003E268E">
            <w:pPr>
              <w:jc w:val="both"/>
              <w:rPr>
                <w:rFonts w:ascii="Times New Roman" w:hAnsi="Times New Roman" w:cs="Times New Roman"/>
                <w:sz w:val="24"/>
                <w:szCs w:val="24"/>
              </w:rPr>
            </w:pPr>
            <w:r w:rsidRPr="003E268E">
              <w:rPr>
                <w:rFonts w:ascii="Times New Roman" w:hAnsi="Times New Roman" w:cs="Times New Roman"/>
                <w:sz w:val="24"/>
                <w:szCs w:val="24"/>
              </w:rPr>
              <w:t>Riigikohtu praktikast tulenevalt saab keskkonnakaitse küsimus</w:t>
            </w:r>
            <w:r>
              <w:rPr>
                <w:rFonts w:ascii="Times New Roman" w:hAnsi="Times New Roman" w:cs="Times New Roman"/>
                <w:sz w:val="24"/>
                <w:szCs w:val="24"/>
              </w:rPr>
              <w:t xml:space="preserve">tes kohtusse pöördumise õiguse </w:t>
            </w:r>
            <w:r w:rsidRPr="003E268E">
              <w:rPr>
                <w:rFonts w:ascii="Times New Roman" w:hAnsi="Times New Roman" w:cs="Times New Roman"/>
                <w:sz w:val="24"/>
                <w:szCs w:val="24"/>
              </w:rPr>
              <w:t xml:space="preserve">aluseks olla mitte üksnes õiguste rikkumine, vaid ka kaebuse </w:t>
            </w:r>
            <w:r>
              <w:rPr>
                <w:rFonts w:ascii="Times New Roman" w:hAnsi="Times New Roman" w:cs="Times New Roman"/>
                <w:sz w:val="24"/>
                <w:szCs w:val="24"/>
              </w:rPr>
              <w:t xml:space="preserve">esitaja puutumus vaidlustatava </w:t>
            </w:r>
            <w:r w:rsidRPr="003E268E">
              <w:rPr>
                <w:rFonts w:ascii="Times New Roman" w:hAnsi="Times New Roman" w:cs="Times New Roman"/>
                <w:sz w:val="24"/>
                <w:szCs w:val="24"/>
              </w:rPr>
              <w:t xml:space="preserve">haldusakti või toiminguga. </w:t>
            </w:r>
            <w:proofErr w:type="spellStart"/>
            <w:r w:rsidRPr="003E268E">
              <w:rPr>
                <w:rFonts w:ascii="Times New Roman" w:hAnsi="Times New Roman" w:cs="Times New Roman"/>
                <w:sz w:val="24"/>
                <w:szCs w:val="24"/>
              </w:rPr>
              <w:t>KeÜS</w:t>
            </w:r>
            <w:proofErr w:type="spellEnd"/>
            <w:r w:rsidRPr="003E268E">
              <w:rPr>
                <w:rFonts w:ascii="Times New Roman" w:hAnsi="Times New Roman" w:cs="Times New Roman"/>
                <w:sz w:val="24"/>
                <w:szCs w:val="24"/>
              </w:rPr>
              <w:t xml:space="preserve"> § 30 lõikes 2 on sätestatud keskk</w:t>
            </w:r>
            <w:r>
              <w:rPr>
                <w:rFonts w:ascii="Times New Roman" w:hAnsi="Times New Roman" w:cs="Times New Roman"/>
                <w:sz w:val="24"/>
                <w:szCs w:val="24"/>
              </w:rPr>
              <w:t xml:space="preserve">onnaorganisatsioonidele eriline </w:t>
            </w:r>
            <w:r w:rsidRPr="003E268E">
              <w:rPr>
                <w:rFonts w:ascii="Times New Roman" w:hAnsi="Times New Roman" w:cs="Times New Roman"/>
                <w:sz w:val="24"/>
                <w:szCs w:val="24"/>
              </w:rPr>
              <w:t>kaebeõigus – keskkonnaorganisatsiooni poolt haldusakti või toimi</w:t>
            </w:r>
            <w:r>
              <w:rPr>
                <w:rFonts w:ascii="Times New Roman" w:hAnsi="Times New Roman" w:cs="Times New Roman"/>
                <w:sz w:val="24"/>
                <w:szCs w:val="24"/>
              </w:rPr>
              <w:t xml:space="preserve">ngu vaidlustamisel ei ole vaja </w:t>
            </w:r>
            <w:r w:rsidRPr="003E268E">
              <w:rPr>
                <w:rFonts w:ascii="Times New Roman" w:hAnsi="Times New Roman" w:cs="Times New Roman"/>
                <w:sz w:val="24"/>
                <w:szCs w:val="24"/>
              </w:rPr>
              <w:t>näidata, et oleks rikutud mõne konkreetse isiku su</w:t>
            </w:r>
            <w:r>
              <w:rPr>
                <w:rFonts w:ascii="Times New Roman" w:hAnsi="Times New Roman" w:cs="Times New Roman"/>
                <w:sz w:val="24"/>
                <w:szCs w:val="24"/>
              </w:rPr>
              <w:t xml:space="preserve">bjektiivseid õigusi. See annab </w:t>
            </w:r>
            <w:r w:rsidRPr="003E268E">
              <w:rPr>
                <w:rFonts w:ascii="Times New Roman" w:hAnsi="Times New Roman" w:cs="Times New Roman"/>
                <w:sz w:val="24"/>
                <w:szCs w:val="24"/>
              </w:rPr>
              <w:t xml:space="preserve">keskkonnaorganisatsioonile võimaluse vaidlustada keskkonnaasjades tehtud otsuseid ka juhul, kui </w:t>
            </w:r>
          </w:p>
          <w:p w14:paraId="568397A5" w14:textId="263F3FF5" w:rsidR="003E268E" w:rsidRPr="003E268E" w:rsidRDefault="003E268E" w:rsidP="003E268E">
            <w:pPr>
              <w:jc w:val="both"/>
              <w:rPr>
                <w:rFonts w:ascii="Times New Roman" w:hAnsi="Times New Roman" w:cs="Times New Roman"/>
                <w:sz w:val="24"/>
                <w:szCs w:val="24"/>
              </w:rPr>
            </w:pPr>
            <w:r w:rsidRPr="003E268E">
              <w:rPr>
                <w:rFonts w:ascii="Times New Roman" w:hAnsi="Times New Roman" w:cs="Times New Roman"/>
                <w:sz w:val="24"/>
                <w:szCs w:val="24"/>
              </w:rPr>
              <w:t>need ei riku otseselt ühegi konkreetse isiku õigusi, ent puudutavad avali</w:t>
            </w:r>
            <w:r>
              <w:rPr>
                <w:rFonts w:ascii="Times New Roman" w:hAnsi="Times New Roman" w:cs="Times New Roman"/>
                <w:sz w:val="24"/>
                <w:szCs w:val="24"/>
              </w:rPr>
              <w:t xml:space="preserve">kku või kollektiivset huvi või </w:t>
            </w:r>
            <w:r w:rsidRPr="003E268E">
              <w:rPr>
                <w:rFonts w:ascii="Times New Roman" w:hAnsi="Times New Roman" w:cs="Times New Roman"/>
                <w:sz w:val="24"/>
                <w:szCs w:val="24"/>
              </w:rPr>
              <w:t>puudutavad nii avalikku huvi kui ka konkreetse(te) üksikisiku(te) õig</w:t>
            </w:r>
            <w:r>
              <w:rPr>
                <w:rFonts w:ascii="Times New Roman" w:hAnsi="Times New Roman" w:cs="Times New Roman"/>
                <w:sz w:val="24"/>
                <w:szCs w:val="24"/>
              </w:rPr>
              <w:t xml:space="preserve">usi. Haldusmenetluse seadusest </w:t>
            </w:r>
            <w:r w:rsidRPr="003E268E">
              <w:rPr>
                <w:rFonts w:ascii="Times New Roman" w:hAnsi="Times New Roman" w:cs="Times New Roman"/>
                <w:sz w:val="24"/>
                <w:szCs w:val="24"/>
              </w:rPr>
              <w:t>(§ 72) ning halduskohtumenetluse seadustikust (§ 37 ja § 45) tuleneva</w:t>
            </w:r>
            <w:r>
              <w:rPr>
                <w:rFonts w:ascii="Times New Roman" w:hAnsi="Times New Roman" w:cs="Times New Roman"/>
                <w:sz w:val="24"/>
                <w:szCs w:val="24"/>
              </w:rPr>
              <w:t xml:space="preserve">lt on võimalik vaidlustada nii </w:t>
            </w:r>
            <w:r w:rsidRPr="003E268E">
              <w:rPr>
                <w:rFonts w:ascii="Times New Roman" w:hAnsi="Times New Roman" w:cs="Times New Roman"/>
                <w:sz w:val="24"/>
                <w:szCs w:val="24"/>
              </w:rPr>
              <w:t xml:space="preserve">haldusakte, haldustoiminguid ning tegevusetust, ent menetlustoimingute vaidlustamine on piiratud. </w:t>
            </w:r>
          </w:p>
          <w:p w14:paraId="295DC0BB" w14:textId="0CB78002" w:rsidR="003E268E" w:rsidRPr="003E268E" w:rsidRDefault="003E268E" w:rsidP="003E268E">
            <w:pPr>
              <w:jc w:val="both"/>
              <w:rPr>
                <w:rFonts w:ascii="Times New Roman" w:hAnsi="Times New Roman" w:cs="Times New Roman"/>
                <w:sz w:val="24"/>
                <w:szCs w:val="24"/>
              </w:rPr>
            </w:pPr>
            <w:r w:rsidRPr="003E268E">
              <w:rPr>
                <w:rFonts w:ascii="Times New Roman" w:hAnsi="Times New Roman" w:cs="Times New Roman"/>
                <w:sz w:val="24"/>
                <w:szCs w:val="24"/>
              </w:rPr>
              <w:t>HMS-s on loetletud konkreetsed menetlustoimingud, mida saab haldusakt</w:t>
            </w:r>
            <w:r>
              <w:rPr>
                <w:rFonts w:ascii="Times New Roman" w:hAnsi="Times New Roman" w:cs="Times New Roman"/>
                <w:sz w:val="24"/>
                <w:szCs w:val="24"/>
              </w:rPr>
              <w:t xml:space="preserve">ist eraldiseisvalt vaidlustada </w:t>
            </w:r>
            <w:r w:rsidRPr="003E268E">
              <w:rPr>
                <w:rFonts w:ascii="Times New Roman" w:hAnsi="Times New Roman" w:cs="Times New Roman"/>
                <w:sz w:val="24"/>
                <w:szCs w:val="24"/>
              </w:rPr>
              <w:t>ja HKMS § 45 lg 3 kohaselt võib menetlustoimingu peale ilma h</w:t>
            </w:r>
            <w:r>
              <w:rPr>
                <w:rFonts w:ascii="Times New Roman" w:hAnsi="Times New Roman" w:cs="Times New Roman"/>
                <w:sz w:val="24"/>
                <w:szCs w:val="24"/>
              </w:rPr>
              <w:t xml:space="preserve">aldusakti või lõpliku toimingu </w:t>
            </w:r>
            <w:r w:rsidRPr="003E268E">
              <w:rPr>
                <w:rFonts w:ascii="Times New Roman" w:hAnsi="Times New Roman" w:cs="Times New Roman"/>
                <w:sz w:val="24"/>
                <w:szCs w:val="24"/>
              </w:rPr>
              <w:t xml:space="preserve">vaidlustamiseta esitada kaebuse, kui see rikub kaebaja </w:t>
            </w:r>
            <w:proofErr w:type="spellStart"/>
            <w:r w:rsidRPr="003E268E">
              <w:rPr>
                <w:rFonts w:ascii="Times New Roman" w:hAnsi="Times New Roman" w:cs="Times New Roman"/>
                <w:sz w:val="24"/>
                <w:szCs w:val="24"/>
              </w:rPr>
              <w:t>mittem</w:t>
            </w:r>
            <w:r>
              <w:rPr>
                <w:rFonts w:ascii="Times New Roman" w:hAnsi="Times New Roman" w:cs="Times New Roman"/>
                <w:sz w:val="24"/>
                <w:szCs w:val="24"/>
              </w:rPr>
              <w:t>enetluslikke</w:t>
            </w:r>
            <w:proofErr w:type="spellEnd"/>
            <w:r>
              <w:rPr>
                <w:rFonts w:ascii="Times New Roman" w:hAnsi="Times New Roman" w:cs="Times New Roman"/>
                <w:sz w:val="24"/>
                <w:szCs w:val="24"/>
              </w:rPr>
              <w:t xml:space="preserve"> õigusi, sõltumata </w:t>
            </w:r>
            <w:r w:rsidRPr="003E268E">
              <w:rPr>
                <w:rFonts w:ascii="Times New Roman" w:hAnsi="Times New Roman" w:cs="Times New Roman"/>
                <w:sz w:val="24"/>
                <w:szCs w:val="24"/>
              </w:rPr>
              <w:t>haldusaktist või lõplikust toimingust, või kui menetlustoimingu õigusvastasus tingiks vältimatult kaebaja õigusi rikkuva haldusakti andmise või lõpliku toimingu tegemise.</w:t>
            </w:r>
          </w:p>
          <w:p w14:paraId="0765A74E" w14:textId="77777777" w:rsidR="003E268E" w:rsidRPr="003E268E" w:rsidRDefault="003E268E" w:rsidP="003E268E">
            <w:pPr>
              <w:jc w:val="both"/>
              <w:rPr>
                <w:rFonts w:ascii="Times New Roman" w:hAnsi="Times New Roman" w:cs="Times New Roman"/>
                <w:b/>
                <w:sz w:val="24"/>
                <w:szCs w:val="24"/>
              </w:rPr>
            </w:pPr>
            <w:r w:rsidRPr="003E268E">
              <w:rPr>
                <w:rFonts w:ascii="Times New Roman" w:hAnsi="Times New Roman" w:cs="Times New Roman"/>
                <w:b/>
                <w:sz w:val="24"/>
                <w:szCs w:val="24"/>
              </w:rPr>
              <w:lastRenderedPageBreak/>
              <w:t>Artikkel 26</w:t>
            </w:r>
          </w:p>
          <w:p w14:paraId="61D00C56" w14:textId="77777777" w:rsidR="003E268E" w:rsidRPr="003E268E" w:rsidRDefault="003E268E" w:rsidP="003E268E">
            <w:pPr>
              <w:jc w:val="both"/>
              <w:rPr>
                <w:rFonts w:ascii="Times New Roman" w:hAnsi="Times New Roman" w:cs="Times New Roman"/>
                <w:sz w:val="24"/>
                <w:szCs w:val="24"/>
              </w:rPr>
            </w:pPr>
            <w:r w:rsidRPr="003E268E">
              <w:rPr>
                <w:rFonts w:ascii="Times New Roman" w:hAnsi="Times New Roman" w:cs="Times New Roman"/>
                <w:sz w:val="24"/>
                <w:szCs w:val="24"/>
              </w:rPr>
              <w:t>Võlaõiguslikud aspektid</w:t>
            </w:r>
          </w:p>
          <w:p w14:paraId="5990B576" w14:textId="2631075E" w:rsidR="003E268E" w:rsidRPr="003E268E" w:rsidRDefault="003E268E" w:rsidP="003E268E">
            <w:pPr>
              <w:jc w:val="both"/>
              <w:rPr>
                <w:rFonts w:ascii="Times New Roman" w:hAnsi="Times New Roman" w:cs="Times New Roman"/>
                <w:sz w:val="24"/>
                <w:szCs w:val="24"/>
              </w:rPr>
            </w:pPr>
            <w:r w:rsidRPr="003E268E">
              <w:rPr>
                <w:rFonts w:ascii="Times New Roman" w:hAnsi="Times New Roman" w:cs="Times New Roman"/>
                <w:sz w:val="24"/>
                <w:szCs w:val="24"/>
              </w:rPr>
              <w:t>Algatuse artikliga 26 soovitakse ette näha erireeglid tsiviilvastutusele, kui</w:t>
            </w:r>
            <w:r>
              <w:rPr>
                <w:rFonts w:ascii="Times New Roman" w:hAnsi="Times New Roman" w:cs="Times New Roman"/>
                <w:sz w:val="24"/>
                <w:szCs w:val="24"/>
              </w:rPr>
              <w:t xml:space="preserve"> rikutakse direktiivi kohaselt </w:t>
            </w:r>
            <w:r w:rsidRPr="003E268E">
              <w:rPr>
                <w:rFonts w:ascii="Times New Roman" w:hAnsi="Times New Roman" w:cs="Times New Roman"/>
                <w:sz w:val="24"/>
                <w:szCs w:val="24"/>
              </w:rPr>
              <w:t>vastu võetud siseriiklikke meetmeid. Komisjoni selgituste kohaselt on art</w:t>
            </w:r>
            <w:r>
              <w:rPr>
                <w:rFonts w:ascii="Times New Roman" w:hAnsi="Times New Roman" w:cs="Times New Roman"/>
                <w:sz w:val="24"/>
                <w:szCs w:val="24"/>
              </w:rPr>
              <w:t xml:space="preserve">ikli 26 eesmärk tagada, et kui </w:t>
            </w:r>
            <w:r w:rsidRPr="003E268E">
              <w:rPr>
                <w:rFonts w:ascii="Times New Roman" w:hAnsi="Times New Roman" w:cs="Times New Roman"/>
                <w:sz w:val="24"/>
                <w:szCs w:val="24"/>
              </w:rPr>
              <w:t>nimetatud siseriiklike meetmete rikkumise tõttu on tekkinud inimestel</w:t>
            </w:r>
            <w:r>
              <w:rPr>
                <w:rFonts w:ascii="Times New Roman" w:hAnsi="Times New Roman" w:cs="Times New Roman"/>
                <w:sz w:val="24"/>
                <w:szCs w:val="24"/>
              </w:rPr>
              <w:t xml:space="preserve">e tervisekahjustus, oleks neil </w:t>
            </w:r>
            <w:r w:rsidRPr="003E268E">
              <w:rPr>
                <w:rFonts w:ascii="Times New Roman" w:hAnsi="Times New Roman" w:cs="Times New Roman"/>
                <w:sz w:val="24"/>
                <w:szCs w:val="24"/>
              </w:rPr>
              <w:t>võimalik nõuda asjaomastelt isikutelt või asutustelt kahjuhüvitist.</w:t>
            </w:r>
            <w:r>
              <w:rPr>
                <w:rFonts w:ascii="Times New Roman" w:hAnsi="Times New Roman" w:cs="Times New Roman"/>
                <w:sz w:val="24"/>
                <w:szCs w:val="24"/>
              </w:rPr>
              <w:t xml:space="preserve"> Me ei toeta tsiviilvastutuste </w:t>
            </w:r>
            <w:r w:rsidRPr="003E268E">
              <w:rPr>
                <w:rFonts w:ascii="Times New Roman" w:hAnsi="Times New Roman" w:cs="Times New Roman"/>
                <w:sz w:val="24"/>
                <w:szCs w:val="24"/>
              </w:rPr>
              <w:t>küsimustes erireeglite kehtestamist niivõrd spetsiifilistes valdkondad</w:t>
            </w:r>
            <w:r>
              <w:rPr>
                <w:rFonts w:ascii="Times New Roman" w:hAnsi="Times New Roman" w:cs="Times New Roman"/>
                <w:sz w:val="24"/>
                <w:szCs w:val="24"/>
              </w:rPr>
              <w:t xml:space="preserve">es nagu seda käsitleb käesolev </w:t>
            </w:r>
            <w:r w:rsidRPr="003E268E">
              <w:rPr>
                <w:rFonts w:ascii="Times New Roman" w:hAnsi="Times New Roman" w:cs="Times New Roman"/>
                <w:sz w:val="24"/>
                <w:szCs w:val="24"/>
              </w:rPr>
              <w:t xml:space="preserve">algatus. Eestis saavad tervisekahju kandvad isikud kehtiva õiguse järgi juba kahju hüvitamist nõuda. </w:t>
            </w:r>
          </w:p>
          <w:p w14:paraId="6151FBF4" w14:textId="37FC54F2" w:rsidR="003E268E" w:rsidRDefault="003E268E" w:rsidP="003E268E">
            <w:pPr>
              <w:jc w:val="both"/>
              <w:rPr>
                <w:rFonts w:ascii="Times New Roman" w:hAnsi="Times New Roman" w:cs="Times New Roman"/>
                <w:sz w:val="24"/>
                <w:szCs w:val="24"/>
              </w:rPr>
            </w:pPr>
            <w:r w:rsidRPr="003E268E">
              <w:rPr>
                <w:rFonts w:ascii="Times New Roman" w:hAnsi="Times New Roman" w:cs="Times New Roman"/>
                <w:sz w:val="24"/>
                <w:szCs w:val="24"/>
              </w:rPr>
              <w:t>Võlaõigusseaduses on regulatsioon, mis võimaldab nõuda kahju hü</w:t>
            </w:r>
            <w:r>
              <w:rPr>
                <w:rFonts w:ascii="Times New Roman" w:hAnsi="Times New Roman" w:cs="Times New Roman"/>
                <w:sz w:val="24"/>
                <w:szCs w:val="24"/>
              </w:rPr>
              <w:t xml:space="preserve">vitamist juhul, kui põhjustati </w:t>
            </w:r>
            <w:r w:rsidRPr="003E268E">
              <w:rPr>
                <w:rFonts w:ascii="Times New Roman" w:hAnsi="Times New Roman" w:cs="Times New Roman"/>
                <w:sz w:val="24"/>
                <w:szCs w:val="24"/>
              </w:rPr>
              <w:t>kannatanu surm või tekitati kannatanule kehavigastus või tervis</w:t>
            </w:r>
            <w:r>
              <w:rPr>
                <w:rFonts w:ascii="Times New Roman" w:hAnsi="Times New Roman" w:cs="Times New Roman"/>
                <w:sz w:val="24"/>
                <w:szCs w:val="24"/>
              </w:rPr>
              <w:t xml:space="preserve">ekahjustus seadusest tulenevat </w:t>
            </w:r>
            <w:r w:rsidRPr="003E268E">
              <w:rPr>
                <w:rFonts w:ascii="Times New Roman" w:hAnsi="Times New Roman" w:cs="Times New Roman"/>
                <w:sz w:val="24"/>
                <w:szCs w:val="24"/>
              </w:rPr>
              <w:t>kohustust rikkuva käitumisega. Kui seadusest tuleneva kohustu</w:t>
            </w:r>
            <w:r>
              <w:rPr>
                <w:rFonts w:ascii="Times New Roman" w:hAnsi="Times New Roman" w:cs="Times New Roman"/>
                <w:sz w:val="24"/>
                <w:szCs w:val="24"/>
              </w:rPr>
              <w:t xml:space="preserve">se sätte eesmärk oli kannatanu </w:t>
            </w:r>
            <w:r w:rsidRPr="003E268E">
              <w:rPr>
                <w:rFonts w:ascii="Times New Roman" w:hAnsi="Times New Roman" w:cs="Times New Roman"/>
                <w:sz w:val="24"/>
                <w:szCs w:val="24"/>
              </w:rPr>
              <w:t>kaitsmine sellise kahju tekkimise eest, on kahju tekitamine õigusvasta</w:t>
            </w:r>
            <w:r>
              <w:rPr>
                <w:rFonts w:ascii="Times New Roman" w:hAnsi="Times New Roman" w:cs="Times New Roman"/>
                <w:sz w:val="24"/>
                <w:szCs w:val="24"/>
              </w:rPr>
              <w:t xml:space="preserve">ne. Seejuures ei pea kannatanu </w:t>
            </w:r>
            <w:r w:rsidRPr="003E268E">
              <w:rPr>
                <w:rFonts w:ascii="Times New Roman" w:hAnsi="Times New Roman" w:cs="Times New Roman"/>
                <w:sz w:val="24"/>
                <w:szCs w:val="24"/>
              </w:rPr>
              <w:t>tõendama kahju tekitaja süüd, vaid kahju tekitaja süüd eeldatakse. See tähendab, et kahju teki</w:t>
            </w:r>
            <w:r>
              <w:rPr>
                <w:rFonts w:ascii="Times New Roman" w:hAnsi="Times New Roman" w:cs="Times New Roman"/>
                <w:sz w:val="24"/>
                <w:szCs w:val="24"/>
              </w:rPr>
              <w:t xml:space="preserve">taja </w:t>
            </w:r>
            <w:r w:rsidRPr="003E268E">
              <w:rPr>
                <w:rFonts w:ascii="Times New Roman" w:hAnsi="Times New Roman" w:cs="Times New Roman"/>
                <w:sz w:val="24"/>
                <w:szCs w:val="24"/>
              </w:rPr>
              <w:t>peab selle eelduse ümberlükkamiseks ise tõendama, et ta ei ole</w:t>
            </w:r>
            <w:r>
              <w:rPr>
                <w:rFonts w:ascii="Times New Roman" w:hAnsi="Times New Roman" w:cs="Times New Roman"/>
                <w:sz w:val="24"/>
                <w:szCs w:val="24"/>
              </w:rPr>
              <w:t xml:space="preserve"> seadusest tulenevat kohustust </w:t>
            </w:r>
            <w:r w:rsidRPr="003E268E">
              <w:rPr>
                <w:rFonts w:ascii="Times New Roman" w:hAnsi="Times New Roman" w:cs="Times New Roman"/>
                <w:sz w:val="24"/>
                <w:szCs w:val="24"/>
              </w:rPr>
              <w:t>rikkunud. Seega on Eestis juba võimalik kahju hüvitamist nõuda</w:t>
            </w:r>
            <w:r>
              <w:rPr>
                <w:rFonts w:ascii="Times New Roman" w:hAnsi="Times New Roman" w:cs="Times New Roman"/>
                <w:sz w:val="24"/>
                <w:szCs w:val="24"/>
              </w:rPr>
              <w:t xml:space="preserve">, kui kannatanule on tekitatud </w:t>
            </w:r>
            <w:r w:rsidRPr="003E268E">
              <w:rPr>
                <w:rFonts w:ascii="Times New Roman" w:hAnsi="Times New Roman" w:cs="Times New Roman"/>
                <w:sz w:val="24"/>
                <w:szCs w:val="24"/>
              </w:rPr>
              <w:t xml:space="preserve">tervisekahju seadusest tuleneva kohustuse rikkumisega. </w:t>
            </w:r>
          </w:p>
          <w:p w14:paraId="66539B62" w14:textId="77777777" w:rsidR="003E268E" w:rsidRPr="003E268E" w:rsidRDefault="003E268E" w:rsidP="003E268E">
            <w:pPr>
              <w:jc w:val="both"/>
              <w:rPr>
                <w:rFonts w:ascii="Times New Roman" w:hAnsi="Times New Roman" w:cs="Times New Roman"/>
                <w:sz w:val="24"/>
                <w:szCs w:val="24"/>
              </w:rPr>
            </w:pPr>
          </w:p>
          <w:p w14:paraId="213BB91A" w14:textId="77777777" w:rsidR="003E268E" w:rsidRPr="003E268E" w:rsidRDefault="003E268E" w:rsidP="003E268E">
            <w:pPr>
              <w:jc w:val="both"/>
              <w:rPr>
                <w:rFonts w:ascii="Times New Roman" w:hAnsi="Times New Roman" w:cs="Times New Roman"/>
                <w:b/>
                <w:sz w:val="24"/>
                <w:szCs w:val="24"/>
              </w:rPr>
            </w:pPr>
            <w:r w:rsidRPr="003E268E">
              <w:rPr>
                <w:rFonts w:ascii="Times New Roman" w:hAnsi="Times New Roman" w:cs="Times New Roman"/>
                <w:b/>
                <w:sz w:val="24"/>
                <w:szCs w:val="24"/>
              </w:rPr>
              <w:t>Tsiviilkohtumenetluslikud aspektid</w:t>
            </w:r>
          </w:p>
          <w:p w14:paraId="406C8892" w14:textId="4DE881E6" w:rsidR="003E268E" w:rsidRPr="003E268E" w:rsidRDefault="003E268E" w:rsidP="003E268E">
            <w:pPr>
              <w:jc w:val="both"/>
              <w:rPr>
                <w:rFonts w:ascii="Times New Roman" w:hAnsi="Times New Roman" w:cs="Times New Roman"/>
                <w:sz w:val="24"/>
                <w:szCs w:val="24"/>
              </w:rPr>
            </w:pPr>
            <w:r w:rsidRPr="003E268E">
              <w:rPr>
                <w:rFonts w:ascii="Times New Roman" w:hAnsi="Times New Roman" w:cs="Times New Roman"/>
                <w:sz w:val="24"/>
                <w:szCs w:val="24"/>
              </w:rPr>
              <w:t>1. Artikli 26 seletuskiri ja artiklile vastav põhjenduspunkt 34 ei sis</w:t>
            </w:r>
            <w:r>
              <w:rPr>
                <w:rFonts w:ascii="Times New Roman" w:hAnsi="Times New Roman" w:cs="Times New Roman"/>
                <w:sz w:val="24"/>
                <w:szCs w:val="24"/>
              </w:rPr>
              <w:t xml:space="preserve">alda </w:t>
            </w:r>
            <w:proofErr w:type="spellStart"/>
            <w:r>
              <w:rPr>
                <w:rFonts w:ascii="Times New Roman" w:hAnsi="Times New Roman" w:cs="Times New Roman"/>
                <w:sz w:val="24"/>
                <w:szCs w:val="24"/>
              </w:rPr>
              <w:t>menetluslikke</w:t>
            </w:r>
            <w:proofErr w:type="spellEnd"/>
            <w:r>
              <w:rPr>
                <w:rFonts w:ascii="Times New Roman" w:hAnsi="Times New Roman" w:cs="Times New Roman"/>
                <w:sz w:val="24"/>
                <w:szCs w:val="24"/>
              </w:rPr>
              <w:t xml:space="preserve"> kaalutlusi, </w:t>
            </w:r>
            <w:r w:rsidRPr="003E268E">
              <w:rPr>
                <w:rFonts w:ascii="Times New Roman" w:hAnsi="Times New Roman" w:cs="Times New Roman"/>
                <w:sz w:val="24"/>
                <w:szCs w:val="24"/>
              </w:rPr>
              <w:t>põhjendusi ega selgitusi, miks on vastav regulatsioon välja pakutud j</w:t>
            </w:r>
            <w:r>
              <w:rPr>
                <w:rFonts w:ascii="Times New Roman" w:hAnsi="Times New Roman" w:cs="Times New Roman"/>
                <w:sz w:val="24"/>
                <w:szCs w:val="24"/>
              </w:rPr>
              <w:t xml:space="preserve">a mida pakutud regulatsiooniga </w:t>
            </w:r>
            <w:r w:rsidRPr="003E268E">
              <w:rPr>
                <w:rFonts w:ascii="Times New Roman" w:hAnsi="Times New Roman" w:cs="Times New Roman"/>
                <w:sz w:val="24"/>
                <w:szCs w:val="24"/>
              </w:rPr>
              <w:t xml:space="preserve">täpsemalt silmas peetakse. </w:t>
            </w:r>
          </w:p>
          <w:p w14:paraId="4B6BAA65" w14:textId="14D196B5" w:rsidR="003E268E" w:rsidRPr="003E268E" w:rsidRDefault="003E268E" w:rsidP="003E268E">
            <w:pPr>
              <w:jc w:val="both"/>
              <w:rPr>
                <w:rFonts w:ascii="Times New Roman" w:hAnsi="Times New Roman" w:cs="Times New Roman"/>
                <w:sz w:val="24"/>
                <w:szCs w:val="24"/>
              </w:rPr>
            </w:pPr>
            <w:r w:rsidRPr="003E268E">
              <w:rPr>
                <w:rFonts w:ascii="Times New Roman" w:hAnsi="Times New Roman" w:cs="Times New Roman"/>
                <w:sz w:val="24"/>
                <w:szCs w:val="24"/>
              </w:rPr>
              <w:t xml:space="preserve">2. Mõiste „asjaomane üldsus“ kasutamine. Art 26 seletuskirja </w:t>
            </w:r>
            <w:r>
              <w:rPr>
                <w:rFonts w:ascii="Times New Roman" w:hAnsi="Times New Roman" w:cs="Times New Roman"/>
                <w:sz w:val="24"/>
                <w:szCs w:val="24"/>
              </w:rPr>
              <w:t xml:space="preserve">kohaselt peaks saama asjaomane </w:t>
            </w:r>
            <w:r w:rsidRPr="003E268E">
              <w:rPr>
                <w:rFonts w:ascii="Times New Roman" w:hAnsi="Times New Roman" w:cs="Times New Roman"/>
                <w:sz w:val="24"/>
                <w:szCs w:val="24"/>
              </w:rPr>
              <w:t xml:space="preserve">üldsus nõuda kahjuhüvitist. Artikli 2 lõikes 22 antud definitsiooni kohaselt on tegemist üldsusega, keda </w:t>
            </w:r>
          </w:p>
          <w:p w14:paraId="2487C70C" w14:textId="478F6AB5" w:rsidR="003E268E" w:rsidRPr="003E268E" w:rsidRDefault="003E268E" w:rsidP="003E268E">
            <w:pPr>
              <w:jc w:val="both"/>
              <w:rPr>
                <w:rFonts w:ascii="Times New Roman" w:hAnsi="Times New Roman" w:cs="Times New Roman"/>
                <w:sz w:val="24"/>
                <w:szCs w:val="24"/>
              </w:rPr>
            </w:pPr>
            <w:r w:rsidRPr="003E268E">
              <w:rPr>
                <w:rFonts w:ascii="Times New Roman" w:hAnsi="Times New Roman" w:cs="Times New Roman"/>
                <w:sz w:val="24"/>
                <w:szCs w:val="24"/>
              </w:rPr>
              <w:t xml:space="preserve">mõjutavad või tõenäoliselt mõjutavad käesolevas direktiivis sätestatud kohustuste täitmisega seotud otsustusmenetlused või kes on nendest huvitatud. Kuivõrd valitsusvälised organisatsioonid, keda </w:t>
            </w:r>
          </w:p>
          <w:p w14:paraId="55409F7F" w14:textId="4A081B86" w:rsidR="003E268E" w:rsidRPr="003E268E" w:rsidRDefault="003E268E" w:rsidP="003E268E">
            <w:pPr>
              <w:jc w:val="both"/>
              <w:rPr>
                <w:rFonts w:ascii="Times New Roman" w:hAnsi="Times New Roman" w:cs="Times New Roman"/>
                <w:sz w:val="24"/>
                <w:szCs w:val="24"/>
              </w:rPr>
            </w:pPr>
            <w:r w:rsidRPr="003E268E">
              <w:rPr>
                <w:rFonts w:ascii="Times New Roman" w:hAnsi="Times New Roman" w:cs="Times New Roman"/>
                <w:sz w:val="24"/>
                <w:szCs w:val="24"/>
              </w:rPr>
              <w:lastRenderedPageBreak/>
              <w:t>nimetatakse artikli 26 tekstis, on definitsioonis eraldi välja toodud, järeldub</w:t>
            </w:r>
            <w:r>
              <w:rPr>
                <w:rFonts w:ascii="Times New Roman" w:hAnsi="Times New Roman" w:cs="Times New Roman"/>
                <w:sz w:val="24"/>
                <w:szCs w:val="24"/>
              </w:rPr>
              <w:t xml:space="preserve"> definitsiooni ja seletuskirja </w:t>
            </w:r>
            <w:r w:rsidRPr="003E268E">
              <w:rPr>
                <w:rFonts w:ascii="Times New Roman" w:hAnsi="Times New Roman" w:cs="Times New Roman"/>
                <w:sz w:val="24"/>
                <w:szCs w:val="24"/>
              </w:rPr>
              <w:t>koostoimes, justkui võiks kahju hüvitamise hagi esitada suvaline isik,</w:t>
            </w:r>
            <w:r>
              <w:rPr>
                <w:rFonts w:ascii="Times New Roman" w:hAnsi="Times New Roman" w:cs="Times New Roman"/>
                <w:sz w:val="24"/>
                <w:szCs w:val="24"/>
              </w:rPr>
              <w:t xml:space="preserve"> kellele ei pea olema tekkinud </w:t>
            </w:r>
            <w:r w:rsidRPr="003E268E">
              <w:rPr>
                <w:rFonts w:ascii="Times New Roman" w:hAnsi="Times New Roman" w:cs="Times New Roman"/>
                <w:sz w:val="24"/>
                <w:szCs w:val="24"/>
              </w:rPr>
              <w:t>kahju, kuid „kes võib tõenäoliselt olla mõjutatud“ või „kes on huvitatud“. Sel</w:t>
            </w:r>
            <w:r>
              <w:rPr>
                <w:rFonts w:ascii="Times New Roman" w:hAnsi="Times New Roman" w:cs="Times New Roman"/>
                <w:sz w:val="24"/>
                <w:szCs w:val="24"/>
              </w:rPr>
              <w:t xml:space="preserve">etuskiri läheb artikli 26 enda </w:t>
            </w:r>
            <w:r w:rsidRPr="003E268E">
              <w:rPr>
                <w:rFonts w:ascii="Times New Roman" w:hAnsi="Times New Roman" w:cs="Times New Roman"/>
                <w:sz w:val="24"/>
                <w:szCs w:val="24"/>
              </w:rPr>
              <w:t xml:space="preserve">sisust selgelt kaugemale, samas ei selgita ühtki menetlusõiguslikku valikut. </w:t>
            </w:r>
          </w:p>
          <w:p w14:paraId="1E1E0B1B" w14:textId="65973565" w:rsidR="003E268E" w:rsidRPr="003E268E" w:rsidRDefault="003E268E" w:rsidP="003E268E">
            <w:pPr>
              <w:jc w:val="both"/>
              <w:rPr>
                <w:rFonts w:ascii="Times New Roman" w:hAnsi="Times New Roman" w:cs="Times New Roman"/>
                <w:sz w:val="24"/>
                <w:szCs w:val="24"/>
              </w:rPr>
            </w:pPr>
            <w:r w:rsidRPr="003E268E">
              <w:rPr>
                <w:rFonts w:ascii="Times New Roman" w:hAnsi="Times New Roman" w:cs="Times New Roman"/>
                <w:sz w:val="24"/>
                <w:szCs w:val="24"/>
              </w:rPr>
              <w:t>3. Artikli 26 lõike 2 teksti kohaselt ei ole üheselt selge, millist esindust silmas peetakse – ka</w:t>
            </w:r>
            <w:r>
              <w:rPr>
                <w:rFonts w:ascii="Times New Roman" w:hAnsi="Times New Roman" w:cs="Times New Roman"/>
                <w:sz w:val="24"/>
                <w:szCs w:val="24"/>
              </w:rPr>
              <w:t xml:space="preserve">s klassikalist </w:t>
            </w:r>
            <w:r w:rsidRPr="003E268E">
              <w:rPr>
                <w:rFonts w:ascii="Times New Roman" w:hAnsi="Times New Roman" w:cs="Times New Roman"/>
                <w:sz w:val="24"/>
                <w:szCs w:val="24"/>
              </w:rPr>
              <w:t>tehingulist esindust, kus nõuded esitatakse kahjustatud isikute n</w:t>
            </w:r>
            <w:r>
              <w:rPr>
                <w:rFonts w:ascii="Times New Roman" w:hAnsi="Times New Roman" w:cs="Times New Roman"/>
                <w:sz w:val="24"/>
                <w:szCs w:val="24"/>
              </w:rPr>
              <w:t xml:space="preserve">imel või esindushagi menetluse </w:t>
            </w:r>
            <w:r w:rsidRPr="003E268E">
              <w:rPr>
                <w:rFonts w:ascii="Times New Roman" w:hAnsi="Times New Roman" w:cs="Times New Roman"/>
                <w:sz w:val="24"/>
                <w:szCs w:val="24"/>
              </w:rPr>
              <w:t>laadset esindust, kus muu isik, nt sätte sõnastuses nimetatud valitsu</w:t>
            </w:r>
            <w:r>
              <w:rPr>
                <w:rFonts w:ascii="Times New Roman" w:hAnsi="Times New Roman" w:cs="Times New Roman"/>
                <w:sz w:val="24"/>
                <w:szCs w:val="24"/>
              </w:rPr>
              <w:t xml:space="preserve">sväline organisatsioon, esitab </w:t>
            </w:r>
            <w:r w:rsidRPr="003E268E">
              <w:rPr>
                <w:rFonts w:ascii="Times New Roman" w:hAnsi="Times New Roman" w:cs="Times New Roman"/>
                <w:sz w:val="24"/>
                <w:szCs w:val="24"/>
              </w:rPr>
              <w:t xml:space="preserve">kahjustatud isikute nõuded enda nimel. </w:t>
            </w:r>
          </w:p>
          <w:p w14:paraId="35949DCF" w14:textId="743FA36B" w:rsidR="003E268E" w:rsidRPr="003E268E" w:rsidRDefault="003E268E" w:rsidP="003E268E">
            <w:pPr>
              <w:jc w:val="both"/>
              <w:rPr>
                <w:rFonts w:ascii="Times New Roman" w:hAnsi="Times New Roman" w:cs="Times New Roman"/>
                <w:sz w:val="24"/>
                <w:szCs w:val="24"/>
              </w:rPr>
            </w:pPr>
            <w:r w:rsidRPr="003E268E">
              <w:rPr>
                <w:rFonts w:ascii="Times New Roman" w:hAnsi="Times New Roman" w:cs="Times New Roman"/>
                <w:sz w:val="24"/>
                <w:szCs w:val="24"/>
              </w:rPr>
              <w:t xml:space="preserve">4. Eesti õigustraditsiooniga sobib </w:t>
            </w:r>
            <w:proofErr w:type="spellStart"/>
            <w:r w:rsidRPr="003E268E">
              <w:rPr>
                <w:rFonts w:ascii="Times New Roman" w:hAnsi="Times New Roman" w:cs="Times New Roman"/>
                <w:sz w:val="24"/>
                <w:szCs w:val="24"/>
              </w:rPr>
              <w:t>tehinguline</w:t>
            </w:r>
            <w:proofErr w:type="spellEnd"/>
            <w:r w:rsidRPr="003E268E">
              <w:rPr>
                <w:rFonts w:ascii="Times New Roman" w:hAnsi="Times New Roman" w:cs="Times New Roman"/>
                <w:sz w:val="24"/>
                <w:szCs w:val="24"/>
              </w:rPr>
              <w:t xml:space="preserve"> esindusõigus, mi</w:t>
            </w:r>
            <w:r>
              <w:rPr>
                <w:rFonts w:ascii="Times New Roman" w:hAnsi="Times New Roman" w:cs="Times New Roman"/>
                <w:sz w:val="24"/>
                <w:szCs w:val="24"/>
              </w:rPr>
              <w:t xml:space="preserve">lle kohaselt esindaja tegutseb </w:t>
            </w:r>
            <w:r w:rsidRPr="003E268E">
              <w:rPr>
                <w:rFonts w:ascii="Times New Roman" w:hAnsi="Times New Roman" w:cs="Times New Roman"/>
                <w:sz w:val="24"/>
                <w:szCs w:val="24"/>
              </w:rPr>
              <w:t>esindatava nimel. Vastav regulatsioon sisaldub tsiviilseadustiku üldo</w:t>
            </w:r>
            <w:r>
              <w:rPr>
                <w:rFonts w:ascii="Times New Roman" w:hAnsi="Times New Roman" w:cs="Times New Roman"/>
                <w:sz w:val="24"/>
                <w:szCs w:val="24"/>
              </w:rPr>
              <w:t>sa seaduse (</w:t>
            </w:r>
            <w:proofErr w:type="spellStart"/>
            <w:r>
              <w:rPr>
                <w:rFonts w:ascii="Times New Roman" w:hAnsi="Times New Roman" w:cs="Times New Roman"/>
                <w:sz w:val="24"/>
                <w:szCs w:val="24"/>
              </w:rPr>
              <w:t>TsÜS</w:t>
            </w:r>
            <w:proofErr w:type="spellEnd"/>
            <w:r>
              <w:rPr>
                <w:rFonts w:ascii="Times New Roman" w:hAnsi="Times New Roman" w:cs="Times New Roman"/>
                <w:sz w:val="24"/>
                <w:szCs w:val="24"/>
              </w:rPr>
              <w:t xml:space="preserve">) 8. peatükis; </w:t>
            </w:r>
            <w:r w:rsidRPr="003E268E">
              <w:rPr>
                <w:rFonts w:ascii="Times New Roman" w:hAnsi="Times New Roman" w:cs="Times New Roman"/>
                <w:sz w:val="24"/>
                <w:szCs w:val="24"/>
              </w:rPr>
              <w:t>esindamist tsiviilkohtumenetluses reguleerib tsiviilkohtumenetluse seadustiku (</w:t>
            </w:r>
            <w:proofErr w:type="spellStart"/>
            <w:r w:rsidRPr="003E268E">
              <w:rPr>
                <w:rFonts w:ascii="Times New Roman" w:hAnsi="Times New Roman" w:cs="Times New Roman"/>
                <w:sz w:val="24"/>
                <w:szCs w:val="24"/>
              </w:rPr>
              <w:t>TsMS</w:t>
            </w:r>
            <w:proofErr w:type="spellEnd"/>
            <w:r w:rsidRPr="003E268E">
              <w:rPr>
                <w:rFonts w:ascii="Times New Roman" w:hAnsi="Times New Roman" w:cs="Times New Roman"/>
                <w:sz w:val="24"/>
                <w:szCs w:val="24"/>
              </w:rPr>
              <w:t xml:space="preserve">) 23. peatükk. </w:t>
            </w:r>
          </w:p>
          <w:p w14:paraId="7D852DB2" w14:textId="6EF9E754" w:rsidR="003E268E" w:rsidRPr="003E268E" w:rsidRDefault="003E268E" w:rsidP="003E268E">
            <w:pPr>
              <w:jc w:val="both"/>
              <w:rPr>
                <w:rFonts w:ascii="Times New Roman" w:hAnsi="Times New Roman" w:cs="Times New Roman"/>
                <w:sz w:val="24"/>
                <w:szCs w:val="24"/>
              </w:rPr>
            </w:pPr>
            <w:proofErr w:type="spellStart"/>
            <w:r w:rsidRPr="003E268E">
              <w:rPr>
                <w:rFonts w:ascii="Times New Roman" w:hAnsi="Times New Roman" w:cs="Times New Roman"/>
                <w:sz w:val="24"/>
                <w:szCs w:val="24"/>
              </w:rPr>
              <w:t>Tehingulise</w:t>
            </w:r>
            <w:proofErr w:type="spellEnd"/>
            <w:r w:rsidRPr="003E268E">
              <w:rPr>
                <w:rFonts w:ascii="Times New Roman" w:hAnsi="Times New Roman" w:cs="Times New Roman"/>
                <w:sz w:val="24"/>
                <w:szCs w:val="24"/>
              </w:rPr>
              <w:t xml:space="preserve"> esinduse puhul saaks menetluses esindajana osaleda üksn</w:t>
            </w:r>
            <w:r>
              <w:rPr>
                <w:rFonts w:ascii="Times New Roman" w:hAnsi="Times New Roman" w:cs="Times New Roman"/>
                <w:sz w:val="24"/>
                <w:szCs w:val="24"/>
              </w:rPr>
              <w:t xml:space="preserve">es selline füüsiline isik, kes </w:t>
            </w:r>
            <w:r w:rsidRPr="003E268E">
              <w:rPr>
                <w:rFonts w:ascii="Times New Roman" w:hAnsi="Times New Roman" w:cs="Times New Roman"/>
                <w:sz w:val="24"/>
                <w:szCs w:val="24"/>
              </w:rPr>
              <w:t xml:space="preserve">vastab </w:t>
            </w:r>
            <w:proofErr w:type="spellStart"/>
            <w:r w:rsidRPr="003E268E">
              <w:rPr>
                <w:rFonts w:ascii="Times New Roman" w:hAnsi="Times New Roman" w:cs="Times New Roman"/>
                <w:sz w:val="24"/>
                <w:szCs w:val="24"/>
              </w:rPr>
              <w:t>TsMS</w:t>
            </w:r>
            <w:proofErr w:type="spellEnd"/>
            <w:r w:rsidRPr="003E268E">
              <w:rPr>
                <w:rFonts w:ascii="Times New Roman" w:hAnsi="Times New Roman" w:cs="Times New Roman"/>
                <w:sz w:val="24"/>
                <w:szCs w:val="24"/>
              </w:rPr>
              <w:t xml:space="preserve"> §-s 218 lepingulisele esindajale kehtestatud nõuetele: lepi</w:t>
            </w:r>
            <w:r>
              <w:rPr>
                <w:rFonts w:ascii="Times New Roman" w:hAnsi="Times New Roman" w:cs="Times New Roman"/>
                <w:sz w:val="24"/>
                <w:szCs w:val="24"/>
              </w:rPr>
              <w:t xml:space="preserve">ngulisel esindajal, kes ei ole </w:t>
            </w:r>
            <w:r w:rsidRPr="003E268E">
              <w:rPr>
                <w:rFonts w:ascii="Times New Roman" w:hAnsi="Times New Roman" w:cs="Times New Roman"/>
                <w:sz w:val="24"/>
                <w:szCs w:val="24"/>
              </w:rPr>
              <w:t>advokaat, peab olema magistrikraad õigusteaduses, R</w:t>
            </w:r>
            <w:r>
              <w:rPr>
                <w:rFonts w:ascii="Times New Roman" w:hAnsi="Times New Roman" w:cs="Times New Roman"/>
                <w:sz w:val="24"/>
                <w:szCs w:val="24"/>
              </w:rPr>
              <w:t xml:space="preserve">iigikohtus saab hagimenetluses </w:t>
            </w:r>
            <w:r w:rsidRPr="003E268E">
              <w:rPr>
                <w:rFonts w:ascii="Times New Roman" w:hAnsi="Times New Roman" w:cs="Times New Roman"/>
                <w:sz w:val="24"/>
                <w:szCs w:val="24"/>
              </w:rPr>
              <w:t>menetlusosalist esindada üksnes vandeadvokaat, hagita m</w:t>
            </w:r>
            <w:r>
              <w:rPr>
                <w:rFonts w:ascii="Times New Roman" w:hAnsi="Times New Roman" w:cs="Times New Roman"/>
                <w:sz w:val="24"/>
                <w:szCs w:val="24"/>
              </w:rPr>
              <w:t xml:space="preserve">enetluses võib menetlusosaline </w:t>
            </w:r>
            <w:r w:rsidRPr="003E268E">
              <w:rPr>
                <w:rFonts w:ascii="Times New Roman" w:hAnsi="Times New Roman" w:cs="Times New Roman"/>
                <w:sz w:val="24"/>
                <w:szCs w:val="24"/>
              </w:rPr>
              <w:t>Riigikohtus menetlustoiminguid teha ning avaldusi ja taotlusi esitada</w:t>
            </w:r>
            <w:r>
              <w:rPr>
                <w:rFonts w:ascii="Times New Roman" w:hAnsi="Times New Roman" w:cs="Times New Roman"/>
                <w:sz w:val="24"/>
                <w:szCs w:val="24"/>
              </w:rPr>
              <w:t xml:space="preserve"> ise või advokaadi vahendusel. </w:t>
            </w:r>
            <w:r w:rsidRPr="003E268E">
              <w:rPr>
                <w:rFonts w:ascii="Times New Roman" w:hAnsi="Times New Roman" w:cs="Times New Roman"/>
                <w:sz w:val="24"/>
                <w:szCs w:val="24"/>
              </w:rPr>
              <w:t xml:space="preserve">Menetlusautonoomiasse sekkumine ja sektorispetsiifiliselt üht </w:t>
            </w:r>
            <w:r>
              <w:rPr>
                <w:rFonts w:ascii="Times New Roman" w:hAnsi="Times New Roman" w:cs="Times New Roman"/>
                <w:sz w:val="24"/>
                <w:szCs w:val="24"/>
              </w:rPr>
              <w:t xml:space="preserve">liiki vaidluste puhul esinduse </w:t>
            </w:r>
            <w:r w:rsidRPr="003E268E">
              <w:rPr>
                <w:rFonts w:ascii="Times New Roman" w:hAnsi="Times New Roman" w:cs="Times New Roman"/>
                <w:sz w:val="24"/>
                <w:szCs w:val="24"/>
              </w:rPr>
              <w:t xml:space="preserve">regulatsiooni erisuste loomine horisontaalsest regulatsioonist ei oleks põhjendatud. </w:t>
            </w:r>
          </w:p>
          <w:p w14:paraId="4A56350A" w14:textId="1F2C71B5" w:rsidR="003E268E" w:rsidRPr="003E268E" w:rsidRDefault="003E268E" w:rsidP="003E268E">
            <w:pPr>
              <w:jc w:val="both"/>
              <w:rPr>
                <w:rFonts w:ascii="Times New Roman" w:hAnsi="Times New Roman" w:cs="Times New Roman"/>
                <w:sz w:val="24"/>
                <w:szCs w:val="24"/>
              </w:rPr>
            </w:pPr>
            <w:r w:rsidRPr="003E268E">
              <w:rPr>
                <w:rFonts w:ascii="Times New Roman" w:hAnsi="Times New Roman" w:cs="Times New Roman"/>
                <w:sz w:val="24"/>
                <w:szCs w:val="24"/>
              </w:rPr>
              <w:t>5. Tõenäoliselt peetakse ettepanekus silmas siiski esindushagi laadset esindus</w:t>
            </w:r>
            <w:r>
              <w:rPr>
                <w:rFonts w:ascii="Times New Roman" w:hAnsi="Times New Roman" w:cs="Times New Roman"/>
                <w:sz w:val="24"/>
                <w:szCs w:val="24"/>
              </w:rPr>
              <w:t xml:space="preserve">t, st olukorda, kus </w:t>
            </w:r>
            <w:r w:rsidRPr="003E268E">
              <w:rPr>
                <w:rFonts w:ascii="Times New Roman" w:hAnsi="Times New Roman" w:cs="Times New Roman"/>
                <w:sz w:val="24"/>
                <w:szCs w:val="24"/>
              </w:rPr>
              <w:t>organisatsioon esitab kahjustatud isikute nõuded organisatsioon</w:t>
            </w:r>
            <w:r>
              <w:rPr>
                <w:rFonts w:ascii="Times New Roman" w:hAnsi="Times New Roman" w:cs="Times New Roman"/>
                <w:sz w:val="24"/>
                <w:szCs w:val="24"/>
              </w:rPr>
              <w:t xml:space="preserve">i enda nimel (sättes nimetatud </w:t>
            </w:r>
            <w:r w:rsidRPr="003E268E">
              <w:rPr>
                <w:rFonts w:ascii="Times New Roman" w:hAnsi="Times New Roman" w:cs="Times New Roman"/>
                <w:sz w:val="24"/>
                <w:szCs w:val="24"/>
              </w:rPr>
              <w:t>valitsusväline organisatsioon osaleb kohtumenetluses hagejana või</w:t>
            </w:r>
            <w:r>
              <w:rPr>
                <w:rFonts w:ascii="Times New Roman" w:hAnsi="Times New Roman" w:cs="Times New Roman"/>
                <w:sz w:val="24"/>
                <w:szCs w:val="24"/>
              </w:rPr>
              <w:t xml:space="preserve"> avaldajana, mitte kahjustatud </w:t>
            </w:r>
            <w:r w:rsidRPr="003E268E">
              <w:rPr>
                <w:rFonts w:ascii="Times New Roman" w:hAnsi="Times New Roman" w:cs="Times New Roman"/>
                <w:sz w:val="24"/>
                <w:szCs w:val="24"/>
              </w:rPr>
              <w:t>isikute, kelle nõudeid menetletakse, esinda</w:t>
            </w:r>
            <w:r>
              <w:rPr>
                <w:rFonts w:ascii="Times New Roman" w:hAnsi="Times New Roman" w:cs="Times New Roman"/>
                <w:sz w:val="24"/>
                <w:szCs w:val="24"/>
              </w:rPr>
              <w:t xml:space="preserve">jana). </w:t>
            </w:r>
            <w:r w:rsidRPr="003E268E">
              <w:rPr>
                <w:rFonts w:ascii="Times New Roman" w:hAnsi="Times New Roman" w:cs="Times New Roman"/>
                <w:sz w:val="24"/>
                <w:szCs w:val="24"/>
              </w:rPr>
              <w:t>Euroopa Liidu tasandil asulareovee direktiivi alusel loodavate meetmete rikkumise tõttu tekitatud tervisekahju nõuete tarvis spetsiifilise kollektiivsete nõuete esitam</w:t>
            </w:r>
            <w:r>
              <w:rPr>
                <w:rFonts w:ascii="Times New Roman" w:hAnsi="Times New Roman" w:cs="Times New Roman"/>
                <w:sz w:val="24"/>
                <w:szCs w:val="24"/>
              </w:rPr>
              <w:t xml:space="preserve">ise süsteemi kujundamine </w:t>
            </w:r>
            <w:r>
              <w:rPr>
                <w:rFonts w:ascii="Times New Roman" w:hAnsi="Times New Roman" w:cs="Times New Roman"/>
                <w:sz w:val="24"/>
                <w:szCs w:val="24"/>
              </w:rPr>
              <w:lastRenderedPageBreak/>
              <w:t xml:space="preserve">oleks ebasüsteemne ja ebavajalik. </w:t>
            </w:r>
            <w:r w:rsidRPr="003E268E">
              <w:rPr>
                <w:rFonts w:ascii="Times New Roman" w:hAnsi="Times New Roman" w:cs="Times New Roman"/>
                <w:sz w:val="24"/>
                <w:szCs w:val="24"/>
              </w:rPr>
              <w:t>Euroopa Liidus reguleerib kollektiivsete esindushagide esitamist era</w:t>
            </w:r>
            <w:r>
              <w:rPr>
                <w:rFonts w:ascii="Times New Roman" w:hAnsi="Times New Roman" w:cs="Times New Roman"/>
                <w:sz w:val="24"/>
                <w:szCs w:val="24"/>
              </w:rPr>
              <w:t xml:space="preserve">õiguslike õiguskaitsevahendite </w:t>
            </w:r>
            <w:r w:rsidRPr="003E268E">
              <w:rPr>
                <w:rFonts w:ascii="Times New Roman" w:hAnsi="Times New Roman" w:cs="Times New Roman"/>
                <w:sz w:val="24"/>
                <w:szCs w:val="24"/>
              </w:rPr>
              <w:t>saamiseks, sh kahjuhüvitise saamiseks, Euroopa Parlamendi ja nõukogu</w:t>
            </w:r>
            <w:r>
              <w:rPr>
                <w:rFonts w:ascii="Times New Roman" w:hAnsi="Times New Roman" w:cs="Times New Roman"/>
                <w:sz w:val="24"/>
                <w:szCs w:val="24"/>
              </w:rPr>
              <w:t xml:space="preserve"> direktiiv (EL) 2020/1828, mis </w:t>
            </w:r>
            <w:r w:rsidRPr="003E268E">
              <w:rPr>
                <w:rFonts w:ascii="Times New Roman" w:hAnsi="Times New Roman" w:cs="Times New Roman"/>
                <w:sz w:val="24"/>
                <w:szCs w:val="24"/>
              </w:rPr>
              <w:t>käsitleb tarbijate kollektiivsete huvide kaitsmise esindushagisid ja m</w:t>
            </w:r>
            <w:r>
              <w:rPr>
                <w:rFonts w:ascii="Times New Roman" w:hAnsi="Times New Roman" w:cs="Times New Roman"/>
                <w:sz w:val="24"/>
                <w:szCs w:val="24"/>
              </w:rPr>
              <w:t xml:space="preserve">illega tunnistatakse kehtetuks </w:t>
            </w:r>
            <w:r w:rsidRPr="003E268E">
              <w:rPr>
                <w:rFonts w:ascii="Times New Roman" w:hAnsi="Times New Roman" w:cs="Times New Roman"/>
                <w:sz w:val="24"/>
                <w:szCs w:val="24"/>
              </w:rPr>
              <w:t>direktiiv 2009/22/EÜ. Direktiivi hakatakse kohaldama 23.06.2023.</w:t>
            </w:r>
            <w:r>
              <w:rPr>
                <w:rFonts w:ascii="Times New Roman" w:hAnsi="Times New Roman" w:cs="Times New Roman"/>
                <w:sz w:val="24"/>
                <w:szCs w:val="24"/>
              </w:rPr>
              <w:t xml:space="preserve"> a. Muuhulgas on esindushagide </w:t>
            </w:r>
            <w:r w:rsidRPr="003E268E">
              <w:rPr>
                <w:rFonts w:ascii="Times New Roman" w:hAnsi="Times New Roman" w:cs="Times New Roman"/>
                <w:sz w:val="24"/>
                <w:szCs w:val="24"/>
              </w:rPr>
              <w:t>direktiivis reguleeritud ka asulareovee direktiivi ettepaneku artikli 2</w:t>
            </w:r>
            <w:r>
              <w:rPr>
                <w:rFonts w:ascii="Times New Roman" w:hAnsi="Times New Roman" w:cs="Times New Roman"/>
                <w:sz w:val="24"/>
                <w:szCs w:val="24"/>
              </w:rPr>
              <w:t xml:space="preserve">6 lõigetes 2 ja 3 käsitletavad </w:t>
            </w:r>
            <w:r w:rsidRPr="003E268E">
              <w:rPr>
                <w:rFonts w:ascii="Times New Roman" w:hAnsi="Times New Roman" w:cs="Times New Roman"/>
                <w:sz w:val="24"/>
                <w:szCs w:val="24"/>
              </w:rPr>
              <w:t>küsimused, st esindushagide direktiiviga on mh loodud pädevat</w:t>
            </w:r>
            <w:r>
              <w:rPr>
                <w:rFonts w:ascii="Times New Roman" w:hAnsi="Times New Roman" w:cs="Times New Roman"/>
                <w:sz w:val="24"/>
                <w:szCs w:val="24"/>
              </w:rPr>
              <w:t xml:space="preserve">e üksuste regulatsioon, kes on </w:t>
            </w:r>
            <w:r w:rsidRPr="003E268E">
              <w:rPr>
                <w:rFonts w:ascii="Times New Roman" w:hAnsi="Times New Roman" w:cs="Times New Roman"/>
                <w:sz w:val="24"/>
                <w:szCs w:val="24"/>
              </w:rPr>
              <w:t xml:space="preserve">õigustatud esitama kollektiivseid esindushagisid, regulatsioon </w:t>
            </w:r>
            <w:proofErr w:type="spellStart"/>
            <w:r w:rsidRPr="003E268E">
              <w:rPr>
                <w:rFonts w:ascii="Times New Roman" w:hAnsi="Times New Roman" w:cs="Times New Roman"/>
                <w:sz w:val="24"/>
                <w:szCs w:val="24"/>
              </w:rPr>
              <w:t>ne</w:t>
            </w:r>
            <w:proofErr w:type="spellEnd"/>
            <w:r w:rsidRPr="003E268E">
              <w:rPr>
                <w:rFonts w:ascii="Times New Roman" w:hAnsi="Times New Roman" w:cs="Times New Roman"/>
                <w:sz w:val="24"/>
                <w:szCs w:val="24"/>
              </w:rPr>
              <w:t xml:space="preserve"> bis</w:t>
            </w:r>
            <w:r>
              <w:rPr>
                <w:rFonts w:ascii="Times New Roman" w:hAnsi="Times New Roman" w:cs="Times New Roman"/>
                <w:sz w:val="24"/>
                <w:szCs w:val="24"/>
              </w:rPr>
              <w:t xml:space="preserve"> in </w:t>
            </w:r>
            <w:proofErr w:type="spellStart"/>
            <w:r>
              <w:rPr>
                <w:rFonts w:ascii="Times New Roman" w:hAnsi="Times New Roman" w:cs="Times New Roman"/>
                <w:sz w:val="24"/>
                <w:szCs w:val="24"/>
              </w:rPr>
              <w:t>idem</w:t>
            </w:r>
            <w:proofErr w:type="spellEnd"/>
            <w:r>
              <w:rPr>
                <w:rFonts w:ascii="Times New Roman" w:hAnsi="Times New Roman" w:cs="Times New Roman"/>
                <w:sz w:val="24"/>
                <w:szCs w:val="24"/>
              </w:rPr>
              <w:t xml:space="preserve"> põhimõtte kohaldamise </w:t>
            </w:r>
            <w:r w:rsidRPr="003E268E">
              <w:rPr>
                <w:rFonts w:ascii="Times New Roman" w:hAnsi="Times New Roman" w:cs="Times New Roman"/>
                <w:sz w:val="24"/>
                <w:szCs w:val="24"/>
              </w:rPr>
              <w:t>kohta (sama nõuet ei saa esitada mitu korda) ja selle kohta, et esindusha</w:t>
            </w:r>
            <w:r>
              <w:rPr>
                <w:rFonts w:ascii="Times New Roman" w:hAnsi="Times New Roman" w:cs="Times New Roman"/>
                <w:sz w:val="24"/>
                <w:szCs w:val="24"/>
              </w:rPr>
              <w:t xml:space="preserve">gi esitamine ei oleks ülemääraselt takistatud. </w:t>
            </w:r>
            <w:r w:rsidRPr="003E268E">
              <w:rPr>
                <w:rFonts w:ascii="Times New Roman" w:hAnsi="Times New Roman" w:cs="Times New Roman"/>
                <w:sz w:val="24"/>
                <w:szCs w:val="24"/>
              </w:rPr>
              <w:t>Esindushagi direktiivi kohaldamisala on lai ja ajas muutuv. Käesol</w:t>
            </w:r>
            <w:r>
              <w:rPr>
                <w:rFonts w:ascii="Times New Roman" w:hAnsi="Times New Roman" w:cs="Times New Roman"/>
                <w:sz w:val="24"/>
                <w:szCs w:val="24"/>
              </w:rPr>
              <w:t xml:space="preserve">eval ajal on kohaldamisalas 66 </w:t>
            </w:r>
            <w:r w:rsidRPr="003E268E">
              <w:rPr>
                <w:rFonts w:ascii="Times New Roman" w:hAnsi="Times New Roman" w:cs="Times New Roman"/>
                <w:sz w:val="24"/>
                <w:szCs w:val="24"/>
              </w:rPr>
              <w:t xml:space="preserve">ühenduse erinevate valdkondade õigusakti ja kohaldamisala laiendatakse täiendavalt uute </w:t>
            </w:r>
          </w:p>
          <w:p w14:paraId="5B63FD75" w14:textId="090578EA" w:rsidR="003E268E" w:rsidRPr="003E268E" w:rsidRDefault="003E268E" w:rsidP="003E268E">
            <w:pPr>
              <w:jc w:val="both"/>
              <w:rPr>
                <w:rFonts w:ascii="Times New Roman" w:hAnsi="Times New Roman" w:cs="Times New Roman"/>
                <w:sz w:val="24"/>
                <w:szCs w:val="24"/>
              </w:rPr>
            </w:pPr>
            <w:r w:rsidRPr="003E268E">
              <w:rPr>
                <w:rFonts w:ascii="Times New Roman" w:hAnsi="Times New Roman" w:cs="Times New Roman"/>
                <w:sz w:val="24"/>
                <w:szCs w:val="24"/>
              </w:rPr>
              <w:t>vastuvõetavate õigusaktidega, kus on vajalik füüsilistele isikutele e</w:t>
            </w:r>
            <w:r>
              <w:rPr>
                <w:rFonts w:ascii="Times New Roman" w:hAnsi="Times New Roman" w:cs="Times New Roman"/>
                <w:sz w:val="24"/>
                <w:szCs w:val="24"/>
              </w:rPr>
              <w:t xml:space="preserve">sindushagi vormis kollektiivse </w:t>
            </w:r>
            <w:r w:rsidRPr="003E268E">
              <w:rPr>
                <w:rFonts w:ascii="Times New Roman" w:hAnsi="Times New Roman" w:cs="Times New Roman"/>
                <w:sz w:val="24"/>
                <w:szCs w:val="24"/>
              </w:rPr>
              <w:t>kaitse pakkumine. Kohaldamisalas ei ole üksnes tarbijate tarbijaõi</w:t>
            </w:r>
            <w:r>
              <w:rPr>
                <w:rFonts w:ascii="Times New Roman" w:hAnsi="Times New Roman" w:cs="Times New Roman"/>
                <w:sz w:val="24"/>
                <w:szCs w:val="24"/>
              </w:rPr>
              <w:t xml:space="preserve">gusest tulenevad nõuded, vaid, </w:t>
            </w:r>
            <w:r w:rsidRPr="003E268E">
              <w:rPr>
                <w:rFonts w:ascii="Times New Roman" w:hAnsi="Times New Roman" w:cs="Times New Roman"/>
                <w:sz w:val="24"/>
                <w:szCs w:val="24"/>
              </w:rPr>
              <w:t>olenevalt õigusakti valdkonnast, ka näiteks reisijad, patsiendid, andmesubjek</w:t>
            </w:r>
            <w:r>
              <w:rPr>
                <w:rFonts w:ascii="Times New Roman" w:hAnsi="Times New Roman" w:cs="Times New Roman"/>
                <w:sz w:val="24"/>
                <w:szCs w:val="24"/>
              </w:rPr>
              <w:t xml:space="preserve">tid, investorid jm </w:t>
            </w:r>
            <w:r w:rsidRPr="003E268E">
              <w:rPr>
                <w:rFonts w:ascii="Times New Roman" w:hAnsi="Times New Roman" w:cs="Times New Roman"/>
                <w:sz w:val="24"/>
                <w:szCs w:val="24"/>
              </w:rPr>
              <w:t xml:space="preserve">füüsilised isikud. </w:t>
            </w:r>
          </w:p>
          <w:p w14:paraId="5FE52FCA" w14:textId="5CAFDAA6" w:rsidR="003E268E" w:rsidRPr="003E268E" w:rsidRDefault="003E268E" w:rsidP="003E268E">
            <w:pPr>
              <w:jc w:val="both"/>
              <w:rPr>
                <w:rFonts w:ascii="Times New Roman" w:hAnsi="Times New Roman" w:cs="Times New Roman"/>
                <w:sz w:val="24"/>
                <w:szCs w:val="24"/>
              </w:rPr>
            </w:pPr>
            <w:r w:rsidRPr="003E268E">
              <w:rPr>
                <w:rFonts w:ascii="Times New Roman" w:hAnsi="Times New Roman" w:cs="Times New Roman"/>
                <w:sz w:val="24"/>
                <w:szCs w:val="24"/>
              </w:rPr>
              <w:t>Juhul, kui asulareovee direktiiv lisatakse esindushagide dire</w:t>
            </w:r>
            <w:r>
              <w:rPr>
                <w:rFonts w:ascii="Times New Roman" w:hAnsi="Times New Roman" w:cs="Times New Roman"/>
                <w:sz w:val="24"/>
                <w:szCs w:val="24"/>
              </w:rPr>
              <w:t xml:space="preserve">ktiivi kohaldamisalasse, oleks </w:t>
            </w:r>
            <w:r w:rsidRPr="003E268E">
              <w:rPr>
                <w:rFonts w:ascii="Times New Roman" w:hAnsi="Times New Roman" w:cs="Times New Roman"/>
                <w:sz w:val="24"/>
                <w:szCs w:val="24"/>
              </w:rPr>
              <w:t>ebasüsteemne, õigusselgusetu ja ebavajalik pakkuda asulareove</w:t>
            </w:r>
            <w:r>
              <w:rPr>
                <w:rFonts w:ascii="Times New Roman" w:hAnsi="Times New Roman" w:cs="Times New Roman"/>
                <w:sz w:val="24"/>
                <w:szCs w:val="24"/>
              </w:rPr>
              <w:t xml:space="preserve">e direktiivi ettepanekus endas </w:t>
            </w:r>
            <w:r w:rsidRPr="003E268E">
              <w:rPr>
                <w:rFonts w:ascii="Times New Roman" w:hAnsi="Times New Roman" w:cs="Times New Roman"/>
                <w:sz w:val="24"/>
                <w:szCs w:val="24"/>
              </w:rPr>
              <w:t xml:space="preserve">paralleelseid lahendusi, mis võivad läbirääkimiste ja </w:t>
            </w:r>
            <w:proofErr w:type="spellStart"/>
            <w:r w:rsidRPr="003E268E">
              <w:rPr>
                <w:rFonts w:ascii="Times New Roman" w:hAnsi="Times New Roman" w:cs="Times New Roman"/>
                <w:sz w:val="24"/>
                <w:szCs w:val="24"/>
              </w:rPr>
              <w:t>triloogide</w:t>
            </w:r>
            <w:proofErr w:type="spellEnd"/>
            <w:r w:rsidRPr="003E268E">
              <w:rPr>
                <w:rFonts w:ascii="Times New Roman" w:hAnsi="Times New Roman" w:cs="Times New Roman"/>
                <w:sz w:val="24"/>
                <w:szCs w:val="24"/>
              </w:rPr>
              <w:t xml:space="preserve"> tulemusel </w:t>
            </w:r>
            <w:r>
              <w:rPr>
                <w:rFonts w:ascii="Times New Roman" w:hAnsi="Times New Roman" w:cs="Times New Roman"/>
                <w:sz w:val="24"/>
                <w:szCs w:val="24"/>
              </w:rPr>
              <w:t xml:space="preserve">viia selleni, et esindushagide </w:t>
            </w:r>
            <w:r w:rsidRPr="003E268E">
              <w:rPr>
                <w:rFonts w:ascii="Times New Roman" w:hAnsi="Times New Roman" w:cs="Times New Roman"/>
                <w:sz w:val="24"/>
                <w:szCs w:val="24"/>
              </w:rPr>
              <w:t>direktiivis juba reguleeritud küsimused lahendatakse asulareovee direk</w:t>
            </w:r>
            <w:r w:rsidR="008771AD">
              <w:rPr>
                <w:rFonts w:ascii="Times New Roman" w:hAnsi="Times New Roman" w:cs="Times New Roman"/>
                <w:sz w:val="24"/>
                <w:szCs w:val="24"/>
              </w:rPr>
              <w:t xml:space="preserve">tiivi puhul erinevalt. </w:t>
            </w:r>
            <w:proofErr w:type="spellStart"/>
            <w:r w:rsidR="008771AD">
              <w:rPr>
                <w:rFonts w:ascii="Times New Roman" w:hAnsi="Times New Roman" w:cs="Times New Roman"/>
                <w:sz w:val="24"/>
                <w:szCs w:val="24"/>
              </w:rPr>
              <w:t>Sellisel</w:t>
            </w:r>
            <w:r w:rsidRPr="003E268E">
              <w:rPr>
                <w:rFonts w:ascii="Times New Roman" w:hAnsi="Times New Roman" w:cs="Times New Roman"/>
                <w:sz w:val="24"/>
                <w:szCs w:val="24"/>
              </w:rPr>
              <w:t>juhul</w:t>
            </w:r>
            <w:proofErr w:type="spellEnd"/>
            <w:r w:rsidRPr="003E268E">
              <w:rPr>
                <w:rFonts w:ascii="Times New Roman" w:hAnsi="Times New Roman" w:cs="Times New Roman"/>
                <w:sz w:val="24"/>
                <w:szCs w:val="24"/>
              </w:rPr>
              <w:t xml:space="preserve"> tuleks spetsiifiliselt paari menetlusõigusliku aspekti osas direktiiv ül</w:t>
            </w:r>
            <w:r w:rsidR="008771AD">
              <w:rPr>
                <w:rFonts w:ascii="Times New Roman" w:hAnsi="Times New Roman" w:cs="Times New Roman"/>
                <w:sz w:val="24"/>
                <w:szCs w:val="24"/>
              </w:rPr>
              <w:t xml:space="preserve">e võtta ja kohaldada erinevalt </w:t>
            </w:r>
            <w:r w:rsidRPr="003E268E">
              <w:rPr>
                <w:rFonts w:ascii="Times New Roman" w:hAnsi="Times New Roman" w:cs="Times New Roman"/>
                <w:sz w:val="24"/>
                <w:szCs w:val="24"/>
              </w:rPr>
              <w:t>ja ka Euroopa Kohtul oleks võimalik tõlgendada erinevaid regulatsioone</w:t>
            </w:r>
            <w:r w:rsidR="008771AD">
              <w:rPr>
                <w:rFonts w:ascii="Times New Roman" w:hAnsi="Times New Roman" w:cs="Times New Roman"/>
                <w:sz w:val="24"/>
                <w:szCs w:val="24"/>
              </w:rPr>
              <w:t xml:space="preserve"> erinevalt. Samas on ebaselge, </w:t>
            </w:r>
            <w:r w:rsidRPr="003E268E">
              <w:rPr>
                <w:rFonts w:ascii="Times New Roman" w:hAnsi="Times New Roman" w:cs="Times New Roman"/>
                <w:sz w:val="24"/>
                <w:szCs w:val="24"/>
              </w:rPr>
              <w:t>miks ei peaks asulareovee direktiivi puhul sobima juba olemasolev</w:t>
            </w:r>
            <w:r w:rsidR="008771AD">
              <w:rPr>
                <w:rFonts w:ascii="Times New Roman" w:hAnsi="Times New Roman" w:cs="Times New Roman"/>
                <w:sz w:val="24"/>
                <w:szCs w:val="24"/>
              </w:rPr>
              <w:t xml:space="preserve">a süsteemi lahendused. Kui aga </w:t>
            </w:r>
            <w:r w:rsidRPr="003E268E">
              <w:rPr>
                <w:rFonts w:ascii="Times New Roman" w:hAnsi="Times New Roman" w:cs="Times New Roman"/>
                <w:sz w:val="24"/>
                <w:szCs w:val="24"/>
              </w:rPr>
              <w:t>eesmärgiks on luua regulatsioon, mis vastab esindushagide direktiivile,</w:t>
            </w:r>
            <w:r w:rsidR="008771AD">
              <w:rPr>
                <w:rFonts w:ascii="Times New Roman" w:hAnsi="Times New Roman" w:cs="Times New Roman"/>
                <w:sz w:val="24"/>
                <w:szCs w:val="24"/>
              </w:rPr>
              <w:t xml:space="preserve"> on ebaselge, miks peaks paari </w:t>
            </w:r>
            <w:r w:rsidRPr="003E268E">
              <w:rPr>
                <w:rFonts w:ascii="Times New Roman" w:hAnsi="Times New Roman" w:cs="Times New Roman"/>
                <w:sz w:val="24"/>
                <w:szCs w:val="24"/>
              </w:rPr>
              <w:t xml:space="preserve">menetlusõigusliku aspekti osas olema asulareovee direktiivis paralleelsed või täiendavad lahendused. </w:t>
            </w:r>
          </w:p>
          <w:p w14:paraId="751D4B67" w14:textId="51E88A4C" w:rsidR="003E268E" w:rsidRPr="003E268E" w:rsidRDefault="003E268E" w:rsidP="003E268E">
            <w:pPr>
              <w:jc w:val="both"/>
              <w:rPr>
                <w:rFonts w:ascii="Times New Roman" w:hAnsi="Times New Roman" w:cs="Times New Roman"/>
                <w:sz w:val="24"/>
                <w:szCs w:val="24"/>
              </w:rPr>
            </w:pPr>
            <w:r w:rsidRPr="003E268E">
              <w:rPr>
                <w:rFonts w:ascii="Times New Roman" w:hAnsi="Times New Roman" w:cs="Times New Roman"/>
                <w:sz w:val="24"/>
                <w:szCs w:val="24"/>
              </w:rPr>
              <w:lastRenderedPageBreak/>
              <w:t>Nagu eespool märgitud, puuduvad ettepaneku dokumendis menetlusõiguslike val</w:t>
            </w:r>
            <w:r w:rsidR="008771AD">
              <w:rPr>
                <w:rFonts w:ascii="Times New Roman" w:hAnsi="Times New Roman" w:cs="Times New Roman"/>
                <w:sz w:val="24"/>
                <w:szCs w:val="24"/>
              </w:rPr>
              <w:t xml:space="preserve">ikute kaalutlused, </w:t>
            </w:r>
            <w:r w:rsidRPr="003E268E">
              <w:rPr>
                <w:rFonts w:ascii="Times New Roman" w:hAnsi="Times New Roman" w:cs="Times New Roman"/>
                <w:sz w:val="24"/>
                <w:szCs w:val="24"/>
              </w:rPr>
              <w:t xml:space="preserve">põhjendused ja selgitused. </w:t>
            </w:r>
          </w:p>
          <w:p w14:paraId="365D5AFE" w14:textId="7EF7D5E1" w:rsidR="003E268E" w:rsidRPr="003E268E" w:rsidRDefault="003E268E" w:rsidP="003E268E">
            <w:pPr>
              <w:jc w:val="both"/>
              <w:rPr>
                <w:rFonts w:ascii="Times New Roman" w:hAnsi="Times New Roman" w:cs="Times New Roman"/>
                <w:sz w:val="24"/>
                <w:szCs w:val="24"/>
              </w:rPr>
            </w:pPr>
            <w:r w:rsidRPr="003E268E">
              <w:rPr>
                <w:rFonts w:ascii="Times New Roman" w:hAnsi="Times New Roman" w:cs="Times New Roman"/>
                <w:sz w:val="24"/>
                <w:szCs w:val="24"/>
              </w:rPr>
              <w:t>Kui asulareovee direktiivi ei soovita lisada esindushagide direktiivi ko</w:t>
            </w:r>
            <w:r w:rsidR="008771AD">
              <w:rPr>
                <w:rFonts w:ascii="Times New Roman" w:hAnsi="Times New Roman" w:cs="Times New Roman"/>
                <w:sz w:val="24"/>
                <w:szCs w:val="24"/>
              </w:rPr>
              <w:t xml:space="preserve">haldamisalasse, oleks tegemist </w:t>
            </w:r>
            <w:r w:rsidRPr="003E268E">
              <w:rPr>
                <w:rFonts w:ascii="Times New Roman" w:hAnsi="Times New Roman" w:cs="Times New Roman"/>
                <w:sz w:val="24"/>
                <w:szCs w:val="24"/>
              </w:rPr>
              <w:t xml:space="preserve">ühe direktiivi jaoks spetsiifilise esindushagi süsteemi loomisega. Eraõiguslike nõuete puhul ei peaks </w:t>
            </w:r>
          </w:p>
          <w:p w14:paraId="7ECC60AA" w14:textId="0F936B09" w:rsidR="003E268E" w:rsidRPr="003E268E" w:rsidRDefault="003E268E" w:rsidP="003E268E">
            <w:pPr>
              <w:jc w:val="both"/>
              <w:rPr>
                <w:rFonts w:ascii="Times New Roman" w:hAnsi="Times New Roman" w:cs="Times New Roman"/>
                <w:sz w:val="24"/>
                <w:szCs w:val="24"/>
              </w:rPr>
            </w:pPr>
            <w:r w:rsidRPr="003E268E">
              <w:rPr>
                <w:rFonts w:ascii="Times New Roman" w:hAnsi="Times New Roman" w:cs="Times New Roman"/>
                <w:sz w:val="24"/>
                <w:szCs w:val="24"/>
              </w:rPr>
              <w:t xml:space="preserve">Eesti sellist lahendust toetama. Õiguse killustumine ja erisuste </w:t>
            </w:r>
            <w:r w:rsidR="008771AD">
              <w:rPr>
                <w:rFonts w:ascii="Times New Roman" w:hAnsi="Times New Roman" w:cs="Times New Roman"/>
                <w:sz w:val="24"/>
                <w:szCs w:val="24"/>
              </w:rPr>
              <w:t xml:space="preserve">loomine peab olema põhjalikult </w:t>
            </w:r>
            <w:r w:rsidRPr="003E268E">
              <w:rPr>
                <w:rFonts w:ascii="Times New Roman" w:hAnsi="Times New Roman" w:cs="Times New Roman"/>
                <w:sz w:val="24"/>
                <w:szCs w:val="24"/>
              </w:rPr>
              <w:t>kaalutud ja põhjendatud, kuid nagu viidatud, puuduvad ettepaneku sele</w:t>
            </w:r>
            <w:r w:rsidR="008771AD">
              <w:rPr>
                <w:rFonts w:ascii="Times New Roman" w:hAnsi="Times New Roman" w:cs="Times New Roman"/>
                <w:sz w:val="24"/>
                <w:szCs w:val="24"/>
              </w:rPr>
              <w:t xml:space="preserve">tuskirjas selgitused, sh selle </w:t>
            </w:r>
            <w:r w:rsidRPr="003E268E">
              <w:rPr>
                <w:rFonts w:ascii="Times New Roman" w:hAnsi="Times New Roman" w:cs="Times New Roman"/>
                <w:sz w:val="24"/>
                <w:szCs w:val="24"/>
              </w:rPr>
              <w:t>kohta, miks peaks konkreetsete eraõiguslike nõuete esitamine t</w:t>
            </w:r>
            <w:r w:rsidR="008771AD">
              <w:rPr>
                <w:rFonts w:ascii="Times New Roman" w:hAnsi="Times New Roman" w:cs="Times New Roman"/>
                <w:sz w:val="24"/>
                <w:szCs w:val="24"/>
              </w:rPr>
              <w:t xml:space="preserve">oimuma kuidagi teisiti, kui on </w:t>
            </w:r>
            <w:r w:rsidRPr="003E268E">
              <w:rPr>
                <w:rFonts w:ascii="Times New Roman" w:hAnsi="Times New Roman" w:cs="Times New Roman"/>
                <w:sz w:val="24"/>
                <w:szCs w:val="24"/>
              </w:rPr>
              <w:t>ühenduse õiguse alusel ühtse raamistikuna liikmesriigi õiguses dir</w:t>
            </w:r>
            <w:r w:rsidR="008771AD">
              <w:rPr>
                <w:rFonts w:ascii="Times New Roman" w:hAnsi="Times New Roman" w:cs="Times New Roman"/>
                <w:sz w:val="24"/>
                <w:szCs w:val="24"/>
              </w:rPr>
              <w:t xml:space="preserve">ektiivi rakendamise ajaks ette </w:t>
            </w:r>
            <w:r w:rsidRPr="003E268E">
              <w:rPr>
                <w:rFonts w:ascii="Times New Roman" w:hAnsi="Times New Roman" w:cs="Times New Roman"/>
                <w:sz w:val="24"/>
                <w:szCs w:val="24"/>
              </w:rPr>
              <w:t xml:space="preserve">nähtud. Esindushagide puhul peab süsteem olema selge ja ühetaoline. </w:t>
            </w:r>
          </w:p>
          <w:p w14:paraId="3CD2A2A3" w14:textId="6A7F136B" w:rsidR="003E268E" w:rsidRPr="003E268E" w:rsidRDefault="003E268E" w:rsidP="003E268E">
            <w:pPr>
              <w:jc w:val="both"/>
              <w:rPr>
                <w:rFonts w:ascii="Times New Roman" w:hAnsi="Times New Roman" w:cs="Times New Roman"/>
                <w:sz w:val="24"/>
                <w:szCs w:val="24"/>
              </w:rPr>
            </w:pPr>
            <w:r w:rsidRPr="003E268E">
              <w:rPr>
                <w:rFonts w:ascii="Times New Roman" w:hAnsi="Times New Roman" w:cs="Times New Roman"/>
                <w:sz w:val="24"/>
                <w:szCs w:val="24"/>
              </w:rPr>
              <w:t>Asulareovee direktiivi rakendamise ajaks on kõigis liikmesriikides loo</w:t>
            </w:r>
            <w:r w:rsidR="008771AD">
              <w:rPr>
                <w:rFonts w:ascii="Times New Roman" w:hAnsi="Times New Roman" w:cs="Times New Roman"/>
                <w:sz w:val="24"/>
                <w:szCs w:val="24"/>
              </w:rPr>
              <w:t xml:space="preserve">dud ühetaolised kollektiivsete </w:t>
            </w:r>
            <w:r w:rsidRPr="003E268E">
              <w:rPr>
                <w:rFonts w:ascii="Times New Roman" w:hAnsi="Times New Roman" w:cs="Times New Roman"/>
                <w:sz w:val="24"/>
                <w:szCs w:val="24"/>
              </w:rPr>
              <w:t xml:space="preserve">esindushagide süsteemid mh eraõigusliku õiguskaitsemeetmena kahjuhüvitise saamiseks. Eesti ei </w:t>
            </w:r>
          </w:p>
          <w:p w14:paraId="77B60EB2" w14:textId="77777777" w:rsidR="003E268E" w:rsidRPr="003E268E" w:rsidRDefault="003E268E" w:rsidP="003E268E">
            <w:pPr>
              <w:jc w:val="both"/>
              <w:rPr>
                <w:rFonts w:ascii="Times New Roman" w:hAnsi="Times New Roman" w:cs="Times New Roman"/>
                <w:sz w:val="24"/>
                <w:szCs w:val="24"/>
              </w:rPr>
            </w:pPr>
            <w:r w:rsidRPr="003E268E">
              <w:rPr>
                <w:rFonts w:ascii="Times New Roman" w:hAnsi="Times New Roman" w:cs="Times New Roman"/>
                <w:sz w:val="24"/>
                <w:szCs w:val="24"/>
              </w:rPr>
              <w:t xml:space="preserve">peaks paralleelse kitsa sektorispetsiifilise süsteemi loomist toetama. </w:t>
            </w:r>
          </w:p>
          <w:p w14:paraId="194C9288" w14:textId="1FECE526" w:rsidR="003E268E" w:rsidRPr="003E268E" w:rsidRDefault="003E268E" w:rsidP="003E268E">
            <w:pPr>
              <w:jc w:val="both"/>
              <w:rPr>
                <w:rFonts w:ascii="Times New Roman" w:hAnsi="Times New Roman" w:cs="Times New Roman"/>
                <w:sz w:val="24"/>
                <w:szCs w:val="24"/>
              </w:rPr>
            </w:pPr>
            <w:r w:rsidRPr="003E268E">
              <w:rPr>
                <w:rFonts w:ascii="Times New Roman" w:hAnsi="Times New Roman" w:cs="Times New Roman"/>
                <w:sz w:val="24"/>
                <w:szCs w:val="24"/>
              </w:rPr>
              <w:t>6. Artikli 26 lõike 4 sisuga, mis nõuab negatiivse asjaolu tõenda</w:t>
            </w:r>
            <w:r w:rsidR="008771AD">
              <w:rPr>
                <w:rFonts w:ascii="Times New Roman" w:hAnsi="Times New Roman" w:cs="Times New Roman"/>
                <w:sz w:val="24"/>
                <w:szCs w:val="24"/>
              </w:rPr>
              <w:t xml:space="preserve">mist, ei saa nõustuda, kuivõrd </w:t>
            </w:r>
            <w:r w:rsidRPr="003E268E">
              <w:rPr>
                <w:rFonts w:ascii="Times New Roman" w:hAnsi="Times New Roman" w:cs="Times New Roman"/>
                <w:sz w:val="24"/>
                <w:szCs w:val="24"/>
              </w:rPr>
              <w:t>negatiivse asjaolu tõendamine ei ole võimalik. Ka hetkel EL nõuko</w:t>
            </w:r>
            <w:r w:rsidR="008771AD">
              <w:rPr>
                <w:rFonts w:ascii="Times New Roman" w:hAnsi="Times New Roman" w:cs="Times New Roman"/>
                <w:sz w:val="24"/>
                <w:szCs w:val="24"/>
              </w:rPr>
              <w:t xml:space="preserve">gus </w:t>
            </w:r>
            <w:proofErr w:type="spellStart"/>
            <w:r w:rsidR="008771AD">
              <w:rPr>
                <w:rFonts w:ascii="Times New Roman" w:hAnsi="Times New Roman" w:cs="Times New Roman"/>
                <w:sz w:val="24"/>
                <w:szCs w:val="24"/>
              </w:rPr>
              <w:t>tsiviilkohtumenetlusõigust</w:t>
            </w:r>
            <w:proofErr w:type="spellEnd"/>
            <w:r w:rsidR="008771AD">
              <w:rPr>
                <w:rFonts w:ascii="Times New Roman" w:hAnsi="Times New Roman" w:cs="Times New Roman"/>
                <w:sz w:val="24"/>
                <w:szCs w:val="24"/>
              </w:rPr>
              <w:t xml:space="preserve"> </w:t>
            </w:r>
            <w:r w:rsidRPr="003E268E">
              <w:rPr>
                <w:rFonts w:ascii="Times New Roman" w:hAnsi="Times New Roman" w:cs="Times New Roman"/>
                <w:sz w:val="24"/>
                <w:szCs w:val="24"/>
              </w:rPr>
              <w:t>käsitleva vaigistushagide direktiivi eelnõu läbirääkimistel on jõutud ühtsele arusaamale, et negatiivs</w:t>
            </w:r>
            <w:r w:rsidR="008771AD">
              <w:rPr>
                <w:rFonts w:ascii="Times New Roman" w:hAnsi="Times New Roman" w:cs="Times New Roman"/>
                <w:sz w:val="24"/>
                <w:szCs w:val="24"/>
              </w:rPr>
              <w:t xml:space="preserve">e </w:t>
            </w:r>
            <w:r w:rsidRPr="003E268E">
              <w:rPr>
                <w:rFonts w:ascii="Times New Roman" w:hAnsi="Times New Roman" w:cs="Times New Roman"/>
                <w:sz w:val="24"/>
                <w:szCs w:val="24"/>
              </w:rPr>
              <w:t xml:space="preserve">asjaolu tõendamine ei ole võimalik ning sellest teadmisest läbirääkimisel ka lähtutakse. </w:t>
            </w:r>
          </w:p>
          <w:p w14:paraId="14F74B4F" w14:textId="72B36403" w:rsidR="003E268E" w:rsidRDefault="003E268E" w:rsidP="003E268E">
            <w:pPr>
              <w:jc w:val="both"/>
              <w:rPr>
                <w:rFonts w:ascii="Times New Roman" w:hAnsi="Times New Roman" w:cs="Times New Roman"/>
                <w:sz w:val="24"/>
                <w:szCs w:val="24"/>
              </w:rPr>
            </w:pPr>
            <w:r w:rsidRPr="003E268E">
              <w:rPr>
                <w:rFonts w:ascii="Times New Roman" w:hAnsi="Times New Roman" w:cs="Times New Roman"/>
                <w:sz w:val="24"/>
                <w:szCs w:val="24"/>
              </w:rPr>
              <w:t>Lisaks nimetatakse lõikes 4 kahju tekitamise eest vastutavaks isi</w:t>
            </w:r>
            <w:r w:rsidR="008771AD">
              <w:rPr>
                <w:rFonts w:ascii="Times New Roman" w:hAnsi="Times New Roman" w:cs="Times New Roman"/>
                <w:sz w:val="24"/>
                <w:szCs w:val="24"/>
              </w:rPr>
              <w:t xml:space="preserve">kut, kelle suhtes ei ole kohus </w:t>
            </w:r>
            <w:r w:rsidRPr="003E268E">
              <w:rPr>
                <w:rFonts w:ascii="Times New Roman" w:hAnsi="Times New Roman" w:cs="Times New Roman"/>
                <w:sz w:val="24"/>
                <w:szCs w:val="24"/>
              </w:rPr>
              <w:t>otsustega tuvastanud, et isik vastutab kahju tekitamise eest. Selli</w:t>
            </w:r>
            <w:r w:rsidR="008771AD">
              <w:rPr>
                <w:rFonts w:ascii="Times New Roman" w:hAnsi="Times New Roman" w:cs="Times New Roman"/>
                <w:sz w:val="24"/>
                <w:szCs w:val="24"/>
              </w:rPr>
              <w:t xml:space="preserve">se sõnastuse puhul peaks kohus </w:t>
            </w:r>
            <w:r w:rsidRPr="003E268E">
              <w:rPr>
                <w:rFonts w:ascii="Times New Roman" w:hAnsi="Times New Roman" w:cs="Times New Roman"/>
                <w:sz w:val="24"/>
                <w:szCs w:val="24"/>
              </w:rPr>
              <w:t>kohtlema üht osapoolt erapoolikult ja eelhäälestatult kahju tekitajana. Se</w:t>
            </w:r>
            <w:r w:rsidR="008771AD">
              <w:rPr>
                <w:rFonts w:ascii="Times New Roman" w:hAnsi="Times New Roman" w:cs="Times New Roman"/>
                <w:sz w:val="24"/>
                <w:szCs w:val="24"/>
              </w:rPr>
              <w:t xml:space="preserve">lline käsitlus oleks vastuolus </w:t>
            </w:r>
            <w:r w:rsidRPr="003E268E">
              <w:rPr>
                <w:rFonts w:ascii="Times New Roman" w:hAnsi="Times New Roman" w:cs="Times New Roman"/>
                <w:sz w:val="24"/>
                <w:szCs w:val="24"/>
              </w:rPr>
              <w:t xml:space="preserve">tsiviilkohtumenetluse üldpõhimõtetega. </w:t>
            </w:r>
          </w:p>
          <w:p w14:paraId="6710C411" w14:textId="77777777" w:rsidR="008771AD" w:rsidRPr="003E268E" w:rsidRDefault="008771AD" w:rsidP="003E268E">
            <w:pPr>
              <w:jc w:val="both"/>
              <w:rPr>
                <w:rFonts w:ascii="Times New Roman" w:hAnsi="Times New Roman" w:cs="Times New Roman"/>
                <w:sz w:val="24"/>
                <w:szCs w:val="24"/>
              </w:rPr>
            </w:pPr>
          </w:p>
          <w:p w14:paraId="6E10C906" w14:textId="77777777" w:rsidR="003E268E" w:rsidRPr="008771AD" w:rsidRDefault="003E268E" w:rsidP="003E268E">
            <w:pPr>
              <w:jc w:val="both"/>
              <w:rPr>
                <w:rFonts w:ascii="Times New Roman" w:hAnsi="Times New Roman" w:cs="Times New Roman"/>
                <w:b/>
                <w:sz w:val="24"/>
                <w:szCs w:val="24"/>
              </w:rPr>
            </w:pPr>
            <w:r w:rsidRPr="008771AD">
              <w:rPr>
                <w:rFonts w:ascii="Times New Roman" w:hAnsi="Times New Roman" w:cs="Times New Roman"/>
                <w:b/>
                <w:sz w:val="24"/>
                <w:szCs w:val="24"/>
              </w:rPr>
              <w:t>Aegumine</w:t>
            </w:r>
          </w:p>
          <w:p w14:paraId="7F2AB112" w14:textId="7F12030F" w:rsidR="003E268E" w:rsidRPr="003E268E" w:rsidRDefault="003E268E" w:rsidP="003E268E">
            <w:pPr>
              <w:jc w:val="both"/>
              <w:rPr>
                <w:rFonts w:ascii="Times New Roman" w:hAnsi="Times New Roman" w:cs="Times New Roman"/>
                <w:sz w:val="24"/>
                <w:szCs w:val="24"/>
              </w:rPr>
            </w:pPr>
            <w:r w:rsidRPr="003E268E">
              <w:rPr>
                <w:rFonts w:ascii="Times New Roman" w:hAnsi="Times New Roman" w:cs="Times New Roman"/>
                <w:sz w:val="24"/>
                <w:szCs w:val="24"/>
              </w:rPr>
              <w:t>Justiitsministeeriumi hinnangul ei ole põhjendatud ühenduse tasandil ki</w:t>
            </w:r>
            <w:r w:rsidR="008771AD">
              <w:rPr>
                <w:rFonts w:ascii="Times New Roman" w:hAnsi="Times New Roman" w:cs="Times New Roman"/>
                <w:sz w:val="24"/>
                <w:szCs w:val="24"/>
              </w:rPr>
              <w:t xml:space="preserve">tsalt asulareovee direktiiviga </w:t>
            </w:r>
            <w:r w:rsidRPr="003E268E">
              <w:rPr>
                <w:rFonts w:ascii="Times New Roman" w:hAnsi="Times New Roman" w:cs="Times New Roman"/>
                <w:sz w:val="24"/>
                <w:szCs w:val="24"/>
              </w:rPr>
              <w:t>loodavate meetmete rikkumisega põhjustatud tervisekahju nõuet</w:t>
            </w:r>
            <w:r w:rsidR="008771AD">
              <w:rPr>
                <w:rFonts w:ascii="Times New Roman" w:hAnsi="Times New Roman" w:cs="Times New Roman"/>
                <w:sz w:val="24"/>
                <w:szCs w:val="24"/>
              </w:rPr>
              <w:t xml:space="preserve">ele erineva materiaalõigusliku </w:t>
            </w:r>
            <w:r w:rsidRPr="003E268E">
              <w:rPr>
                <w:rFonts w:ascii="Times New Roman" w:hAnsi="Times New Roman" w:cs="Times New Roman"/>
                <w:sz w:val="24"/>
                <w:szCs w:val="24"/>
              </w:rPr>
              <w:t>aegumistähtaja sätestamine, mis ei järgi üldise aegumise regulatsiooni loogikat.</w:t>
            </w:r>
          </w:p>
          <w:p w14:paraId="2E5E65F0" w14:textId="6BC17E96" w:rsidR="003E268E" w:rsidRPr="003E268E" w:rsidRDefault="003E268E" w:rsidP="003E268E">
            <w:pPr>
              <w:jc w:val="both"/>
              <w:rPr>
                <w:rFonts w:ascii="Times New Roman" w:hAnsi="Times New Roman" w:cs="Times New Roman"/>
                <w:sz w:val="24"/>
                <w:szCs w:val="24"/>
              </w:rPr>
            </w:pPr>
            <w:r w:rsidRPr="003E268E">
              <w:rPr>
                <w:rFonts w:ascii="Times New Roman" w:hAnsi="Times New Roman" w:cs="Times New Roman"/>
                <w:sz w:val="24"/>
                <w:szCs w:val="24"/>
              </w:rPr>
              <w:lastRenderedPageBreak/>
              <w:t>Ettepaneku artikli 26 lõike 5 kohaselt ei tohi hagi esitamise tähtaeg o</w:t>
            </w:r>
            <w:r w:rsidR="008771AD">
              <w:rPr>
                <w:rFonts w:ascii="Times New Roman" w:hAnsi="Times New Roman" w:cs="Times New Roman"/>
                <w:sz w:val="24"/>
                <w:szCs w:val="24"/>
              </w:rPr>
              <w:t xml:space="preserve">lla lühem kui 5 aastat. </w:t>
            </w:r>
            <w:proofErr w:type="spellStart"/>
            <w:r w:rsidR="008771AD">
              <w:rPr>
                <w:rFonts w:ascii="Times New Roman" w:hAnsi="Times New Roman" w:cs="Times New Roman"/>
                <w:sz w:val="24"/>
                <w:szCs w:val="24"/>
              </w:rPr>
              <w:t>TsÜS</w:t>
            </w:r>
            <w:proofErr w:type="spellEnd"/>
            <w:r w:rsidR="008771AD">
              <w:rPr>
                <w:rFonts w:ascii="Times New Roman" w:hAnsi="Times New Roman" w:cs="Times New Roman"/>
                <w:sz w:val="24"/>
                <w:szCs w:val="24"/>
              </w:rPr>
              <w:t xml:space="preserve"> § </w:t>
            </w:r>
            <w:r w:rsidRPr="003E268E">
              <w:rPr>
                <w:rFonts w:ascii="Times New Roman" w:hAnsi="Times New Roman" w:cs="Times New Roman"/>
                <w:sz w:val="24"/>
                <w:szCs w:val="24"/>
              </w:rPr>
              <w:t>153 lg 1 kohaselt on surma põhjustamisest, kehavigastuse tekitamise</w:t>
            </w:r>
            <w:r w:rsidR="008771AD">
              <w:rPr>
                <w:rFonts w:ascii="Times New Roman" w:hAnsi="Times New Roman" w:cs="Times New Roman"/>
                <w:sz w:val="24"/>
                <w:szCs w:val="24"/>
              </w:rPr>
              <w:t xml:space="preserve">st, tervise kahjustamisest või </w:t>
            </w:r>
            <w:r w:rsidRPr="003E268E">
              <w:rPr>
                <w:rFonts w:ascii="Times New Roman" w:hAnsi="Times New Roman" w:cs="Times New Roman"/>
                <w:sz w:val="24"/>
                <w:szCs w:val="24"/>
              </w:rPr>
              <w:t>vabaduse võtmisest tuleneva nõude aegumistähtaeg, olenemata sell</w:t>
            </w:r>
            <w:r w:rsidR="008771AD">
              <w:rPr>
                <w:rFonts w:ascii="Times New Roman" w:hAnsi="Times New Roman" w:cs="Times New Roman"/>
                <w:sz w:val="24"/>
                <w:szCs w:val="24"/>
              </w:rPr>
              <w:t xml:space="preserve">est, milline on nõude õiguslik </w:t>
            </w:r>
            <w:r w:rsidRPr="003E268E">
              <w:rPr>
                <w:rFonts w:ascii="Times New Roman" w:hAnsi="Times New Roman" w:cs="Times New Roman"/>
                <w:sz w:val="24"/>
                <w:szCs w:val="24"/>
              </w:rPr>
              <w:t>alus, kolm aastat ajast, mil õigustatud isik kahjust ja kahju hüvitamisek</w:t>
            </w:r>
            <w:r w:rsidR="008771AD">
              <w:rPr>
                <w:rFonts w:ascii="Times New Roman" w:hAnsi="Times New Roman" w:cs="Times New Roman"/>
                <w:sz w:val="24"/>
                <w:szCs w:val="24"/>
              </w:rPr>
              <w:t xml:space="preserve">s kohustatud isikust teada sai </w:t>
            </w:r>
            <w:r w:rsidRPr="003E268E">
              <w:rPr>
                <w:rFonts w:ascii="Times New Roman" w:hAnsi="Times New Roman" w:cs="Times New Roman"/>
                <w:sz w:val="24"/>
                <w:szCs w:val="24"/>
              </w:rPr>
              <w:t>või pidi teada saama. Lisaks sätestab sama paragrahvi lõige 2, et lõi</w:t>
            </w:r>
            <w:r w:rsidR="008771AD">
              <w:rPr>
                <w:rFonts w:ascii="Times New Roman" w:hAnsi="Times New Roman" w:cs="Times New Roman"/>
                <w:sz w:val="24"/>
                <w:szCs w:val="24"/>
              </w:rPr>
              <w:t xml:space="preserve">kes 1 nimetatud nõuded aeguvad </w:t>
            </w:r>
            <w:r w:rsidRPr="003E268E">
              <w:rPr>
                <w:rFonts w:ascii="Times New Roman" w:hAnsi="Times New Roman" w:cs="Times New Roman"/>
                <w:sz w:val="24"/>
                <w:szCs w:val="24"/>
              </w:rPr>
              <w:t>hiljemalt 30 aasta jooksul, arvates kahju põhjustanud teo tegemisest või sündmuse toimumisest.</w:t>
            </w:r>
          </w:p>
          <w:p w14:paraId="1C505F4A" w14:textId="332789D8" w:rsidR="003E268E" w:rsidRPr="003E268E" w:rsidRDefault="003E268E" w:rsidP="003E268E">
            <w:pPr>
              <w:jc w:val="both"/>
              <w:rPr>
                <w:rFonts w:ascii="Times New Roman" w:hAnsi="Times New Roman" w:cs="Times New Roman"/>
                <w:sz w:val="24"/>
                <w:szCs w:val="24"/>
              </w:rPr>
            </w:pPr>
            <w:r w:rsidRPr="003E268E">
              <w:rPr>
                <w:rFonts w:ascii="Times New Roman" w:hAnsi="Times New Roman" w:cs="Times New Roman"/>
                <w:sz w:val="24"/>
                <w:szCs w:val="24"/>
              </w:rPr>
              <w:t xml:space="preserve">Eeltoodud sätte eesmärgiks on tagada isikukahju hüvitamise </w:t>
            </w:r>
            <w:r w:rsidR="008771AD">
              <w:rPr>
                <w:rFonts w:ascii="Times New Roman" w:hAnsi="Times New Roman" w:cs="Times New Roman"/>
                <w:sz w:val="24"/>
                <w:szCs w:val="24"/>
              </w:rPr>
              <w:t xml:space="preserve">nõuetele ühtne aegumistähtaeg, </w:t>
            </w:r>
            <w:r w:rsidRPr="003E268E">
              <w:rPr>
                <w:rFonts w:ascii="Times New Roman" w:hAnsi="Times New Roman" w:cs="Times New Roman"/>
                <w:sz w:val="24"/>
                <w:szCs w:val="24"/>
              </w:rPr>
              <w:t>sõltumata nõude õiguslikust alusest. Direktiivi kohaldamisalasse ku</w:t>
            </w:r>
            <w:r w:rsidR="008771AD">
              <w:rPr>
                <w:rFonts w:ascii="Times New Roman" w:hAnsi="Times New Roman" w:cs="Times New Roman"/>
                <w:sz w:val="24"/>
                <w:szCs w:val="24"/>
              </w:rPr>
              <w:t xml:space="preserve">uluvate juhtumite puhul erandi </w:t>
            </w:r>
            <w:r w:rsidRPr="003E268E">
              <w:rPr>
                <w:rFonts w:ascii="Times New Roman" w:hAnsi="Times New Roman" w:cs="Times New Roman"/>
                <w:sz w:val="24"/>
                <w:szCs w:val="24"/>
              </w:rPr>
              <w:t>kehtestamine ei ole põhjendatud. Tegemist on ühe ja sama õigush</w:t>
            </w:r>
            <w:r w:rsidR="008771AD">
              <w:rPr>
                <w:rFonts w:ascii="Times New Roman" w:hAnsi="Times New Roman" w:cs="Times New Roman"/>
                <w:sz w:val="24"/>
                <w:szCs w:val="24"/>
              </w:rPr>
              <w:t xml:space="preserve">üve rikkumisega ning kannatanu </w:t>
            </w:r>
            <w:r w:rsidRPr="003E268E">
              <w:rPr>
                <w:rFonts w:ascii="Times New Roman" w:hAnsi="Times New Roman" w:cs="Times New Roman"/>
                <w:sz w:val="24"/>
                <w:szCs w:val="24"/>
              </w:rPr>
              <w:t>olukord ei peaks erinema sõltuvalt sellest, millise teo tagajärjel talle te</w:t>
            </w:r>
            <w:r w:rsidR="008771AD">
              <w:rPr>
                <w:rFonts w:ascii="Times New Roman" w:hAnsi="Times New Roman" w:cs="Times New Roman"/>
                <w:sz w:val="24"/>
                <w:szCs w:val="24"/>
              </w:rPr>
              <w:t xml:space="preserve">rvisekahju tekib. Samuti tuleb </w:t>
            </w:r>
            <w:r w:rsidRPr="003E268E">
              <w:rPr>
                <w:rFonts w:ascii="Times New Roman" w:hAnsi="Times New Roman" w:cs="Times New Roman"/>
                <w:sz w:val="24"/>
                <w:szCs w:val="24"/>
              </w:rPr>
              <w:t xml:space="preserve">üldiselt arvesse võtta, et aegumise reeglid erinevad </w:t>
            </w:r>
            <w:proofErr w:type="spellStart"/>
            <w:r w:rsidRPr="003E268E">
              <w:rPr>
                <w:rFonts w:ascii="Times New Roman" w:hAnsi="Times New Roman" w:cs="Times New Roman"/>
                <w:sz w:val="24"/>
                <w:szCs w:val="24"/>
              </w:rPr>
              <w:t>liikmesriigiti</w:t>
            </w:r>
            <w:proofErr w:type="spellEnd"/>
            <w:r w:rsidRPr="003E268E">
              <w:rPr>
                <w:rFonts w:ascii="Times New Roman" w:hAnsi="Times New Roman" w:cs="Times New Roman"/>
                <w:sz w:val="24"/>
                <w:szCs w:val="24"/>
              </w:rPr>
              <w:t xml:space="preserve"> nin</w:t>
            </w:r>
            <w:r w:rsidR="008771AD">
              <w:rPr>
                <w:rFonts w:ascii="Times New Roman" w:hAnsi="Times New Roman" w:cs="Times New Roman"/>
                <w:sz w:val="24"/>
                <w:szCs w:val="24"/>
              </w:rPr>
              <w:t>g järgivad oma terviksüsteemi –</w:t>
            </w:r>
            <w:r w:rsidRPr="003E268E">
              <w:rPr>
                <w:rFonts w:ascii="Times New Roman" w:hAnsi="Times New Roman" w:cs="Times New Roman"/>
                <w:sz w:val="24"/>
                <w:szCs w:val="24"/>
              </w:rPr>
              <w:t>näevad ette reeglid aegumise peatumisele ja katkemisele, tähtaegade ku</w:t>
            </w:r>
            <w:r w:rsidR="008771AD">
              <w:rPr>
                <w:rFonts w:ascii="Times New Roman" w:hAnsi="Times New Roman" w:cs="Times New Roman"/>
                <w:sz w:val="24"/>
                <w:szCs w:val="24"/>
              </w:rPr>
              <w:t xml:space="preserve">lgemisele jne. Liikmesriikidel </w:t>
            </w:r>
            <w:r w:rsidRPr="003E268E">
              <w:rPr>
                <w:rFonts w:ascii="Times New Roman" w:hAnsi="Times New Roman" w:cs="Times New Roman"/>
                <w:sz w:val="24"/>
                <w:szCs w:val="24"/>
              </w:rPr>
              <w:t xml:space="preserve">peab jääma võimalus oma reegleid süstemaatiliselt kohaldada. </w:t>
            </w:r>
          </w:p>
          <w:p w14:paraId="6CF5B438" w14:textId="42DA47CD" w:rsidR="003E268E" w:rsidRDefault="003E268E" w:rsidP="003E268E">
            <w:pPr>
              <w:jc w:val="both"/>
              <w:rPr>
                <w:rFonts w:ascii="Times New Roman" w:hAnsi="Times New Roman" w:cs="Times New Roman"/>
                <w:sz w:val="24"/>
                <w:szCs w:val="24"/>
              </w:rPr>
            </w:pPr>
            <w:r w:rsidRPr="003E268E">
              <w:rPr>
                <w:rFonts w:ascii="Times New Roman" w:hAnsi="Times New Roman" w:cs="Times New Roman"/>
                <w:sz w:val="24"/>
                <w:szCs w:val="24"/>
              </w:rPr>
              <w:t>Sama seisukohta oleme väljendanud ka nt naistevastase vägivalla direkti</w:t>
            </w:r>
            <w:r w:rsidR="008771AD">
              <w:rPr>
                <w:rFonts w:ascii="Times New Roman" w:hAnsi="Times New Roman" w:cs="Times New Roman"/>
                <w:sz w:val="24"/>
                <w:szCs w:val="24"/>
              </w:rPr>
              <w:t xml:space="preserve">ivi ja tööstusheite direktiivi </w:t>
            </w:r>
            <w:r w:rsidRPr="003E268E">
              <w:rPr>
                <w:rFonts w:ascii="Times New Roman" w:hAnsi="Times New Roman" w:cs="Times New Roman"/>
                <w:sz w:val="24"/>
                <w:szCs w:val="24"/>
              </w:rPr>
              <w:t xml:space="preserve">puhul. </w:t>
            </w:r>
          </w:p>
          <w:p w14:paraId="4B015ECF" w14:textId="77777777" w:rsidR="008771AD" w:rsidRPr="003E268E" w:rsidRDefault="008771AD" w:rsidP="003E268E">
            <w:pPr>
              <w:jc w:val="both"/>
              <w:rPr>
                <w:rFonts w:ascii="Times New Roman" w:hAnsi="Times New Roman" w:cs="Times New Roman"/>
                <w:sz w:val="24"/>
                <w:szCs w:val="24"/>
              </w:rPr>
            </w:pPr>
          </w:p>
          <w:p w14:paraId="290FCC38" w14:textId="77777777" w:rsidR="003E268E" w:rsidRPr="008771AD" w:rsidRDefault="003E268E" w:rsidP="003E268E">
            <w:pPr>
              <w:jc w:val="both"/>
              <w:rPr>
                <w:rFonts w:ascii="Times New Roman" w:hAnsi="Times New Roman" w:cs="Times New Roman"/>
                <w:b/>
                <w:sz w:val="24"/>
                <w:szCs w:val="24"/>
              </w:rPr>
            </w:pPr>
            <w:r w:rsidRPr="008771AD">
              <w:rPr>
                <w:rFonts w:ascii="Times New Roman" w:hAnsi="Times New Roman" w:cs="Times New Roman"/>
                <w:b/>
                <w:sz w:val="24"/>
                <w:szCs w:val="24"/>
              </w:rPr>
              <w:t>Artikkel 29</w:t>
            </w:r>
          </w:p>
          <w:p w14:paraId="3C309613" w14:textId="72F52825" w:rsidR="003E268E" w:rsidRPr="003E268E" w:rsidRDefault="003E268E" w:rsidP="003E268E">
            <w:pPr>
              <w:jc w:val="both"/>
              <w:rPr>
                <w:rFonts w:ascii="Times New Roman" w:hAnsi="Times New Roman" w:cs="Times New Roman"/>
                <w:sz w:val="24"/>
                <w:szCs w:val="24"/>
              </w:rPr>
            </w:pPr>
            <w:r w:rsidRPr="003E268E">
              <w:rPr>
                <w:rFonts w:ascii="Times New Roman" w:hAnsi="Times New Roman" w:cs="Times New Roman"/>
                <w:sz w:val="24"/>
                <w:szCs w:val="24"/>
              </w:rPr>
              <w:t>Sisuliselt on sellise üldistustasemega karistuste säte sobiv. Siiski t</w:t>
            </w:r>
            <w:r w:rsidR="008771AD">
              <w:rPr>
                <w:rFonts w:ascii="Times New Roman" w:hAnsi="Times New Roman" w:cs="Times New Roman"/>
                <w:sz w:val="24"/>
                <w:szCs w:val="24"/>
              </w:rPr>
              <w:t xml:space="preserve">uleks taotleda seda, et eelnõu </w:t>
            </w:r>
            <w:r w:rsidRPr="003E268E">
              <w:rPr>
                <w:rFonts w:ascii="Times New Roman" w:hAnsi="Times New Roman" w:cs="Times New Roman"/>
                <w:sz w:val="24"/>
                <w:szCs w:val="24"/>
              </w:rPr>
              <w:t>menetluse käigus ei rõhutataks karistuse haldusõiguslikku iseloomu. Euroop</w:t>
            </w:r>
            <w:r w:rsidR="008771AD">
              <w:rPr>
                <w:rFonts w:ascii="Times New Roman" w:hAnsi="Times New Roman" w:cs="Times New Roman"/>
                <w:sz w:val="24"/>
                <w:szCs w:val="24"/>
              </w:rPr>
              <w:t xml:space="preserve">a Liidu õiguses ei ole </w:t>
            </w:r>
            <w:r w:rsidRPr="003E268E">
              <w:rPr>
                <w:rFonts w:ascii="Times New Roman" w:hAnsi="Times New Roman" w:cs="Times New Roman"/>
                <w:sz w:val="24"/>
                <w:szCs w:val="24"/>
              </w:rPr>
              <w:t>kunagi halduskaristuse mõistet sisustatud, selles kontekstis tuntakse</w:t>
            </w:r>
            <w:r w:rsidR="008771AD">
              <w:rPr>
                <w:rFonts w:ascii="Times New Roman" w:hAnsi="Times New Roman" w:cs="Times New Roman"/>
                <w:sz w:val="24"/>
                <w:szCs w:val="24"/>
              </w:rPr>
              <w:t xml:space="preserve"> üksnes kriminaalõiguslikke ja </w:t>
            </w:r>
            <w:r w:rsidRPr="003E268E">
              <w:rPr>
                <w:rFonts w:ascii="Times New Roman" w:hAnsi="Times New Roman" w:cs="Times New Roman"/>
                <w:sz w:val="24"/>
                <w:szCs w:val="24"/>
              </w:rPr>
              <w:t xml:space="preserve">mitte-kriminaalõiguslikke karistusi. Seejuures viimaste korral, kui õigusakt ei viita sanktsiooni liigile, on </w:t>
            </w:r>
          </w:p>
          <w:p w14:paraId="5DEC62D1" w14:textId="407F45C6" w:rsidR="00DE72D1" w:rsidRPr="00AA09F9" w:rsidRDefault="003E268E" w:rsidP="003E268E">
            <w:pPr>
              <w:jc w:val="both"/>
              <w:rPr>
                <w:rFonts w:ascii="Times New Roman" w:hAnsi="Times New Roman" w:cs="Times New Roman"/>
                <w:sz w:val="24"/>
                <w:szCs w:val="24"/>
              </w:rPr>
            </w:pPr>
            <w:r w:rsidRPr="003E268E">
              <w:rPr>
                <w:rFonts w:ascii="Times New Roman" w:hAnsi="Times New Roman" w:cs="Times New Roman"/>
                <w:sz w:val="24"/>
                <w:szCs w:val="24"/>
              </w:rPr>
              <w:t>liikmesriigil diskretsioon neid mistahes menetluses kohaldada (</w:t>
            </w:r>
            <w:proofErr w:type="spellStart"/>
            <w:r w:rsidRPr="003E268E">
              <w:rPr>
                <w:rFonts w:ascii="Times New Roman" w:hAnsi="Times New Roman" w:cs="Times New Roman"/>
                <w:sz w:val="24"/>
                <w:szCs w:val="24"/>
              </w:rPr>
              <w:t>where</w:t>
            </w:r>
            <w:proofErr w:type="spellEnd"/>
            <w:r w:rsidRPr="003E268E">
              <w:rPr>
                <w:rFonts w:ascii="Times New Roman" w:hAnsi="Times New Roman" w:cs="Times New Roman"/>
                <w:sz w:val="24"/>
                <w:szCs w:val="24"/>
              </w:rPr>
              <w:t xml:space="preserve"> </w:t>
            </w:r>
            <w:proofErr w:type="spellStart"/>
            <w:r w:rsidRPr="003E268E">
              <w:rPr>
                <w:rFonts w:ascii="Times New Roman" w:hAnsi="Times New Roman" w:cs="Times New Roman"/>
                <w:sz w:val="24"/>
                <w:szCs w:val="24"/>
              </w:rPr>
              <w:t>E</w:t>
            </w:r>
            <w:r w:rsidR="008771AD">
              <w:rPr>
                <w:rFonts w:ascii="Times New Roman" w:hAnsi="Times New Roman" w:cs="Times New Roman"/>
                <w:sz w:val="24"/>
                <w:szCs w:val="24"/>
              </w:rPr>
              <w:t>uropean</w:t>
            </w:r>
            <w:proofErr w:type="spellEnd"/>
            <w:r w:rsidR="008771AD">
              <w:rPr>
                <w:rFonts w:ascii="Times New Roman" w:hAnsi="Times New Roman" w:cs="Times New Roman"/>
                <w:sz w:val="24"/>
                <w:szCs w:val="24"/>
              </w:rPr>
              <w:t xml:space="preserve"> </w:t>
            </w:r>
            <w:proofErr w:type="spellStart"/>
            <w:r w:rsidR="008771AD">
              <w:rPr>
                <w:rFonts w:ascii="Times New Roman" w:hAnsi="Times New Roman" w:cs="Times New Roman"/>
                <w:sz w:val="24"/>
                <w:szCs w:val="24"/>
              </w:rPr>
              <w:t>Union</w:t>
            </w:r>
            <w:proofErr w:type="spellEnd"/>
            <w:r w:rsidR="008771AD">
              <w:rPr>
                <w:rFonts w:ascii="Times New Roman" w:hAnsi="Times New Roman" w:cs="Times New Roman"/>
                <w:sz w:val="24"/>
                <w:szCs w:val="24"/>
              </w:rPr>
              <w:t xml:space="preserve"> </w:t>
            </w:r>
            <w:proofErr w:type="spellStart"/>
            <w:r w:rsidR="008771AD">
              <w:rPr>
                <w:rFonts w:ascii="Times New Roman" w:hAnsi="Times New Roman" w:cs="Times New Roman"/>
                <w:sz w:val="24"/>
                <w:szCs w:val="24"/>
              </w:rPr>
              <w:t>legislation</w:t>
            </w:r>
            <w:proofErr w:type="spellEnd"/>
            <w:r w:rsidR="008771AD">
              <w:rPr>
                <w:rFonts w:ascii="Times New Roman" w:hAnsi="Times New Roman" w:cs="Times New Roman"/>
                <w:sz w:val="24"/>
                <w:szCs w:val="24"/>
              </w:rPr>
              <w:t xml:space="preserve"> </w:t>
            </w:r>
            <w:proofErr w:type="spellStart"/>
            <w:r w:rsidR="008771AD">
              <w:rPr>
                <w:rFonts w:ascii="Times New Roman" w:hAnsi="Times New Roman" w:cs="Times New Roman"/>
                <w:sz w:val="24"/>
                <w:szCs w:val="24"/>
              </w:rPr>
              <w:t>does</w:t>
            </w:r>
            <w:proofErr w:type="spellEnd"/>
            <w:r w:rsidR="008771AD">
              <w:rPr>
                <w:rFonts w:ascii="Times New Roman" w:hAnsi="Times New Roman" w:cs="Times New Roman"/>
                <w:sz w:val="24"/>
                <w:szCs w:val="24"/>
              </w:rPr>
              <w:t xml:space="preserve"> </w:t>
            </w:r>
            <w:proofErr w:type="spellStart"/>
            <w:r w:rsidRPr="003E268E">
              <w:rPr>
                <w:rFonts w:ascii="Times New Roman" w:hAnsi="Times New Roman" w:cs="Times New Roman"/>
                <w:sz w:val="24"/>
                <w:szCs w:val="24"/>
              </w:rPr>
              <w:t>not</w:t>
            </w:r>
            <w:proofErr w:type="spellEnd"/>
            <w:r w:rsidRPr="003E268E">
              <w:rPr>
                <w:rFonts w:ascii="Times New Roman" w:hAnsi="Times New Roman" w:cs="Times New Roman"/>
                <w:sz w:val="24"/>
                <w:szCs w:val="24"/>
              </w:rPr>
              <w:t xml:space="preserve"> </w:t>
            </w:r>
            <w:proofErr w:type="spellStart"/>
            <w:r w:rsidRPr="003E268E">
              <w:rPr>
                <w:rFonts w:ascii="Times New Roman" w:hAnsi="Times New Roman" w:cs="Times New Roman"/>
                <w:sz w:val="24"/>
                <w:szCs w:val="24"/>
              </w:rPr>
              <w:t>specifically</w:t>
            </w:r>
            <w:proofErr w:type="spellEnd"/>
            <w:r w:rsidRPr="003E268E">
              <w:rPr>
                <w:rFonts w:ascii="Times New Roman" w:hAnsi="Times New Roman" w:cs="Times New Roman"/>
                <w:sz w:val="24"/>
                <w:szCs w:val="24"/>
              </w:rPr>
              <w:t xml:space="preserve"> </w:t>
            </w:r>
            <w:proofErr w:type="spellStart"/>
            <w:r w:rsidRPr="003E268E">
              <w:rPr>
                <w:rFonts w:ascii="Times New Roman" w:hAnsi="Times New Roman" w:cs="Times New Roman"/>
                <w:sz w:val="24"/>
                <w:szCs w:val="24"/>
              </w:rPr>
              <w:t>provide</w:t>
            </w:r>
            <w:proofErr w:type="spellEnd"/>
            <w:r w:rsidRPr="003E268E">
              <w:rPr>
                <w:rFonts w:ascii="Times New Roman" w:hAnsi="Times New Roman" w:cs="Times New Roman"/>
                <w:sz w:val="24"/>
                <w:szCs w:val="24"/>
              </w:rPr>
              <w:t xml:space="preserve"> </w:t>
            </w:r>
            <w:proofErr w:type="spellStart"/>
            <w:r w:rsidRPr="003E268E">
              <w:rPr>
                <w:rFonts w:ascii="Times New Roman" w:hAnsi="Times New Roman" w:cs="Times New Roman"/>
                <w:sz w:val="24"/>
                <w:szCs w:val="24"/>
              </w:rPr>
              <w:t>any</w:t>
            </w:r>
            <w:proofErr w:type="spellEnd"/>
            <w:r w:rsidRPr="003E268E">
              <w:rPr>
                <w:rFonts w:ascii="Times New Roman" w:hAnsi="Times New Roman" w:cs="Times New Roman"/>
                <w:sz w:val="24"/>
                <w:szCs w:val="24"/>
              </w:rPr>
              <w:t xml:space="preserve"> </w:t>
            </w:r>
            <w:proofErr w:type="spellStart"/>
            <w:r w:rsidRPr="003E268E">
              <w:rPr>
                <w:rFonts w:ascii="Times New Roman" w:hAnsi="Times New Roman" w:cs="Times New Roman"/>
                <w:sz w:val="24"/>
                <w:szCs w:val="24"/>
              </w:rPr>
              <w:t>penalty</w:t>
            </w:r>
            <w:proofErr w:type="spellEnd"/>
            <w:r w:rsidRPr="003E268E">
              <w:rPr>
                <w:rFonts w:ascii="Times New Roman" w:hAnsi="Times New Roman" w:cs="Times New Roman"/>
                <w:sz w:val="24"/>
                <w:szCs w:val="24"/>
              </w:rPr>
              <w:t xml:space="preserve"> </w:t>
            </w:r>
            <w:proofErr w:type="spellStart"/>
            <w:r w:rsidRPr="003E268E">
              <w:rPr>
                <w:rFonts w:ascii="Times New Roman" w:hAnsi="Times New Roman" w:cs="Times New Roman"/>
                <w:sz w:val="24"/>
                <w:szCs w:val="24"/>
              </w:rPr>
              <w:t>for</w:t>
            </w:r>
            <w:proofErr w:type="spellEnd"/>
            <w:r w:rsidRPr="003E268E">
              <w:rPr>
                <w:rFonts w:ascii="Times New Roman" w:hAnsi="Times New Roman" w:cs="Times New Roman"/>
                <w:sz w:val="24"/>
                <w:szCs w:val="24"/>
              </w:rPr>
              <w:t xml:space="preserve"> </w:t>
            </w:r>
            <w:proofErr w:type="spellStart"/>
            <w:r w:rsidRPr="003E268E">
              <w:rPr>
                <w:rFonts w:ascii="Times New Roman" w:hAnsi="Times New Roman" w:cs="Times New Roman"/>
                <w:sz w:val="24"/>
                <w:szCs w:val="24"/>
              </w:rPr>
              <w:t>an</w:t>
            </w:r>
            <w:proofErr w:type="spellEnd"/>
            <w:r w:rsidRPr="003E268E">
              <w:rPr>
                <w:rFonts w:ascii="Times New Roman" w:hAnsi="Times New Roman" w:cs="Times New Roman"/>
                <w:sz w:val="24"/>
                <w:szCs w:val="24"/>
              </w:rPr>
              <w:t xml:space="preserve"> </w:t>
            </w:r>
            <w:proofErr w:type="spellStart"/>
            <w:r w:rsidRPr="003E268E">
              <w:rPr>
                <w:rFonts w:ascii="Times New Roman" w:hAnsi="Times New Roman" w:cs="Times New Roman"/>
                <w:sz w:val="24"/>
                <w:szCs w:val="24"/>
              </w:rPr>
              <w:t>infringement</w:t>
            </w:r>
            <w:proofErr w:type="spellEnd"/>
            <w:r w:rsidRPr="003E268E">
              <w:rPr>
                <w:rFonts w:ascii="Times New Roman" w:hAnsi="Times New Roman" w:cs="Times New Roman"/>
                <w:sz w:val="24"/>
                <w:szCs w:val="24"/>
              </w:rPr>
              <w:t xml:space="preserve"> </w:t>
            </w:r>
            <w:proofErr w:type="spellStart"/>
            <w:r w:rsidRPr="003E268E">
              <w:rPr>
                <w:rFonts w:ascii="Times New Roman" w:hAnsi="Times New Roman" w:cs="Times New Roman"/>
                <w:sz w:val="24"/>
                <w:szCs w:val="24"/>
              </w:rPr>
              <w:t>or</w:t>
            </w:r>
            <w:proofErr w:type="spellEnd"/>
            <w:r w:rsidRPr="003E268E">
              <w:rPr>
                <w:rFonts w:ascii="Times New Roman" w:hAnsi="Times New Roman" w:cs="Times New Roman"/>
                <w:sz w:val="24"/>
                <w:szCs w:val="24"/>
              </w:rPr>
              <w:t xml:space="preserve"> </w:t>
            </w:r>
            <w:proofErr w:type="spellStart"/>
            <w:r w:rsidRPr="003E268E">
              <w:rPr>
                <w:rFonts w:ascii="Times New Roman" w:hAnsi="Times New Roman" w:cs="Times New Roman"/>
                <w:sz w:val="24"/>
                <w:szCs w:val="24"/>
              </w:rPr>
              <w:t>refers</w:t>
            </w:r>
            <w:proofErr w:type="spellEnd"/>
            <w:r w:rsidRPr="003E268E">
              <w:rPr>
                <w:rFonts w:ascii="Times New Roman" w:hAnsi="Times New Roman" w:cs="Times New Roman"/>
                <w:sz w:val="24"/>
                <w:szCs w:val="24"/>
              </w:rPr>
              <w:t xml:space="preserve"> </w:t>
            </w:r>
            <w:proofErr w:type="spellStart"/>
            <w:r w:rsidRPr="003E268E">
              <w:rPr>
                <w:rFonts w:ascii="Times New Roman" w:hAnsi="Times New Roman" w:cs="Times New Roman"/>
                <w:sz w:val="24"/>
                <w:szCs w:val="24"/>
              </w:rPr>
              <w:t>for</w:t>
            </w:r>
            <w:proofErr w:type="spellEnd"/>
            <w:r w:rsidRPr="003E268E">
              <w:rPr>
                <w:rFonts w:ascii="Times New Roman" w:hAnsi="Times New Roman" w:cs="Times New Roman"/>
                <w:sz w:val="24"/>
                <w:szCs w:val="24"/>
              </w:rPr>
              <w:t xml:space="preserve"> </w:t>
            </w:r>
            <w:proofErr w:type="spellStart"/>
            <w:r w:rsidRPr="003E268E">
              <w:rPr>
                <w:rFonts w:ascii="Times New Roman" w:hAnsi="Times New Roman" w:cs="Times New Roman"/>
                <w:sz w:val="24"/>
                <w:szCs w:val="24"/>
              </w:rPr>
              <w:t>that</w:t>
            </w:r>
            <w:proofErr w:type="spellEnd"/>
            <w:r w:rsidRPr="003E268E">
              <w:rPr>
                <w:rFonts w:ascii="Times New Roman" w:hAnsi="Times New Roman" w:cs="Times New Roman"/>
                <w:sz w:val="24"/>
                <w:szCs w:val="24"/>
              </w:rPr>
              <w:t xml:space="preserve"> </w:t>
            </w:r>
            <w:proofErr w:type="spellStart"/>
            <w:r w:rsidRPr="003E268E">
              <w:rPr>
                <w:rFonts w:ascii="Times New Roman" w:hAnsi="Times New Roman" w:cs="Times New Roman"/>
                <w:sz w:val="24"/>
                <w:szCs w:val="24"/>
              </w:rPr>
              <w:t>pu</w:t>
            </w:r>
            <w:r w:rsidR="008771AD">
              <w:rPr>
                <w:rFonts w:ascii="Times New Roman" w:hAnsi="Times New Roman" w:cs="Times New Roman"/>
                <w:sz w:val="24"/>
                <w:szCs w:val="24"/>
              </w:rPr>
              <w:t>rpose</w:t>
            </w:r>
            <w:proofErr w:type="spellEnd"/>
            <w:r w:rsidR="008771AD">
              <w:rPr>
                <w:rFonts w:ascii="Times New Roman" w:hAnsi="Times New Roman" w:cs="Times New Roman"/>
                <w:sz w:val="24"/>
                <w:szCs w:val="24"/>
              </w:rPr>
              <w:t xml:space="preserve"> </w:t>
            </w:r>
            <w:proofErr w:type="spellStart"/>
            <w:r w:rsidR="008771AD">
              <w:rPr>
                <w:rFonts w:ascii="Times New Roman" w:hAnsi="Times New Roman" w:cs="Times New Roman"/>
                <w:sz w:val="24"/>
                <w:szCs w:val="24"/>
              </w:rPr>
              <w:t>to</w:t>
            </w:r>
            <w:proofErr w:type="spellEnd"/>
            <w:r w:rsidR="008771AD">
              <w:rPr>
                <w:rFonts w:ascii="Times New Roman" w:hAnsi="Times New Roman" w:cs="Times New Roman"/>
                <w:sz w:val="24"/>
                <w:szCs w:val="24"/>
              </w:rPr>
              <w:t xml:space="preserve"> </w:t>
            </w:r>
            <w:proofErr w:type="spellStart"/>
            <w:r w:rsidR="008771AD">
              <w:rPr>
                <w:rFonts w:ascii="Times New Roman" w:hAnsi="Times New Roman" w:cs="Times New Roman"/>
                <w:sz w:val="24"/>
                <w:szCs w:val="24"/>
              </w:rPr>
              <w:t>national</w:t>
            </w:r>
            <w:proofErr w:type="spellEnd"/>
            <w:r w:rsidR="008771AD">
              <w:rPr>
                <w:rFonts w:ascii="Times New Roman" w:hAnsi="Times New Roman" w:cs="Times New Roman"/>
                <w:sz w:val="24"/>
                <w:szCs w:val="24"/>
              </w:rPr>
              <w:t xml:space="preserve"> </w:t>
            </w:r>
            <w:proofErr w:type="spellStart"/>
            <w:r w:rsidR="008771AD">
              <w:rPr>
                <w:rFonts w:ascii="Times New Roman" w:hAnsi="Times New Roman" w:cs="Times New Roman"/>
                <w:sz w:val="24"/>
                <w:szCs w:val="24"/>
              </w:rPr>
              <w:t>legislation</w:t>
            </w:r>
            <w:proofErr w:type="spellEnd"/>
            <w:r w:rsidR="008771AD">
              <w:rPr>
                <w:rFonts w:ascii="Times New Roman" w:hAnsi="Times New Roman" w:cs="Times New Roman"/>
                <w:sz w:val="24"/>
                <w:szCs w:val="24"/>
              </w:rPr>
              <w:t xml:space="preserve">, </w:t>
            </w:r>
            <w:proofErr w:type="spellStart"/>
            <w:r w:rsidRPr="003E268E">
              <w:rPr>
                <w:rFonts w:ascii="Times New Roman" w:hAnsi="Times New Roman" w:cs="Times New Roman"/>
                <w:sz w:val="24"/>
                <w:szCs w:val="24"/>
              </w:rPr>
              <w:t>the</w:t>
            </w:r>
            <w:proofErr w:type="spellEnd"/>
            <w:r w:rsidRPr="003E268E">
              <w:rPr>
                <w:rFonts w:ascii="Times New Roman" w:hAnsi="Times New Roman" w:cs="Times New Roman"/>
                <w:sz w:val="24"/>
                <w:szCs w:val="24"/>
              </w:rPr>
              <w:t xml:space="preserve"> </w:t>
            </w:r>
            <w:proofErr w:type="spellStart"/>
            <w:r w:rsidRPr="003E268E">
              <w:rPr>
                <w:rFonts w:ascii="Times New Roman" w:hAnsi="Times New Roman" w:cs="Times New Roman"/>
                <w:sz w:val="24"/>
                <w:szCs w:val="24"/>
              </w:rPr>
              <w:t>choice</w:t>
            </w:r>
            <w:proofErr w:type="spellEnd"/>
            <w:r w:rsidRPr="003E268E">
              <w:rPr>
                <w:rFonts w:ascii="Times New Roman" w:hAnsi="Times New Roman" w:cs="Times New Roman"/>
                <w:sz w:val="24"/>
                <w:szCs w:val="24"/>
              </w:rPr>
              <w:t xml:space="preserve"> of </w:t>
            </w:r>
            <w:proofErr w:type="spellStart"/>
            <w:r w:rsidRPr="003E268E">
              <w:rPr>
                <w:rFonts w:ascii="Times New Roman" w:hAnsi="Times New Roman" w:cs="Times New Roman"/>
                <w:sz w:val="24"/>
                <w:szCs w:val="24"/>
              </w:rPr>
              <w:t>penalty</w:t>
            </w:r>
            <w:proofErr w:type="spellEnd"/>
            <w:r w:rsidRPr="003E268E">
              <w:rPr>
                <w:rFonts w:ascii="Times New Roman" w:hAnsi="Times New Roman" w:cs="Times New Roman"/>
                <w:sz w:val="24"/>
                <w:szCs w:val="24"/>
              </w:rPr>
              <w:t xml:space="preserve"> </w:t>
            </w:r>
            <w:proofErr w:type="spellStart"/>
            <w:r w:rsidRPr="003E268E">
              <w:rPr>
                <w:rFonts w:ascii="Times New Roman" w:hAnsi="Times New Roman" w:cs="Times New Roman"/>
                <w:sz w:val="24"/>
                <w:szCs w:val="24"/>
              </w:rPr>
              <w:t>remains</w:t>
            </w:r>
            <w:proofErr w:type="spellEnd"/>
            <w:r w:rsidRPr="003E268E">
              <w:rPr>
                <w:rFonts w:ascii="Times New Roman" w:hAnsi="Times New Roman" w:cs="Times New Roman"/>
                <w:sz w:val="24"/>
                <w:szCs w:val="24"/>
              </w:rPr>
              <w:t xml:space="preserve"> </w:t>
            </w:r>
            <w:proofErr w:type="spellStart"/>
            <w:r w:rsidRPr="003E268E">
              <w:rPr>
                <w:rFonts w:ascii="Times New Roman" w:hAnsi="Times New Roman" w:cs="Times New Roman"/>
                <w:sz w:val="24"/>
                <w:szCs w:val="24"/>
              </w:rPr>
              <w:t>within</w:t>
            </w:r>
            <w:proofErr w:type="spellEnd"/>
            <w:r w:rsidRPr="003E268E">
              <w:rPr>
                <w:rFonts w:ascii="Times New Roman" w:hAnsi="Times New Roman" w:cs="Times New Roman"/>
                <w:sz w:val="24"/>
                <w:szCs w:val="24"/>
              </w:rPr>
              <w:t xml:space="preserve"> </w:t>
            </w:r>
            <w:proofErr w:type="spellStart"/>
            <w:r w:rsidRPr="003E268E">
              <w:rPr>
                <w:rFonts w:ascii="Times New Roman" w:hAnsi="Times New Roman" w:cs="Times New Roman"/>
                <w:sz w:val="24"/>
                <w:szCs w:val="24"/>
              </w:rPr>
              <w:t>the</w:t>
            </w:r>
            <w:proofErr w:type="spellEnd"/>
            <w:r w:rsidRPr="003E268E">
              <w:rPr>
                <w:rFonts w:ascii="Times New Roman" w:hAnsi="Times New Roman" w:cs="Times New Roman"/>
                <w:sz w:val="24"/>
                <w:szCs w:val="24"/>
              </w:rPr>
              <w:t xml:space="preserve"> </w:t>
            </w:r>
            <w:proofErr w:type="spellStart"/>
            <w:r w:rsidRPr="003E268E">
              <w:rPr>
                <w:rFonts w:ascii="Times New Roman" w:hAnsi="Times New Roman" w:cs="Times New Roman"/>
                <w:sz w:val="24"/>
                <w:szCs w:val="24"/>
              </w:rPr>
              <w:t>discretion</w:t>
            </w:r>
            <w:proofErr w:type="spellEnd"/>
            <w:r w:rsidRPr="003E268E">
              <w:rPr>
                <w:rFonts w:ascii="Times New Roman" w:hAnsi="Times New Roman" w:cs="Times New Roman"/>
                <w:sz w:val="24"/>
                <w:szCs w:val="24"/>
              </w:rPr>
              <w:t xml:space="preserve"> of </w:t>
            </w:r>
            <w:proofErr w:type="spellStart"/>
            <w:r w:rsidRPr="003E268E">
              <w:rPr>
                <w:rFonts w:ascii="Times New Roman" w:hAnsi="Times New Roman" w:cs="Times New Roman"/>
                <w:sz w:val="24"/>
                <w:szCs w:val="24"/>
              </w:rPr>
              <w:t>the</w:t>
            </w:r>
            <w:proofErr w:type="spellEnd"/>
            <w:r w:rsidRPr="003E268E">
              <w:rPr>
                <w:rFonts w:ascii="Times New Roman" w:hAnsi="Times New Roman" w:cs="Times New Roman"/>
                <w:sz w:val="24"/>
                <w:szCs w:val="24"/>
              </w:rPr>
              <w:t xml:space="preserve"> </w:t>
            </w:r>
            <w:proofErr w:type="spellStart"/>
            <w:r w:rsidRPr="003E268E">
              <w:rPr>
                <w:rFonts w:ascii="Times New Roman" w:hAnsi="Times New Roman" w:cs="Times New Roman"/>
                <w:sz w:val="24"/>
                <w:szCs w:val="24"/>
              </w:rPr>
              <w:t>Member</w:t>
            </w:r>
            <w:proofErr w:type="spellEnd"/>
            <w:r w:rsidRPr="003E268E">
              <w:rPr>
                <w:rFonts w:ascii="Times New Roman" w:hAnsi="Times New Roman" w:cs="Times New Roman"/>
                <w:sz w:val="24"/>
                <w:szCs w:val="24"/>
              </w:rPr>
              <w:t xml:space="preserve"> </w:t>
            </w:r>
            <w:proofErr w:type="spellStart"/>
            <w:r w:rsidRPr="003E268E">
              <w:rPr>
                <w:rFonts w:ascii="Times New Roman" w:hAnsi="Times New Roman" w:cs="Times New Roman"/>
                <w:sz w:val="24"/>
                <w:szCs w:val="24"/>
              </w:rPr>
              <w:t>States</w:t>
            </w:r>
            <w:proofErr w:type="spellEnd"/>
            <w:r w:rsidRPr="003E268E">
              <w:rPr>
                <w:rFonts w:ascii="Times New Roman" w:hAnsi="Times New Roman" w:cs="Times New Roman"/>
                <w:sz w:val="24"/>
                <w:szCs w:val="24"/>
              </w:rPr>
              <w:t xml:space="preserve"> - </w:t>
            </w:r>
            <w:proofErr w:type="spellStart"/>
            <w:r w:rsidRPr="003E268E">
              <w:rPr>
                <w:rFonts w:ascii="Times New Roman" w:hAnsi="Times New Roman" w:cs="Times New Roman"/>
                <w:sz w:val="24"/>
                <w:szCs w:val="24"/>
              </w:rPr>
              <w:t>European</w:t>
            </w:r>
            <w:proofErr w:type="spellEnd"/>
            <w:r w:rsidRPr="003E268E">
              <w:rPr>
                <w:rFonts w:ascii="Times New Roman" w:hAnsi="Times New Roman" w:cs="Times New Roman"/>
                <w:sz w:val="24"/>
                <w:szCs w:val="24"/>
              </w:rPr>
              <w:t xml:space="preserve"> </w:t>
            </w:r>
            <w:proofErr w:type="spellStart"/>
            <w:r w:rsidRPr="003E268E">
              <w:rPr>
                <w:rFonts w:ascii="Times New Roman" w:hAnsi="Times New Roman" w:cs="Times New Roman"/>
                <w:sz w:val="24"/>
                <w:szCs w:val="24"/>
              </w:rPr>
              <w:t>Court</w:t>
            </w:r>
            <w:proofErr w:type="spellEnd"/>
            <w:r w:rsidRPr="003E268E">
              <w:rPr>
                <w:rFonts w:ascii="Times New Roman" w:hAnsi="Times New Roman" w:cs="Times New Roman"/>
                <w:sz w:val="24"/>
                <w:szCs w:val="24"/>
              </w:rPr>
              <w:t xml:space="preserve"> of </w:t>
            </w:r>
            <w:proofErr w:type="spellStart"/>
            <w:r w:rsidRPr="003E268E">
              <w:rPr>
                <w:rFonts w:ascii="Times New Roman" w:hAnsi="Times New Roman" w:cs="Times New Roman"/>
                <w:sz w:val="24"/>
                <w:szCs w:val="24"/>
              </w:rPr>
              <w:t>Justice</w:t>
            </w:r>
            <w:proofErr w:type="spellEnd"/>
            <w:r w:rsidRPr="003E268E">
              <w:rPr>
                <w:rFonts w:ascii="Times New Roman" w:hAnsi="Times New Roman" w:cs="Times New Roman"/>
                <w:sz w:val="24"/>
                <w:szCs w:val="24"/>
              </w:rPr>
              <w:t xml:space="preserve"> 7.10.2010, </w:t>
            </w:r>
            <w:proofErr w:type="spellStart"/>
            <w:r w:rsidRPr="003E268E">
              <w:rPr>
                <w:rFonts w:ascii="Times New Roman" w:hAnsi="Times New Roman" w:cs="Times New Roman"/>
                <w:sz w:val="24"/>
                <w:szCs w:val="24"/>
              </w:rPr>
              <w:t>case</w:t>
            </w:r>
            <w:proofErr w:type="spellEnd"/>
            <w:r w:rsidRPr="003E268E">
              <w:rPr>
                <w:rFonts w:ascii="Times New Roman" w:hAnsi="Times New Roman" w:cs="Times New Roman"/>
                <w:sz w:val="24"/>
                <w:szCs w:val="24"/>
              </w:rPr>
              <w:t xml:space="preserve"> 382/09 (</w:t>
            </w:r>
            <w:proofErr w:type="spellStart"/>
            <w:r w:rsidRPr="003E268E">
              <w:rPr>
                <w:rFonts w:ascii="Times New Roman" w:hAnsi="Times New Roman" w:cs="Times New Roman"/>
                <w:sz w:val="24"/>
                <w:szCs w:val="24"/>
              </w:rPr>
              <w:t>Stils</w:t>
            </w:r>
            <w:proofErr w:type="spellEnd"/>
            <w:r w:rsidRPr="003E268E">
              <w:rPr>
                <w:rFonts w:ascii="Times New Roman" w:hAnsi="Times New Roman" w:cs="Times New Roman"/>
                <w:sz w:val="24"/>
                <w:szCs w:val="24"/>
              </w:rPr>
              <w:t xml:space="preserve"> </w:t>
            </w:r>
            <w:proofErr w:type="spellStart"/>
            <w:r w:rsidRPr="003E268E">
              <w:rPr>
                <w:rFonts w:ascii="Times New Roman" w:hAnsi="Times New Roman" w:cs="Times New Roman"/>
                <w:sz w:val="24"/>
                <w:szCs w:val="24"/>
              </w:rPr>
              <w:t>Met</w:t>
            </w:r>
            <w:proofErr w:type="spellEnd"/>
            <w:r w:rsidRPr="003E268E">
              <w:rPr>
                <w:rFonts w:ascii="Times New Roman" w:hAnsi="Times New Roman" w:cs="Times New Roman"/>
                <w:sz w:val="24"/>
                <w:szCs w:val="24"/>
              </w:rPr>
              <w:t xml:space="preserve"> SIA v </w:t>
            </w:r>
            <w:proofErr w:type="spellStart"/>
            <w:r w:rsidRPr="003E268E">
              <w:rPr>
                <w:rFonts w:ascii="Times New Roman" w:hAnsi="Times New Roman" w:cs="Times New Roman"/>
                <w:sz w:val="24"/>
                <w:szCs w:val="24"/>
              </w:rPr>
              <w:t>Valsts</w:t>
            </w:r>
            <w:proofErr w:type="spellEnd"/>
            <w:r w:rsidRPr="003E268E">
              <w:rPr>
                <w:rFonts w:ascii="Times New Roman" w:hAnsi="Times New Roman" w:cs="Times New Roman"/>
                <w:sz w:val="24"/>
                <w:szCs w:val="24"/>
              </w:rPr>
              <w:t xml:space="preserve"> </w:t>
            </w:r>
            <w:proofErr w:type="spellStart"/>
            <w:r w:rsidRPr="003E268E">
              <w:rPr>
                <w:rFonts w:ascii="Times New Roman" w:hAnsi="Times New Roman" w:cs="Times New Roman"/>
                <w:sz w:val="24"/>
                <w:szCs w:val="24"/>
              </w:rPr>
              <w:t>ieņēmumu</w:t>
            </w:r>
            <w:proofErr w:type="spellEnd"/>
            <w:r w:rsidRPr="003E268E">
              <w:rPr>
                <w:rFonts w:ascii="Times New Roman" w:hAnsi="Times New Roman" w:cs="Times New Roman"/>
                <w:sz w:val="24"/>
                <w:szCs w:val="24"/>
              </w:rPr>
              <w:t xml:space="preserve"> </w:t>
            </w:r>
            <w:proofErr w:type="spellStart"/>
            <w:r w:rsidRPr="003E268E">
              <w:rPr>
                <w:rFonts w:ascii="Times New Roman" w:hAnsi="Times New Roman" w:cs="Times New Roman"/>
                <w:sz w:val="24"/>
                <w:szCs w:val="24"/>
              </w:rPr>
              <w:t>dienests</w:t>
            </w:r>
            <w:proofErr w:type="spellEnd"/>
            <w:r w:rsidRPr="003E268E">
              <w:rPr>
                <w:rFonts w:ascii="Times New Roman" w:hAnsi="Times New Roman" w:cs="Times New Roman"/>
                <w:sz w:val="24"/>
                <w:szCs w:val="24"/>
              </w:rPr>
              <w:t>),</w:t>
            </w:r>
            <w:r w:rsidR="008771AD">
              <w:rPr>
                <w:rFonts w:ascii="Times New Roman" w:hAnsi="Times New Roman" w:cs="Times New Roman"/>
                <w:sz w:val="24"/>
                <w:szCs w:val="24"/>
              </w:rPr>
              <w:t xml:space="preserve"> [2010] ECR I-09315, </w:t>
            </w:r>
            <w:proofErr w:type="spellStart"/>
            <w:r w:rsidR="008771AD">
              <w:rPr>
                <w:rFonts w:ascii="Times New Roman" w:hAnsi="Times New Roman" w:cs="Times New Roman"/>
                <w:sz w:val="24"/>
                <w:szCs w:val="24"/>
              </w:rPr>
              <w:lastRenderedPageBreak/>
              <w:t>margin</w:t>
            </w:r>
            <w:proofErr w:type="spellEnd"/>
            <w:r w:rsidR="008771AD">
              <w:rPr>
                <w:rFonts w:ascii="Times New Roman" w:hAnsi="Times New Roman" w:cs="Times New Roman"/>
                <w:sz w:val="24"/>
                <w:szCs w:val="24"/>
              </w:rPr>
              <w:t xml:space="preserve"> no </w:t>
            </w:r>
            <w:r w:rsidRPr="003E268E">
              <w:rPr>
                <w:rFonts w:ascii="Times New Roman" w:hAnsi="Times New Roman" w:cs="Times New Roman"/>
                <w:sz w:val="24"/>
                <w:szCs w:val="24"/>
              </w:rPr>
              <w:t>44.). Seega oleme vastu, et viidatakse halduskaristuse (</w:t>
            </w:r>
            <w:proofErr w:type="spellStart"/>
            <w:r w:rsidRPr="003E268E">
              <w:rPr>
                <w:rFonts w:ascii="Times New Roman" w:hAnsi="Times New Roman" w:cs="Times New Roman"/>
                <w:sz w:val="24"/>
                <w:szCs w:val="24"/>
              </w:rPr>
              <w:t>administrative</w:t>
            </w:r>
            <w:proofErr w:type="spellEnd"/>
            <w:r w:rsidRPr="003E268E">
              <w:rPr>
                <w:rFonts w:ascii="Times New Roman" w:hAnsi="Times New Roman" w:cs="Times New Roman"/>
                <w:sz w:val="24"/>
                <w:szCs w:val="24"/>
              </w:rPr>
              <w:t xml:space="preserve"> </w:t>
            </w:r>
            <w:proofErr w:type="spellStart"/>
            <w:r w:rsidRPr="003E268E">
              <w:rPr>
                <w:rFonts w:ascii="Times New Roman" w:hAnsi="Times New Roman" w:cs="Times New Roman"/>
                <w:sz w:val="24"/>
                <w:szCs w:val="24"/>
              </w:rPr>
              <w:t>pe</w:t>
            </w:r>
            <w:r w:rsidR="008771AD">
              <w:rPr>
                <w:rFonts w:ascii="Times New Roman" w:hAnsi="Times New Roman" w:cs="Times New Roman"/>
                <w:sz w:val="24"/>
                <w:szCs w:val="24"/>
              </w:rPr>
              <w:t>nalties</w:t>
            </w:r>
            <w:proofErr w:type="spellEnd"/>
            <w:r w:rsidR="008771AD">
              <w:rPr>
                <w:rFonts w:ascii="Times New Roman" w:hAnsi="Times New Roman" w:cs="Times New Roman"/>
                <w:sz w:val="24"/>
                <w:szCs w:val="24"/>
              </w:rPr>
              <w:t xml:space="preserve">) mõistele (hetkel seda </w:t>
            </w:r>
            <w:r w:rsidRPr="003E268E">
              <w:rPr>
                <w:rFonts w:ascii="Times New Roman" w:hAnsi="Times New Roman" w:cs="Times New Roman"/>
                <w:sz w:val="24"/>
                <w:szCs w:val="24"/>
              </w:rPr>
              <w:t>ei tehta). EL õiguses ei ole ühtset arusaama, mida see mõiste tähe</w:t>
            </w:r>
            <w:r w:rsidR="008771AD">
              <w:rPr>
                <w:rFonts w:ascii="Times New Roman" w:hAnsi="Times New Roman" w:cs="Times New Roman"/>
                <w:sz w:val="24"/>
                <w:szCs w:val="24"/>
              </w:rPr>
              <w:t xml:space="preserve">ndab. Liikmesriigil peab jääma </w:t>
            </w:r>
            <w:r w:rsidRPr="003E268E">
              <w:rPr>
                <w:rFonts w:ascii="Times New Roman" w:hAnsi="Times New Roman" w:cs="Times New Roman"/>
                <w:sz w:val="24"/>
                <w:szCs w:val="24"/>
              </w:rPr>
              <w:t>maksimaalne paindlikkus, et kasutada enda õigussüsteemis kõige so</w:t>
            </w:r>
            <w:r w:rsidR="008771AD">
              <w:rPr>
                <w:rFonts w:ascii="Times New Roman" w:hAnsi="Times New Roman" w:cs="Times New Roman"/>
                <w:sz w:val="24"/>
                <w:szCs w:val="24"/>
              </w:rPr>
              <w:t xml:space="preserve">bivamat sanktsioonisüsteemi ja </w:t>
            </w:r>
            <w:r w:rsidRPr="003E268E">
              <w:rPr>
                <w:rFonts w:ascii="Times New Roman" w:hAnsi="Times New Roman" w:cs="Times New Roman"/>
                <w:sz w:val="24"/>
                <w:szCs w:val="24"/>
              </w:rPr>
              <w:t>-liiki. Täiendavalt tuleks kaaluda seda, et sätestada karistused üksnes teat</w:t>
            </w:r>
            <w:r w:rsidR="008771AD">
              <w:rPr>
                <w:rFonts w:ascii="Times New Roman" w:hAnsi="Times New Roman" w:cs="Times New Roman"/>
                <w:sz w:val="24"/>
                <w:szCs w:val="24"/>
              </w:rPr>
              <w:t xml:space="preserve">ud raskemate rikkumiste </w:t>
            </w:r>
            <w:r w:rsidRPr="003E268E">
              <w:rPr>
                <w:rFonts w:ascii="Times New Roman" w:hAnsi="Times New Roman" w:cs="Times New Roman"/>
                <w:sz w:val="24"/>
                <w:szCs w:val="24"/>
              </w:rPr>
              <w:t>eest, samuti piirduda üksnes juriidiliste isikute sanktsioneerimisega</w:t>
            </w:r>
            <w:r w:rsidR="008771AD">
              <w:rPr>
                <w:rFonts w:ascii="Times New Roman" w:hAnsi="Times New Roman" w:cs="Times New Roman"/>
                <w:sz w:val="24"/>
                <w:szCs w:val="24"/>
              </w:rPr>
              <w:t xml:space="preserve">. Liikmesriikidele peaks jääma </w:t>
            </w:r>
            <w:r w:rsidRPr="003E268E">
              <w:rPr>
                <w:rFonts w:ascii="Times New Roman" w:hAnsi="Times New Roman" w:cs="Times New Roman"/>
                <w:sz w:val="24"/>
                <w:szCs w:val="24"/>
              </w:rPr>
              <w:t>paindlikkus sanktsioneerida vaid teatud raskemaid rikkumisi (</w:t>
            </w:r>
            <w:proofErr w:type="spellStart"/>
            <w:r w:rsidRPr="003E268E">
              <w:rPr>
                <w:rFonts w:ascii="Times New Roman" w:hAnsi="Times New Roman" w:cs="Times New Roman"/>
                <w:sz w:val="24"/>
                <w:szCs w:val="24"/>
              </w:rPr>
              <w:t>ulti</w:t>
            </w:r>
            <w:r w:rsidR="008771AD">
              <w:rPr>
                <w:rFonts w:ascii="Times New Roman" w:hAnsi="Times New Roman" w:cs="Times New Roman"/>
                <w:sz w:val="24"/>
                <w:szCs w:val="24"/>
              </w:rPr>
              <w:t>ma</w:t>
            </w:r>
            <w:proofErr w:type="spellEnd"/>
            <w:r w:rsidR="008771AD">
              <w:rPr>
                <w:rFonts w:ascii="Times New Roman" w:hAnsi="Times New Roman" w:cs="Times New Roman"/>
                <w:sz w:val="24"/>
                <w:szCs w:val="24"/>
              </w:rPr>
              <w:t xml:space="preserve"> </w:t>
            </w:r>
            <w:proofErr w:type="spellStart"/>
            <w:r w:rsidR="008771AD">
              <w:rPr>
                <w:rFonts w:ascii="Times New Roman" w:hAnsi="Times New Roman" w:cs="Times New Roman"/>
                <w:sz w:val="24"/>
                <w:szCs w:val="24"/>
              </w:rPr>
              <w:t>ratio</w:t>
            </w:r>
            <w:proofErr w:type="spellEnd"/>
            <w:r w:rsidR="008771AD">
              <w:rPr>
                <w:rFonts w:ascii="Times New Roman" w:hAnsi="Times New Roman" w:cs="Times New Roman"/>
                <w:sz w:val="24"/>
                <w:szCs w:val="24"/>
              </w:rPr>
              <w:t xml:space="preserve"> põhimõte), s.t et iga </w:t>
            </w:r>
            <w:r w:rsidRPr="003E268E">
              <w:rPr>
                <w:rFonts w:ascii="Times New Roman" w:hAnsi="Times New Roman" w:cs="Times New Roman"/>
                <w:sz w:val="24"/>
                <w:szCs w:val="24"/>
              </w:rPr>
              <w:t>rikkumine ei pea olema kohustuslikus korras karistatav. Sanktsioo</w:t>
            </w:r>
            <w:r w:rsidR="008771AD">
              <w:rPr>
                <w:rFonts w:ascii="Times New Roman" w:hAnsi="Times New Roman" w:cs="Times New Roman"/>
                <w:sz w:val="24"/>
                <w:szCs w:val="24"/>
              </w:rPr>
              <w:t xml:space="preserve">nid tuleks vajadusel ette näha </w:t>
            </w:r>
            <w:r w:rsidRPr="003E268E">
              <w:rPr>
                <w:rFonts w:ascii="Times New Roman" w:hAnsi="Times New Roman" w:cs="Times New Roman"/>
                <w:sz w:val="24"/>
                <w:szCs w:val="24"/>
              </w:rPr>
              <w:t>üksnes raskematele rikkumistele ning tagades maksimaalse paindlikku</w:t>
            </w:r>
            <w:r w:rsidR="008771AD">
              <w:rPr>
                <w:rFonts w:ascii="Times New Roman" w:hAnsi="Times New Roman" w:cs="Times New Roman"/>
                <w:sz w:val="24"/>
                <w:szCs w:val="24"/>
              </w:rPr>
              <w:t>se sanktsioonimäära, -liigi ja menetluse osas.</w:t>
            </w:r>
          </w:p>
        </w:tc>
        <w:tc>
          <w:tcPr>
            <w:tcW w:w="5670" w:type="dxa"/>
          </w:tcPr>
          <w:p w14:paraId="5097E0F7" w14:textId="28E804C3" w:rsidR="00DE72D1" w:rsidRPr="009A55B8" w:rsidRDefault="00845E59" w:rsidP="00DD1AF2">
            <w:pPr>
              <w:rPr>
                <w:rFonts w:ascii="Times New Roman" w:hAnsi="Times New Roman" w:cs="Times New Roman"/>
                <w:sz w:val="24"/>
                <w:szCs w:val="24"/>
              </w:rPr>
            </w:pPr>
            <w:r>
              <w:rPr>
                <w:rFonts w:ascii="Times New Roman" w:hAnsi="Times New Roman" w:cs="Times New Roman"/>
                <w:sz w:val="24"/>
                <w:szCs w:val="24"/>
              </w:rPr>
              <w:lastRenderedPageBreak/>
              <w:t>Arvestatud</w:t>
            </w:r>
            <w:r w:rsidR="00DD1AF2">
              <w:rPr>
                <w:rFonts w:ascii="Times New Roman" w:hAnsi="Times New Roman" w:cs="Times New Roman"/>
                <w:sz w:val="24"/>
                <w:szCs w:val="24"/>
              </w:rPr>
              <w:t xml:space="preserve"> (sh</w:t>
            </w:r>
            <w:r>
              <w:rPr>
                <w:rFonts w:ascii="Times New Roman" w:hAnsi="Times New Roman" w:cs="Times New Roman"/>
                <w:sz w:val="24"/>
                <w:szCs w:val="24"/>
              </w:rPr>
              <w:t xml:space="preserve"> </w:t>
            </w:r>
            <w:proofErr w:type="spellStart"/>
            <w:r>
              <w:rPr>
                <w:rFonts w:ascii="Times New Roman" w:hAnsi="Times New Roman" w:cs="Times New Roman"/>
                <w:sz w:val="24"/>
                <w:szCs w:val="24"/>
              </w:rPr>
              <w:t>KOM-ile</w:t>
            </w:r>
            <w:proofErr w:type="spellEnd"/>
            <w:r>
              <w:rPr>
                <w:rFonts w:ascii="Times New Roman" w:hAnsi="Times New Roman" w:cs="Times New Roman"/>
                <w:sz w:val="24"/>
                <w:szCs w:val="24"/>
              </w:rPr>
              <w:t xml:space="preserve"> täpsustavate küsimuste koostamisel</w:t>
            </w:r>
            <w:r w:rsidR="00DD1AF2">
              <w:rPr>
                <w:rFonts w:ascii="Times New Roman" w:hAnsi="Times New Roman" w:cs="Times New Roman"/>
                <w:sz w:val="24"/>
                <w:szCs w:val="24"/>
              </w:rPr>
              <w:t>)</w:t>
            </w:r>
            <w:r>
              <w:rPr>
                <w:rFonts w:ascii="Times New Roman" w:hAnsi="Times New Roman" w:cs="Times New Roman"/>
                <w:sz w:val="24"/>
                <w:szCs w:val="24"/>
              </w:rPr>
              <w:t xml:space="preserve">. </w:t>
            </w:r>
          </w:p>
        </w:tc>
      </w:tr>
    </w:tbl>
    <w:p w14:paraId="40E3ABBD" w14:textId="77777777" w:rsidR="0034386F" w:rsidRPr="009A55B8" w:rsidRDefault="0034386F">
      <w:pPr>
        <w:rPr>
          <w:rFonts w:ascii="Times New Roman" w:hAnsi="Times New Roman" w:cs="Times New Roman"/>
          <w:sz w:val="24"/>
          <w:szCs w:val="24"/>
        </w:rPr>
      </w:pPr>
    </w:p>
    <w:sectPr w:rsidR="0034386F" w:rsidRPr="009A55B8" w:rsidSect="008336AD">
      <w:pgSz w:w="16838" w:h="11906" w:orient="landscape"/>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95E4B"/>
    <w:multiLevelType w:val="hybridMultilevel"/>
    <w:tmpl w:val="96E4212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 w15:restartNumberingAfterBreak="0">
    <w:nsid w:val="38096E55"/>
    <w:multiLevelType w:val="hybridMultilevel"/>
    <w:tmpl w:val="7E2A810C"/>
    <w:lvl w:ilvl="0" w:tplc="1CB80D2A">
      <w:start w:val="1"/>
      <w:numFmt w:val="decimal"/>
      <w:lvlText w:val="%1."/>
      <w:lvlJc w:val="left"/>
      <w:pPr>
        <w:ind w:left="1068" w:hanging="708"/>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A6F29A3"/>
    <w:multiLevelType w:val="hybridMultilevel"/>
    <w:tmpl w:val="A538D77E"/>
    <w:lvl w:ilvl="0" w:tplc="B0D44BCE">
      <w:start w:val="5"/>
      <w:numFmt w:val="bullet"/>
      <w:lvlText w:val="-"/>
      <w:lvlJc w:val="left"/>
      <w:pPr>
        <w:ind w:left="720" w:hanging="360"/>
      </w:pPr>
      <w:rPr>
        <w:rFonts w:ascii="Calibri" w:eastAsia="Calibr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16cid:durableId="36510755">
    <w:abstractNumId w:val="2"/>
  </w:num>
  <w:num w:numId="2" w16cid:durableId="1282150389">
    <w:abstractNumId w:val="0"/>
  </w:num>
  <w:num w:numId="3" w16cid:durableId="1446728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86F"/>
    <w:rsid w:val="00011828"/>
    <w:rsid w:val="0006680B"/>
    <w:rsid w:val="00151664"/>
    <w:rsid w:val="00173358"/>
    <w:rsid w:val="00176E86"/>
    <w:rsid w:val="001A001C"/>
    <w:rsid w:val="001D4F7E"/>
    <w:rsid w:val="00241893"/>
    <w:rsid w:val="0024794D"/>
    <w:rsid w:val="002510BD"/>
    <w:rsid w:val="002E77DB"/>
    <w:rsid w:val="002F7278"/>
    <w:rsid w:val="00337722"/>
    <w:rsid w:val="0034386F"/>
    <w:rsid w:val="00377AC1"/>
    <w:rsid w:val="003B0784"/>
    <w:rsid w:val="003B2906"/>
    <w:rsid w:val="003E268E"/>
    <w:rsid w:val="00490480"/>
    <w:rsid w:val="004E7E56"/>
    <w:rsid w:val="00511EA7"/>
    <w:rsid w:val="00527D31"/>
    <w:rsid w:val="00561EFA"/>
    <w:rsid w:val="00581CE1"/>
    <w:rsid w:val="005E5ECA"/>
    <w:rsid w:val="005F669B"/>
    <w:rsid w:val="006A374C"/>
    <w:rsid w:val="00737DC7"/>
    <w:rsid w:val="00816732"/>
    <w:rsid w:val="008336AD"/>
    <w:rsid w:val="00844302"/>
    <w:rsid w:val="00845E59"/>
    <w:rsid w:val="008771AD"/>
    <w:rsid w:val="00881992"/>
    <w:rsid w:val="008A44BB"/>
    <w:rsid w:val="008B34AF"/>
    <w:rsid w:val="008D4FC8"/>
    <w:rsid w:val="008F7A73"/>
    <w:rsid w:val="00974980"/>
    <w:rsid w:val="009A55B8"/>
    <w:rsid w:val="00A57A66"/>
    <w:rsid w:val="00A9021F"/>
    <w:rsid w:val="00AA09F9"/>
    <w:rsid w:val="00AA7097"/>
    <w:rsid w:val="00AE00FB"/>
    <w:rsid w:val="00AF281F"/>
    <w:rsid w:val="00B0748B"/>
    <w:rsid w:val="00B36F52"/>
    <w:rsid w:val="00B65DEE"/>
    <w:rsid w:val="00B85CBB"/>
    <w:rsid w:val="00BC28C0"/>
    <w:rsid w:val="00C04AA1"/>
    <w:rsid w:val="00C40CD4"/>
    <w:rsid w:val="00C800C9"/>
    <w:rsid w:val="00C92DF1"/>
    <w:rsid w:val="00CB0F03"/>
    <w:rsid w:val="00CC2186"/>
    <w:rsid w:val="00CC2B76"/>
    <w:rsid w:val="00D73AB3"/>
    <w:rsid w:val="00DA781E"/>
    <w:rsid w:val="00DB3467"/>
    <w:rsid w:val="00DD1AF2"/>
    <w:rsid w:val="00DE72D1"/>
    <w:rsid w:val="00E13AFF"/>
    <w:rsid w:val="00E22CA3"/>
    <w:rsid w:val="00E3098D"/>
    <w:rsid w:val="00E47F46"/>
    <w:rsid w:val="00F35DDB"/>
    <w:rsid w:val="00FB23B6"/>
    <w:rsid w:val="00FE30BB"/>
    <w:rsid w:val="00FE5D89"/>
    <w:rsid w:val="00FF311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AD393"/>
  <w15:chartTrackingRefBased/>
  <w15:docId w15:val="{B667C191-1DB3-431C-87DC-734C83BF3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343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1CE1"/>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basedOn w:val="Liguvaikefont"/>
    <w:uiPriority w:val="99"/>
    <w:semiHidden/>
    <w:unhideWhenUsed/>
    <w:rsid w:val="003B2906"/>
    <w:rPr>
      <w:color w:val="0563C1"/>
      <w:u w:val="single"/>
    </w:rPr>
  </w:style>
  <w:style w:type="character" w:styleId="Kommentaariviide">
    <w:name w:val="annotation reference"/>
    <w:basedOn w:val="Liguvaikefont"/>
    <w:uiPriority w:val="99"/>
    <w:semiHidden/>
    <w:unhideWhenUsed/>
    <w:rsid w:val="00527D31"/>
    <w:rPr>
      <w:sz w:val="16"/>
      <w:szCs w:val="16"/>
    </w:rPr>
  </w:style>
  <w:style w:type="paragraph" w:styleId="Kommentaaritekst">
    <w:name w:val="annotation text"/>
    <w:basedOn w:val="Normaallaad"/>
    <w:link w:val="KommentaaritekstMrk"/>
    <w:uiPriority w:val="99"/>
    <w:semiHidden/>
    <w:unhideWhenUsed/>
    <w:rsid w:val="00527D31"/>
    <w:pPr>
      <w:spacing w:line="240" w:lineRule="auto"/>
    </w:pPr>
    <w:rPr>
      <w:sz w:val="20"/>
      <w:szCs w:val="20"/>
    </w:rPr>
  </w:style>
  <w:style w:type="character" w:customStyle="1" w:styleId="KommentaaritekstMrk">
    <w:name w:val="Kommentaari tekst Märk"/>
    <w:basedOn w:val="Liguvaikefont"/>
    <w:link w:val="Kommentaaritekst"/>
    <w:uiPriority w:val="99"/>
    <w:semiHidden/>
    <w:rsid w:val="00527D31"/>
    <w:rPr>
      <w:sz w:val="20"/>
      <w:szCs w:val="20"/>
    </w:rPr>
  </w:style>
  <w:style w:type="paragraph" w:styleId="Kommentaariteema">
    <w:name w:val="annotation subject"/>
    <w:basedOn w:val="Kommentaaritekst"/>
    <w:next w:val="Kommentaaritekst"/>
    <w:link w:val="KommentaariteemaMrk"/>
    <w:uiPriority w:val="99"/>
    <w:semiHidden/>
    <w:unhideWhenUsed/>
    <w:rsid w:val="00527D31"/>
    <w:rPr>
      <w:b/>
      <w:bCs/>
    </w:rPr>
  </w:style>
  <w:style w:type="character" w:customStyle="1" w:styleId="KommentaariteemaMrk">
    <w:name w:val="Kommentaari teema Märk"/>
    <w:basedOn w:val="KommentaaritekstMrk"/>
    <w:link w:val="Kommentaariteema"/>
    <w:uiPriority w:val="99"/>
    <w:semiHidden/>
    <w:rsid w:val="00527D31"/>
    <w:rPr>
      <w:b/>
      <w:bCs/>
      <w:sz w:val="20"/>
      <w:szCs w:val="20"/>
    </w:rPr>
  </w:style>
  <w:style w:type="paragraph" w:styleId="Jutumullitekst">
    <w:name w:val="Balloon Text"/>
    <w:basedOn w:val="Normaallaad"/>
    <w:link w:val="JutumullitekstMrk"/>
    <w:uiPriority w:val="99"/>
    <w:semiHidden/>
    <w:unhideWhenUsed/>
    <w:rsid w:val="00527D31"/>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27D31"/>
    <w:rPr>
      <w:rFonts w:ascii="Segoe UI" w:hAnsi="Segoe UI" w:cs="Segoe UI"/>
      <w:sz w:val="18"/>
      <w:szCs w:val="18"/>
    </w:rPr>
  </w:style>
  <w:style w:type="paragraph" w:styleId="Loendilik">
    <w:name w:val="List Paragraph"/>
    <w:basedOn w:val="Normaallaad"/>
    <w:uiPriority w:val="34"/>
    <w:qFormat/>
    <w:rsid w:val="00AA7097"/>
    <w:pPr>
      <w:ind w:left="720"/>
      <w:contextualSpacing/>
    </w:pPr>
  </w:style>
  <w:style w:type="paragraph" w:styleId="HTML-eelvormindatud">
    <w:name w:val="HTML Preformatted"/>
    <w:basedOn w:val="Normaallaad"/>
    <w:link w:val="HTML-eelvormindatudMrk"/>
    <w:uiPriority w:val="99"/>
    <w:semiHidden/>
    <w:unhideWhenUsed/>
    <w:rsid w:val="00B36F52"/>
    <w:pPr>
      <w:spacing w:after="0" w:line="240" w:lineRule="auto"/>
    </w:pPr>
    <w:rPr>
      <w:rFonts w:ascii="Consolas" w:hAnsi="Consolas"/>
      <w:sz w:val="20"/>
      <w:szCs w:val="20"/>
    </w:rPr>
  </w:style>
  <w:style w:type="character" w:customStyle="1" w:styleId="HTML-eelvormindatudMrk">
    <w:name w:val="HTML-eelvormindatud Märk"/>
    <w:basedOn w:val="Liguvaikefont"/>
    <w:link w:val="HTML-eelvormindatud"/>
    <w:uiPriority w:val="99"/>
    <w:semiHidden/>
    <w:rsid w:val="00B36F52"/>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2342">
      <w:bodyDiv w:val="1"/>
      <w:marLeft w:val="0"/>
      <w:marRight w:val="0"/>
      <w:marTop w:val="0"/>
      <w:marBottom w:val="0"/>
      <w:divBdr>
        <w:top w:val="none" w:sz="0" w:space="0" w:color="auto"/>
        <w:left w:val="none" w:sz="0" w:space="0" w:color="auto"/>
        <w:bottom w:val="none" w:sz="0" w:space="0" w:color="auto"/>
        <w:right w:val="none" w:sz="0" w:space="0" w:color="auto"/>
      </w:divBdr>
    </w:div>
    <w:div w:id="68776669">
      <w:bodyDiv w:val="1"/>
      <w:marLeft w:val="0"/>
      <w:marRight w:val="0"/>
      <w:marTop w:val="0"/>
      <w:marBottom w:val="0"/>
      <w:divBdr>
        <w:top w:val="none" w:sz="0" w:space="0" w:color="auto"/>
        <w:left w:val="none" w:sz="0" w:space="0" w:color="auto"/>
        <w:bottom w:val="none" w:sz="0" w:space="0" w:color="auto"/>
        <w:right w:val="none" w:sz="0" w:space="0" w:color="auto"/>
      </w:divBdr>
    </w:div>
    <w:div w:id="198931920">
      <w:bodyDiv w:val="1"/>
      <w:marLeft w:val="0"/>
      <w:marRight w:val="0"/>
      <w:marTop w:val="0"/>
      <w:marBottom w:val="0"/>
      <w:divBdr>
        <w:top w:val="none" w:sz="0" w:space="0" w:color="auto"/>
        <w:left w:val="none" w:sz="0" w:space="0" w:color="auto"/>
        <w:bottom w:val="none" w:sz="0" w:space="0" w:color="auto"/>
        <w:right w:val="none" w:sz="0" w:space="0" w:color="auto"/>
      </w:divBdr>
    </w:div>
    <w:div w:id="266079811">
      <w:bodyDiv w:val="1"/>
      <w:marLeft w:val="0"/>
      <w:marRight w:val="0"/>
      <w:marTop w:val="0"/>
      <w:marBottom w:val="0"/>
      <w:divBdr>
        <w:top w:val="none" w:sz="0" w:space="0" w:color="auto"/>
        <w:left w:val="none" w:sz="0" w:space="0" w:color="auto"/>
        <w:bottom w:val="none" w:sz="0" w:space="0" w:color="auto"/>
        <w:right w:val="none" w:sz="0" w:space="0" w:color="auto"/>
      </w:divBdr>
    </w:div>
    <w:div w:id="339084821">
      <w:bodyDiv w:val="1"/>
      <w:marLeft w:val="0"/>
      <w:marRight w:val="0"/>
      <w:marTop w:val="0"/>
      <w:marBottom w:val="0"/>
      <w:divBdr>
        <w:top w:val="none" w:sz="0" w:space="0" w:color="auto"/>
        <w:left w:val="none" w:sz="0" w:space="0" w:color="auto"/>
        <w:bottom w:val="none" w:sz="0" w:space="0" w:color="auto"/>
        <w:right w:val="none" w:sz="0" w:space="0" w:color="auto"/>
      </w:divBdr>
    </w:div>
    <w:div w:id="475073884">
      <w:bodyDiv w:val="1"/>
      <w:marLeft w:val="0"/>
      <w:marRight w:val="0"/>
      <w:marTop w:val="0"/>
      <w:marBottom w:val="0"/>
      <w:divBdr>
        <w:top w:val="none" w:sz="0" w:space="0" w:color="auto"/>
        <w:left w:val="none" w:sz="0" w:space="0" w:color="auto"/>
        <w:bottom w:val="none" w:sz="0" w:space="0" w:color="auto"/>
        <w:right w:val="none" w:sz="0" w:space="0" w:color="auto"/>
      </w:divBdr>
    </w:div>
    <w:div w:id="511844476">
      <w:bodyDiv w:val="1"/>
      <w:marLeft w:val="0"/>
      <w:marRight w:val="0"/>
      <w:marTop w:val="0"/>
      <w:marBottom w:val="0"/>
      <w:divBdr>
        <w:top w:val="none" w:sz="0" w:space="0" w:color="auto"/>
        <w:left w:val="none" w:sz="0" w:space="0" w:color="auto"/>
        <w:bottom w:val="none" w:sz="0" w:space="0" w:color="auto"/>
        <w:right w:val="none" w:sz="0" w:space="0" w:color="auto"/>
      </w:divBdr>
    </w:div>
    <w:div w:id="609047938">
      <w:bodyDiv w:val="1"/>
      <w:marLeft w:val="0"/>
      <w:marRight w:val="0"/>
      <w:marTop w:val="0"/>
      <w:marBottom w:val="0"/>
      <w:divBdr>
        <w:top w:val="none" w:sz="0" w:space="0" w:color="auto"/>
        <w:left w:val="none" w:sz="0" w:space="0" w:color="auto"/>
        <w:bottom w:val="none" w:sz="0" w:space="0" w:color="auto"/>
        <w:right w:val="none" w:sz="0" w:space="0" w:color="auto"/>
      </w:divBdr>
    </w:div>
    <w:div w:id="645161863">
      <w:bodyDiv w:val="1"/>
      <w:marLeft w:val="0"/>
      <w:marRight w:val="0"/>
      <w:marTop w:val="0"/>
      <w:marBottom w:val="0"/>
      <w:divBdr>
        <w:top w:val="none" w:sz="0" w:space="0" w:color="auto"/>
        <w:left w:val="none" w:sz="0" w:space="0" w:color="auto"/>
        <w:bottom w:val="none" w:sz="0" w:space="0" w:color="auto"/>
        <w:right w:val="none" w:sz="0" w:space="0" w:color="auto"/>
      </w:divBdr>
    </w:div>
    <w:div w:id="702093148">
      <w:bodyDiv w:val="1"/>
      <w:marLeft w:val="0"/>
      <w:marRight w:val="0"/>
      <w:marTop w:val="0"/>
      <w:marBottom w:val="0"/>
      <w:divBdr>
        <w:top w:val="none" w:sz="0" w:space="0" w:color="auto"/>
        <w:left w:val="none" w:sz="0" w:space="0" w:color="auto"/>
        <w:bottom w:val="none" w:sz="0" w:space="0" w:color="auto"/>
        <w:right w:val="none" w:sz="0" w:space="0" w:color="auto"/>
      </w:divBdr>
    </w:div>
    <w:div w:id="1078139872">
      <w:bodyDiv w:val="1"/>
      <w:marLeft w:val="0"/>
      <w:marRight w:val="0"/>
      <w:marTop w:val="0"/>
      <w:marBottom w:val="0"/>
      <w:divBdr>
        <w:top w:val="none" w:sz="0" w:space="0" w:color="auto"/>
        <w:left w:val="none" w:sz="0" w:space="0" w:color="auto"/>
        <w:bottom w:val="none" w:sz="0" w:space="0" w:color="auto"/>
        <w:right w:val="none" w:sz="0" w:space="0" w:color="auto"/>
      </w:divBdr>
    </w:div>
    <w:div w:id="1240016858">
      <w:bodyDiv w:val="1"/>
      <w:marLeft w:val="0"/>
      <w:marRight w:val="0"/>
      <w:marTop w:val="0"/>
      <w:marBottom w:val="0"/>
      <w:divBdr>
        <w:top w:val="none" w:sz="0" w:space="0" w:color="auto"/>
        <w:left w:val="none" w:sz="0" w:space="0" w:color="auto"/>
        <w:bottom w:val="none" w:sz="0" w:space="0" w:color="auto"/>
        <w:right w:val="none" w:sz="0" w:space="0" w:color="auto"/>
      </w:divBdr>
    </w:div>
    <w:div w:id="1512181344">
      <w:bodyDiv w:val="1"/>
      <w:marLeft w:val="0"/>
      <w:marRight w:val="0"/>
      <w:marTop w:val="0"/>
      <w:marBottom w:val="0"/>
      <w:divBdr>
        <w:top w:val="none" w:sz="0" w:space="0" w:color="auto"/>
        <w:left w:val="none" w:sz="0" w:space="0" w:color="auto"/>
        <w:bottom w:val="none" w:sz="0" w:space="0" w:color="auto"/>
        <w:right w:val="none" w:sz="0" w:space="0" w:color="auto"/>
      </w:divBdr>
    </w:div>
    <w:div w:id="1654217105">
      <w:bodyDiv w:val="1"/>
      <w:marLeft w:val="0"/>
      <w:marRight w:val="0"/>
      <w:marTop w:val="0"/>
      <w:marBottom w:val="0"/>
      <w:divBdr>
        <w:top w:val="none" w:sz="0" w:space="0" w:color="auto"/>
        <w:left w:val="none" w:sz="0" w:space="0" w:color="auto"/>
        <w:bottom w:val="none" w:sz="0" w:space="0" w:color="auto"/>
        <w:right w:val="none" w:sz="0" w:space="0" w:color="auto"/>
      </w:divBdr>
    </w:div>
    <w:div w:id="1766879211">
      <w:bodyDiv w:val="1"/>
      <w:marLeft w:val="0"/>
      <w:marRight w:val="0"/>
      <w:marTop w:val="0"/>
      <w:marBottom w:val="0"/>
      <w:divBdr>
        <w:top w:val="none" w:sz="0" w:space="0" w:color="auto"/>
        <w:left w:val="none" w:sz="0" w:space="0" w:color="auto"/>
        <w:bottom w:val="none" w:sz="0" w:space="0" w:color="auto"/>
        <w:right w:val="none" w:sz="0" w:space="0" w:color="auto"/>
      </w:divBdr>
    </w:div>
    <w:div w:id="1832215094">
      <w:bodyDiv w:val="1"/>
      <w:marLeft w:val="0"/>
      <w:marRight w:val="0"/>
      <w:marTop w:val="0"/>
      <w:marBottom w:val="0"/>
      <w:divBdr>
        <w:top w:val="none" w:sz="0" w:space="0" w:color="auto"/>
        <w:left w:val="none" w:sz="0" w:space="0" w:color="auto"/>
        <w:bottom w:val="none" w:sz="0" w:space="0" w:color="auto"/>
        <w:right w:val="none" w:sz="0" w:space="0" w:color="auto"/>
      </w:divBdr>
    </w:div>
    <w:div w:id="1846090231">
      <w:bodyDiv w:val="1"/>
      <w:marLeft w:val="0"/>
      <w:marRight w:val="0"/>
      <w:marTop w:val="0"/>
      <w:marBottom w:val="0"/>
      <w:divBdr>
        <w:top w:val="none" w:sz="0" w:space="0" w:color="auto"/>
        <w:left w:val="none" w:sz="0" w:space="0" w:color="auto"/>
        <w:bottom w:val="none" w:sz="0" w:space="0" w:color="auto"/>
        <w:right w:val="none" w:sz="0" w:space="0" w:color="auto"/>
      </w:divBdr>
    </w:div>
    <w:div w:id="1851989686">
      <w:bodyDiv w:val="1"/>
      <w:marLeft w:val="0"/>
      <w:marRight w:val="0"/>
      <w:marTop w:val="0"/>
      <w:marBottom w:val="0"/>
      <w:divBdr>
        <w:top w:val="none" w:sz="0" w:space="0" w:color="auto"/>
        <w:left w:val="none" w:sz="0" w:space="0" w:color="auto"/>
        <w:bottom w:val="none" w:sz="0" w:space="0" w:color="auto"/>
        <w:right w:val="none" w:sz="0" w:space="0" w:color="auto"/>
      </w:divBdr>
    </w:div>
    <w:div w:id="2052417582">
      <w:bodyDiv w:val="1"/>
      <w:marLeft w:val="0"/>
      <w:marRight w:val="0"/>
      <w:marTop w:val="0"/>
      <w:marBottom w:val="0"/>
      <w:divBdr>
        <w:top w:val="none" w:sz="0" w:space="0" w:color="auto"/>
        <w:left w:val="none" w:sz="0" w:space="0" w:color="auto"/>
        <w:bottom w:val="none" w:sz="0" w:space="0" w:color="auto"/>
        <w:right w:val="none" w:sz="0" w:space="0" w:color="auto"/>
      </w:divBdr>
    </w:div>
    <w:div w:id="2120291148">
      <w:bodyDiv w:val="1"/>
      <w:marLeft w:val="0"/>
      <w:marRight w:val="0"/>
      <w:marTop w:val="0"/>
      <w:marBottom w:val="0"/>
      <w:divBdr>
        <w:top w:val="none" w:sz="0" w:space="0" w:color="auto"/>
        <w:left w:val="none" w:sz="0" w:space="0" w:color="auto"/>
        <w:bottom w:val="none" w:sz="0" w:space="0" w:color="auto"/>
        <w:right w:val="none" w:sz="0" w:space="0" w:color="auto"/>
      </w:divBdr>
    </w:div>
    <w:div w:id="212226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3.png@01D90A96.F024DC6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9156</Words>
  <Characters>53108</Characters>
  <Application>Microsoft Office Word</Application>
  <DocSecurity>0</DocSecurity>
  <Lines>442</Lines>
  <Paragraphs>124</Paragraphs>
  <ScaleCrop>false</ScaleCrop>
  <HeadingPairs>
    <vt:vector size="2" baseType="variant">
      <vt:variant>
        <vt:lpstr>Pealkiri</vt:lpstr>
      </vt:variant>
      <vt:variant>
        <vt:i4>1</vt:i4>
      </vt:variant>
    </vt:vector>
  </HeadingPairs>
  <TitlesOfParts>
    <vt:vector size="1" baseType="lpstr">
      <vt:lpstr/>
    </vt:vector>
  </TitlesOfParts>
  <Company>Keskkonnaministeeriumi Infotehnoloogiakeskus</Company>
  <LinksUpToDate>false</LinksUpToDate>
  <CharactersWithSpaces>62140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 Kaldma</dc:creator>
  <cp:keywords/>
  <dc:description/>
  <cp:lastModifiedBy>Kärt Kasak</cp:lastModifiedBy>
  <cp:revision>2</cp:revision>
  <dcterms:created xsi:type="dcterms:W3CDTF">2023-02-24T12:01:00Z</dcterms:created>
  <dcterms:modified xsi:type="dcterms:W3CDTF">2023-02-24T12:01:00Z</dcterms:modified>
</cp:coreProperties>
</file>