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C8E3" w14:textId="1BC96705" w:rsidR="007A1D4A" w:rsidRPr="006B471D" w:rsidRDefault="006B471D" w:rsidP="006B471D">
      <w:pPr>
        <w:spacing w:before="0" w:after="0"/>
        <w:rPr>
          <w:color w:val="000000" w:themeColor="text1"/>
          <w:szCs w:val="24"/>
        </w:rPr>
      </w:pPr>
      <w:r w:rsidRPr="006B471D">
        <w:rPr>
          <w:rFonts w:cs="Calibri"/>
          <w:i/>
          <w:iCs/>
          <w:color w:val="000000"/>
          <w:szCs w:val="24"/>
        </w:rPr>
        <w:t>November 2023</w:t>
      </w:r>
      <w:r w:rsidR="00C728C7" w:rsidRPr="006B471D">
        <w:rPr>
          <w:rFonts w:cs="Calibri"/>
          <w:i/>
          <w:iCs/>
          <w:color w:val="000000"/>
          <w:szCs w:val="24"/>
        </w:rPr>
        <w:t xml:space="preserve">         </w:t>
      </w:r>
      <w:r w:rsidR="00C728C7" w:rsidRPr="006B471D">
        <w:rPr>
          <w:color w:val="000000" w:themeColor="text1"/>
          <w:szCs w:val="24"/>
        </w:rPr>
        <w:t xml:space="preserve">                  </w:t>
      </w:r>
    </w:p>
    <w:p w14:paraId="58189AC2" w14:textId="77777777" w:rsidR="002507B0" w:rsidRDefault="002507B0" w:rsidP="006B471D">
      <w:pPr>
        <w:spacing w:before="0" w:after="0"/>
        <w:jc w:val="both"/>
        <w:rPr>
          <w:color w:val="000000" w:themeColor="text1"/>
          <w:szCs w:val="24"/>
        </w:rPr>
      </w:pPr>
    </w:p>
    <w:p w14:paraId="4DA921D5" w14:textId="77777777" w:rsidR="006B471D" w:rsidRDefault="006B471D" w:rsidP="006B471D">
      <w:pPr>
        <w:spacing w:before="0" w:after="0"/>
        <w:jc w:val="both"/>
        <w:rPr>
          <w:color w:val="000000" w:themeColor="text1"/>
          <w:szCs w:val="24"/>
        </w:rPr>
      </w:pPr>
    </w:p>
    <w:p w14:paraId="4FC4D0CA" w14:textId="77777777" w:rsidR="00CD6A20" w:rsidRPr="00CD6A20" w:rsidRDefault="00624DF1" w:rsidP="006B471D">
      <w:pPr>
        <w:spacing w:before="0" w:after="0"/>
        <w:jc w:val="center"/>
        <w:rPr>
          <w:b/>
          <w:bCs/>
          <w:color w:val="1F497D" w:themeColor="text2"/>
          <w:sz w:val="28"/>
          <w:szCs w:val="28"/>
        </w:rPr>
      </w:pPr>
      <w:r w:rsidRPr="00CD6A20">
        <w:rPr>
          <w:b/>
          <w:bCs/>
          <w:color w:val="1F497D" w:themeColor="text2"/>
          <w:sz w:val="28"/>
          <w:szCs w:val="28"/>
        </w:rPr>
        <w:t>R</w:t>
      </w:r>
      <w:r w:rsidR="004A3C11" w:rsidRPr="00CD6A20">
        <w:rPr>
          <w:b/>
          <w:bCs/>
          <w:color w:val="1F497D" w:themeColor="text2"/>
          <w:sz w:val="28"/>
          <w:szCs w:val="28"/>
        </w:rPr>
        <w:t>evision of the Urban Wastewater Treatment Directive (UWWTD)</w:t>
      </w:r>
    </w:p>
    <w:p w14:paraId="06BD830C" w14:textId="34EEFF4C" w:rsidR="004A3C11" w:rsidRPr="00CD6A20" w:rsidRDefault="00624DF1" w:rsidP="006B471D">
      <w:pPr>
        <w:spacing w:before="0" w:after="0"/>
        <w:jc w:val="center"/>
        <w:rPr>
          <w:b/>
          <w:bCs/>
          <w:color w:val="1F497D" w:themeColor="text2"/>
          <w:sz w:val="28"/>
          <w:szCs w:val="28"/>
        </w:rPr>
      </w:pPr>
      <w:r w:rsidRPr="00CD6A20">
        <w:rPr>
          <w:b/>
          <w:bCs/>
          <w:color w:val="1F497D" w:themeColor="text2"/>
          <w:sz w:val="28"/>
          <w:szCs w:val="28"/>
        </w:rPr>
        <w:t>Cosmetics Europe input ahead of inter-institutional negotiations</w:t>
      </w:r>
    </w:p>
    <w:p w14:paraId="09D06A45" w14:textId="77777777" w:rsidR="004A3C11" w:rsidRPr="00B14F28" w:rsidRDefault="004A3C11" w:rsidP="006B471D">
      <w:pPr>
        <w:spacing w:before="0" w:after="0"/>
        <w:jc w:val="both"/>
        <w:rPr>
          <w:color w:val="000000" w:themeColor="text1"/>
          <w:szCs w:val="24"/>
        </w:rPr>
      </w:pPr>
    </w:p>
    <w:p w14:paraId="65B678D6" w14:textId="5ADEE21E" w:rsidR="005F5C02" w:rsidRPr="00B14F28" w:rsidRDefault="00325764" w:rsidP="006B471D">
      <w:pPr>
        <w:spacing w:before="0" w:after="0"/>
        <w:jc w:val="both"/>
        <w:rPr>
          <w:color w:val="000000" w:themeColor="text1"/>
          <w:szCs w:val="24"/>
        </w:rPr>
      </w:pPr>
      <w:r w:rsidRPr="00B14F28">
        <w:rPr>
          <w:color w:val="000000" w:themeColor="text1"/>
          <w:szCs w:val="24"/>
        </w:rPr>
        <w:t xml:space="preserve">Ahead of the upcoming </w:t>
      </w:r>
      <w:proofErr w:type="spellStart"/>
      <w:r w:rsidR="00EE22A3" w:rsidRPr="00B14F28">
        <w:rPr>
          <w:color w:val="000000" w:themeColor="text1"/>
          <w:szCs w:val="24"/>
        </w:rPr>
        <w:t>trilogues</w:t>
      </w:r>
      <w:proofErr w:type="spellEnd"/>
      <w:r w:rsidRPr="00B14F28">
        <w:rPr>
          <w:color w:val="000000" w:themeColor="text1"/>
          <w:szCs w:val="24"/>
        </w:rPr>
        <w:t>, we</w:t>
      </w:r>
      <w:r w:rsidR="004A3C11" w:rsidRPr="00B14F28">
        <w:rPr>
          <w:color w:val="000000" w:themeColor="text1"/>
          <w:szCs w:val="24"/>
        </w:rPr>
        <w:t xml:space="preserve"> would like to</w:t>
      </w:r>
      <w:r w:rsidR="003B48D1" w:rsidRPr="00B14F28">
        <w:rPr>
          <w:color w:val="000000" w:themeColor="text1"/>
          <w:szCs w:val="24"/>
        </w:rPr>
        <w:t xml:space="preserve"> express the concern</w:t>
      </w:r>
      <w:r w:rsidR="00EB32F8" w:rsidRPr="00B14F28">
        <w:rPr>
          <w:color w:val="000000" w:themeColor="text1"/>
          <w:szCs w:val="24"/>
        </w:rPr>
        <w:t xml:space="preserve"> that the proposed Extended Producer Responsibility (EPR) system risks to </w:t>
      </w:r>
      <w:r w:rsidR="003B48D1" w:rsidRPr="00B14F28">
        <w:rPr>
          <w:b/>
          <w:bCs/>
          <w:color w:val="000000" w:themeColor="text1"/>
          <w:szCs w:val="24"/>
        </w:rPr>
        <w:t>infring</w:t>
      </w:r>
      <w:r w:rsidR="00EB32F8" w:rsidRPr="00B14F28">
        <w:rPr>
          <w:b/>
          <w:bCs/>
          <w:color w:val="000000" w:themeColor="text1"/>
          <w:szCs w:val="24"/>
        </w:rPr>
        <w:t>e</w:t>
      </w:r>
      <w:r w:rsidR="003B48D1" w:rsidRPr="00B14F28">
        <w:rPr>
          <w:b/>
          <w:bCs/>
          <w:color w:val="000000" w:themeColor="text1"/>
          <w:szCs w:val="24"/>
        </w:rPr>
        <w:t xml:space="preserve"> core principles stated in the Treaty of the EU</w:t>
      </w:r>
      <w:r w:rsidR="00500533" w:rsidRPr="00B14F28">
        <w:rPr>
          <w:color w:val="000000" w:themeColor="text1"/>
          <w:szCs w:val="24"/>
        </w:rPr>
        <w:t>, such as polluter pays, proportionality and non-discrimination</w:t>
      </w:r>
      <w:r w:rsidR="00EB32F8" w:rsidRPr="00B14F28">
        <w:rPr>
          <w:color w:val="000000" w:themeColor="text1"/>
          <w:szCs w:val="24"/>
        </w:rPr>
        <w:t xml:space="preserve">, and ultimately to </w:t>
      </w:r>
      <w:r w:rsidR="00EB32F8" w:rsidRPr="00B14F28">
        <w:rPr>
          <w:b/>
          <w:bCs/>
          <w:color w:val="000000" w:themeColor="text1"/>
          <w:szCs w:val="24"/>
        </w:rPr>
        <w:t>fail its main</w:t>
      </w:r>
      <w:r w:rsidR="00EB32F8" w:rsidRPr="00B14F28">
        <w:rPr>
          <w:b/>
          <w:bCs/>
          <w:color w:val="000000" w:themeColor="text1"/>
        </w:rPr>
        <w:t xml:space="preserve"> objective of providing incentives to producers to improve their environmental footprint</w:t>
      </w:r>
      <w:r w:rsidR="00500533" w:rsidRPr="00B14F28">
        <w:rPr>
          <w:color w:val="000000" w:themeColor="text1"/>
          <w:szCs w:val="24"/>
        </w:rPr>
        <w:t xml:space="preserve">. In </w:t>
      </w:r>
      <w:r w:rsidR="00F7473E" w:rsidRPr="00B14F28">
        <w:rPr>
          <w:color w:val="000000" w:themeColor="text1"/>
          <w:szCs w:val="24"/>
        </w:rPr>
        <w:t>this regard</w:t>
      </w:r>
      <w:r w:rsidR="00500533" w:rsidRPr="00B14F28">
        <w:rPr>
          <w:color w:val="000000" w:themeColor="text1"/>
          <w:szCs w:val="24"/>
        </w:rPr>
        <w:t>, we bring the</w:t>
      </w:r>
      <w:r w:rsidR="004A3C11" w:rsidRPr="00B14F28">
        <w:rPr>
          <w:color w:val="000000" w:themeColor="text1"/>
          <w:szCs w:val="24"/>
        </w:rPr>
        <w:t xml:space="preserve"> attention to</w:t>
      </w:r>
      <w:r w:rsidR="005F5C02" w:rsidRPr="00B14F28">
        <w:rPr>
          <w:color w:val="000000" w:themeColor="text1"/>
          <w:szCs w:val="24"/>
        </w:rPr>
        <w:t xml:space="preserve"> </w:t>
      </w:r>
      <w:r w:rsidR="00EE22A3" w:rsidRPr="00B14F28">
        <w:rPr>
          <w:color w:val="000000" w:themeColor="text1"/>
          <w:szCs w:val="24"/>
        </w:rPr>
        <w:t xml:space="preserve">the </w:t>
      </w:r>
      <w:r w:rsidR="007D30EB" w:rsidRPr="00B14F28">
        <w:rPr>
          <w:color w:val="000000" w:themeColor="text1"/>
          <w:szCs w:val="24"/>
        </w:rPr>
        <w:t xml:space="preserve">inaccuracy of the Commission </w:t>
      </w:r>
      <w:r w:rsidR="0042627E" w:rsidRPr="00B14F28">
        <w:rPr>
          <w:color w:val="000000" w:themeColor="text1"/>
          <w:szCs w:val="24"/>
        </w:rPr>
        <w:t>proposal’s</w:t>
      </w:r>
      <w:r w:rsidR="00EE22A3" w:rsidRPr="00B14F28">
        <w:rPr>
          <w:color w:val="000000" w:themeColor="text1"/>
          <w:szCs w:val="24"/>
        </w:rPr>
        <w:t xml:space="preserve"> impact assessment regarding the </w:t>
      </w:r>
      <w:r w:rsidR="0042627E" w:rsidRPr="00B14F28">
        <w:rPr>
          <w:color w:val="000000" w:themeColor="text1"/>
          <w:szCs w:val="24"/>
        </w:rPr>
        <w:t xml:space="preserve">identification of the </w:t>
      </w:r>
      <w:r w:rsidR="00EE22A3" w:rsidRPr="00B14F28">
        <w:rPr>
          <w:color w:val="000000" w:themeColor="text1"/>
          <w:szCs w:val="24"/>
        </w:rPr>
        <w:t xml:space="preserve">sources of micropollutants in the water environment to define </w:t>
      </w:r>
      <w:r w:rsidR="00500533" w:rsidRPr="00B14F28">
        <w:rPr>
          <w:color w:val="000000" w:themeColor="text1"/>
          <w:szCs w:val="24"/>
        </w:rPr>
        <w:t>an</w:t>
      </w:r>
      <w:r w:rsidR="00EE22A3" w:rsidRPr="00B14F28">
        <w:rPr>
          <w:color w:val="000000" w:themeColor="text1"/>
          <w:szCs w:val="24"/>
        </w:rPr>
        <w:t xml:space="preserve"> </w:t>
      </w:r>
      <w:r w:rsidR="00EB32F8" w:rsidRPr="00B14F28">
        <w:rPr>
          <w:color w:val="000000" w:themeColor="text1"/>
          <w:szCs w:val="24"/>
        </w:rPr>
        <w:t>EPR</w:t>
      </w:r>
      <w:r w:rsidR="00EE22A3" w:rsidRPr="00B14F28">
        <w:rPr>
          <w:color w:val="000000" w:themeColor="text1"/>
          <w:szCs w:val="24"/>
        </w:rPr>
        <w:t xml:space="preserve"> </w:t>
      </w:r>
      <w:r w:rsidR="00500533" w:rsidRPr="00B14F28">
        <w:rPr>
          <w:color w:val="000000" w:themeColor="text1"/>
          <w:szCs w:val="24"/>
        </w:rPr>
        <w:t>system</w:t>
      </w:r>
      <w:r w:rsidR="005F5C02" w:rsidRPr="00B14F28">
        <w:rPr>
          <w:color w:val="000000" w:themeColor="text1"/>
          <w:szCs w:val="24"/>
        </w:rPr>
        <w:t>.</w:t>
      </w:r>
    </w:p>
    <w:p w14:paraId="26E79E04" w14:textId="77777777" w:rsidR="005F5C02" w:rsidRPr="00B14F28" w:rsidRDefault="005F5C02" w:rsidP="00A248B5">
      <w:pPr>
        <w:spacing w:before="0" w:after="0"/>
        <w:jc w:val="both"/>
        <w:rPr>
          <w:color w:val="000000" w:themeColor="text1"/>
          <w:szCs w:val="24"/>
        </w:rPr>
      </w:pPr>
    </w:p>
    <w:p w14:paraId="5EB11AE4" w14:textId="1392DB06" w:rsidR="007D30EB" w:rsidRPr="00B14F28" w:rsidRDefault="005F5C02" w:rsidP="00A248B5">
      <w:pPr>
        <w:spacing w:before="0" w:after="0"/>
        <w:jc w:val="both"/>
        <w:rPr>
          <w:color w:val="000000" w:themeColor="text1"/>
        </w:rPr>
      </w:pPr>
      <w:r w:rsidRPr="00B14F28">
        <w:rPr>
          <w:color w:val="000000" w:themeColor="text1"/>
          <w:szCs w:val="24"/>
        </w:rPr>
        <w:t xml:space="preserve">The first and main concern of the cosmetic sector </w:t>
      </w:r>
      <w:r w:rsidR="00EE22A3" w:rsidRPr="00B14F28">
        <w:rPr>
          <w:color w:val="000000" w:themeColor="text1"/>
          <w:szCs w:val="24"/>
        </w:rPr>
        <w:t xml:space="preserve">relates to the </w:t>
      </w:r>
      <w:r w:rsidR="00460DF7" w:rsidRPr="00B14F28">
        <w:rPr>
          <w:color w:val="000000" w:themeColor="text1"/>
          <w:szCs w:val="24"/>
        </w:rPr>
        <w:t>policy decision to single out pharmaceuticals and cosmetics as</w:t>
      </w:r>
      <w:r w:rsidR="00A3614D" w:rsidRPr="00B14F28">
        <w:rPr>
          <w:color w:val="000000" w:themeColor="text1"/>
          <w:szCs w:val="24"/>
        </w:rPr>
        <w:t xml:space="preserve"> only</w:t>
      </w:r>
      <w:r w:rsidR="00460DF7" w:rsidRPr="00B14F28">
        <w:rPr>
          <w:color w:val="000000" w:themeColor="text1"/>
          <w:szCs w:val="24"/>
        </w:rPr>
        <w:t xml:space="preserve"> polluting sectors</w:t>
      </w:r>
      <w:r w:rsidR="00A3614D" w:rsidRPr="00B14F28">
        <w:rPr>
          <w:color w:val="000000" w:themeColor="text1"/>
          <w:szCs w:val="24"/>
        </w:rPr>
        <w:t xml:space="preserve">, hence financial contributors to upgrade wastewater treatment plants </w:t>
      </w:r>
      <w:r w:rsidR="00A903F1" w:rsidRPr="00B14F28">
        <w:rPr>
          <w:color w:val="000000" w:themeColor="text1"/>
          <w:szCs w:val="24"/>
        </w:rPr>
        <w:t>– i.e., sectoral approach</w:t>
      </w:r>
      <w:r w:rsidR="00460DF7" w:rsidRPr="00B14F28">
        <w:rPr>
          <w:color w:val="000000" w:themeColor="text1"/>
          <w:szCs w:val="24"/>
        </w:rPr>
        <w:t xml:space="preserve">. </w:t>
      </w:r>
      <w:r w:rsidR="005C5B93" w:rsidRPr="00B14F28">
        <w:rPr>
          <w:color w:val="000000" w:themeColor="text1"/>
          <w:szCs w:val="24"/>
        </w:rPr>
        <w:t xml:space="preserve">The </w:t>
      </w:r>
      <w:r w:rsidR="007A38EB" w:rsidRPr="00B14F28">
        <w:rPr>
          <w:color w:val="000000" w:themeColor="text1"/>
          <w:szCs w:val="24"/>
        </w:rPr>
        <w:t>i</w:t>
      </w:r>
      <w:r w:rsidR="005C5B93" w:rsidRPr="00B14F28">
        <w:rPr>
          <w:color w:val="000000" w:themeColor="text1"/>
          <w:szCs w:val="24"/>
        </w:rPr>
        <w:t xml:space="preserve">mpact </w:t>
      </w:r>
      <w:r w:rsidR="007A38EB" w:rsidRPr="00B14F28">
        <w:rPr>
          <w:color w:val="000000" w:themeColor="text1"/>
          <w:szCs w:val="24"/>
        </w:rPr>
        <w:t>a</w:t>
      </w:r>
      <w:r w:rsidR="005C5B93" w:rsidRPr="00B14F28">
        <w:rPr>
          <w:color w:val="000000" w:themeColor="text1"/>
          <w:szCs w:val="24"/>
        </w:rPr>
        <w:t>ssessment</w:t>
      </w:r>
      <w:r w:rsidR="007D30EB" w:rsidRPr="00B14F28">
        <w:rPr>
          <w:color w:val="000000" w:themeColor="text1"/>
          <w:szCs w:val="24"/>
        </w:rPr>
        <w:t xml:space="preserve"> </w:t>
      </w:r>
      <w:r w:rsidR="00A72D2C" w:rsidRPr="00B14F28">
        <w:rPr>
          <w:color w:val="000000" w:themeColor="text1"/>
        </w:rPr>
        <w:t xml:space="preserve">(EPR feasibility report) does not provide a solid methodology and evidence to substantiate the claim that the cosmetic sector is the second largest polluter. Actually, a JRC study analysing the same list of substances than the EPR feasibility study, leads to quite different results and demonstrates that cosmetic ingredients are a minor part of the polluting substances found in wastewater after the third stage of treatment. Amongst the 50 substances mentioned in the study which account for almost the total toxic load of </w:t>
      </w:r>
      <w:r w:rsidR="003577C8" w:rsidRPr="00B14F28">
        <w:rPr>
          <w:color w:val="000000" w:themeColor="text1"/>
        </w:rPr>
        <w:t>water</w:t>
      </w:r>
      <w:r w:rsidR="00A72D2C" w:rsidRPr="00B14F28">
        <w:rPr>
          <w:color w:val="000000" w:themeColor="text1"/>
        </w:rPr>
        <w:t xml:space="preserve"> environment, only 7 are potentially used in cosmetics (and are used in other sectors as well).</w:t>
      </w:r>
      <w:r w:rsidR="007D30EB" w:rsidRPr="00B14F28">
        <w:rPr>
          <w:color w:val="000000" w:themeColor="text1"/>
          <w:szCs w:val="24"/>
        </w:rPr>
        <w:t xml:space="preserve"> </w:t>
      </w:r>
      <w:r w:rsidR="006F3227" w:rsidRPr="00B14F28">
        <w:rPr>
          <w:color w:val="000000" w:themeColor="text1"/>
          <w:szCs w:val="24"/>
        </w:rPr>
        <w:t xml:space="preserve">The share of cosmetics to the overall toxic load accounts around 1%. </w:t>
      </w:r>
      <w:r w:rsidR="003577C8" w:rsidRPr="00B14F28">
        <w:rPr>
          <w:color w:val="000000" w:themeColor="text1"/>
          <w:szCs w:val="24"/>
        </w:rPr>
        <w:t>Th</w:t>
      </w:r>
      <w:r w:rsidR="007D30EB" w:rsidRPr="00B14F28">
        <w:rPr>
          <w:color w:val="000000" w:themeColor="text1"/>
          <w:szCs w:val="24"/>
        </w:rPr>
        <w:t>is</w:t>
      </w:r>
      <w:r w:rsidR="003577C8" w:rsidRPr="00B14F28">
        <w:rPr>
          <w:color w:val="000000" w:themeColor="text1"/>
          <w:szCs w:val="24"/>
        </w:rPr>
        <w:t xml:space="preserve"> sectoral approach </w:t>
      </w:r>
      <w:r w:rsidR="003577C8" w:rsidRPr="00B14F28">
        <w:rPr>
          <w:color w:val="000000" w:themeColor="text1"/>
        </w:rPr>
        <w:t xml:space="preserve">not </w:t>
      </w:r>
      <w:r w:rsidR="007D30EB" w:rsidRPr="00B14F28">
        <w:rPr>
          <w:color w:val="000000" w:themeColor="text1"/>
        </w:rPr>
        <w:t xml:space="preserve">being </w:t>
      </w:r>
      <w:r w:rsidR="003577C8" w:rsidRPr="00B14F28">
        <w:rPr>
          <w:color w:val="000000" w:themeColor="text1"/>
        </w:rPr>
        <w:t>scientifically justified</w:t>
      </w:r>
      <w:r w:rsidR="00D971A9" w:rsidRPr="00B14F28">
        <w:rPr>
          <w:color w:val="000000" w:themeColor="text1"/>
        </w:rPr>
        <w:t xml:space="preserve"> w</w:t>
      </w:r>
      <w:r w:rsidR="007D30EB" w:rsidRPr="00B14F28">
        <w:rPr>
          <w:color w:val="000000" w:themeColor="text1"/>
        </w:rPr>
        <w:t>ould</w:t>
      </w:r>
      <w:r w:rsidR="00D971A9" w:rsidRPr="00B14F28">
        <w:rPr>
          <w:color w:val="000000" w:themeColor="text1"/>
        </w:rPr>
        <w:t xml:space="preserve"> have counterproductive </w:t>
      </w:r>
      <w:r w:rsidR="003577C8" w:rsidRPr="00B14F28">
        <w:rPr>
          <w:color w:val="000000" w:themeColor="text1"/>
        </w:rPr>
        <w:t>effects on targeting efficiently water pollution</w:t>
      </w:r>
      <w:r w:rsidR="007D30EB" w:rsidRPr="00B14F28">
        <w:rPr>
          <w:color w:val="000000" w:themeColor="text1"/>
        </w:rPr>
        <w:t xml:space="preserve"> since many sources</w:t>
      </w:r>
      <w:r w:rsidR="00A15B6A" w:rsidRPr="00B14F28">
        <w:rPr>
          <w:color w:val="000000" w:themeColor="text1"/>
        </w:rPr>
        <w:t xml:space="preserve"> </w:t>
      </w:r>
      <w:r w:rsidR="007D30EB" w:rsidRPr="00B14F28">
        <w:rPr>
          <w:color w:val="000000" w:themeColor="text1"/>
        </w:rPr>
        <w:t>will be disregarded</w:t>
      </w:r>
      <w:r w:rsidR="003577C8" w:rsidRPr="00B14F28">
        <w:rPr>
          <w:color w:val="000000" w:themeColor="text1"/>
        </w:rPr>
        <w:t xml:space="preserve">. </w:t>
      </w:r>
      <w:r w:rsidR="007D30EB" w:rsidRPr="00B14F28">
        <w:rPr>
          <w:color w:val="000000" w:themeColor="text1"/>
        </w:rPr>
        <w:t xml:space="preserve">Therefore, an approach based on substances, regardless sectors, would ensure that all polluters </w:t>
      </w:r>
      <w:r w:rsidR="00A15B6A" w:rsidRPr="00B14F28">
        <w:rPr>
          <w:color w:val="000000" w:themeColor="text1"/>
        </w:rPr>
        <w:t>are</w:t>
      </w:r>
      <w:r w:rsidR="008463E8" w:rsidRPr="00B14F28">
        <w:rPr>
          <w:color w:val="000000" w:themeColor="text1"/>
        </w:rPr>
        <w:t xml:space="preserve"> duly</w:t>
      </w:r>
      <w:r w:rsidR="00A15B6A" w:rsidRPr="00B14F28">
        <w:rPr>
          <w:color w:val="000000" w:themeColor="text1"/>
        </w:rPr>
        <w:t xml:space="preserve"> identified and </w:t>
      </w:r>
      <w:r w:rsidR="007D30EB" w:rsidRPr="00B14F28">
        <w:rPr>
          <w:color w:val="000000" w:themeColor="text1"/>
        </w:rPr>
        <w:t xml:space="preserve">bear the financial burden of the upgrade according to their respective input to the total toxic load </w:t>
      </w:r>
      <w:r w:rsidR="007F0F87" w:rsidRPr="00B14F28">
        <w:rPr>
          <w:color w:val="000000" w:themeColor="text1"/>
        </w:rPr>
        <w:t xml:space="preserve">to water pollution </w:t>
      </w:r>
      <w:r w:rsidR="007D30EB" w:rsidRPr="00B14F28">
        <w:rPr>
          <w:color w:val="000000" w:themeColor="text1"/>
        </w:rPr>
        <w:t>(see below).</w:t>
      </w:r>
    </w:p>
    <w:p w14:paraId="7099B42B" w14:textId="77777777" w:rsidR="00653976" w:rsidRPr="00B14F28" w:rsidRDefault="00653976" w:rsidP="00A248B5">
      <w:pPr>
        <w:spacing w:before="0" w:after="0"/>
        <w:jc w:val="both"/>
        <w:rPr>
          <w:color w:val="000000" w:themeColor="text1"/>
        </w:rPr>
      </w:pPr>
    </w:p>
    <w:p w14:paraId="0ECE5391" w14:textId="432D6BCC" w:rsidR="00E71AD6" w:rsidRPr="00B14F28" w:rsidRDefault="00E71AD6" w:rsidP="00A248B5">
      <w:pPr>
        <w:spacing w:before="0" w:after="0"/>
        <w:jc w:val="both"/>
        <w:rPr>
          <w:color w:val="000000" w:themeColor="text1"/>
          <w:szCs w:val="24"/>
        </w:rPr>
      </w:pPr>
      <w:r w:rsidRPr="00B14F28">
        <w:rPr>
          <w:color w:val="000000" w:themeColor="text1"/>
          <w:szCs w:val="24"/>
        </w:rPr>
        <w:t xml:space="preserve">Considering the above, </w:t>
      </w:r>
      <w:r w:rsidRPr="00B14F28">
        <w:rPr>
          <w:b/>
          <w:bCs/>
          <w:color w:val="000000" w:themeColor="text1"/>
          <w:szCs w:val="24"/>
        </w:rPr>
        <w:t>Cosmetics Europe</w:t>
      </w:r>
      <w:r w:rsidR="00D561A1" w:rsidRPr="00B14F28">
        <w:rPr>
          <w:color w:val="000000" w:themeColor="text1"/>
          <w:szCs w:val="24"/>
        </w:rPr>
        <w:t xml:space="preserve"> would like to put forward the following recommendations</w:t>
      </w:r>
      <w:r w:rsidRPr="00B14F28">
        <w:rPr>
          <w:color w:val="000000" w:themeColor="text1"/>
          <w:szCs w:val="24"/>
        </w:rPr>
        <w:t>:</w:t>
      </w:r>
    </w:p>
    <w:p w14:paraId="1C688C76" w14:textId="77777777" w:rsidR="00E71AD6" w:rsidRPr="00B14F28" w:rsidRDefault="00E71AD6" w:rsidP="00A248B5">
      <w:pPr>
        <w:spacing w:before="0" w:after="0"/>
        <w:jc w:val="both"/>
        <w:rPr>
          <w:color w:val="000000" w:themeColor="text1"/>
          <w:szCs w:val="24"/>
        </w:rPr>
      </w:pPr>
    </w:p>
    <w:p w14:paraId="5764E003" w14:textId="3E19B526" w:rsidR="00540056" w:rsidRPr="00B14F28" w:rsidRDefault="000F625F" w:rsidP="00B14F28">
      <w:pPr>
        <w:pStyle w:val="Loendilik"/>
        <w:spacing w:line="276" w:lineRule="auto"/>
      </w:pPr>
      <w:r w:rsidRPr="00B14F28">
        <w:t>Re</w:t>
      </w:r>
      <w:r w:rsidR="00FA09B8" w:rsidRPr="00B14F28">
        <w:t>moving</w:t>
      </w:r>
      <w:r w:rsidR="00E71AD6" w:rsidRPr="00B14F28">
        <w:t xml:space="preserve"> the reference to the two sectors in Annex 3 and defin</w:t>
      </w:r>
      <w:r w:rsidR="00FA09B8" w:rsidRPr="00B14F28">
        <w:t>ing</w:t>
      </w:r>
      <w:r w:rsidR="00FD4F0C" w:rsidRPr="00B14F28">
        <w:t>, through a delegated act,</w:t>
      </w:r>
      <w:r w:rsidR="00E71AD6" w:rsidRPr="00B14F28">
        <w:t xml:space="preserve"> a list of micropollutants </w:t>
      </w:r>
      <w:r w:rsidR="00FD4F0C" w:rsidRPr="00B14F28">
        <w:t xml:space="preserve">to be included </w:t>
      </w:r>
      <w:r w:rsidR="00E71AD6" w:rsidRPr="00B14F28">
        <w:t>in the Directive</w:t>
      </w:r>
      <w:r w:rsidR="008D3C85" w:rsidRPr="00B14F28">
        <w:t>.</w:t>
      </w:r>
    </w:p>
    <w:tbl>
      <w:tblPr>
        <w:tblStyle w:val="Kontuurtabel"/>
        <w:tblW w:w="0" w:type="auto"/>
        <w:tblLook w:val="04A0" w:firstRow="1" w:lastRow="0" w:firstColumn="1" w:lastColumn="0" w:noHBand="0" w:noVBand="1"/>
      </w:tblPr>
      <w:tblGrid>
        <w:gridCol w:w="9628"/>
      </w:tblGrid>
      <w:tr w:rsidR="00B14F28" w:rsidRPr="00B14F28" w14:paraId="2C0C7F5A" w14:textId="77777777" w:rsidTr="008D3C85">
        <w:tc>
          <w:tcPr>
            <w:tcW w:w="9628" w:type="dxa"/>
          </w:tcPr>
          <w:p w14:paraId="339D13C7" w14:textId="57224BD9" w:rsidR="008D3C85" w:rsidRPr="00B14F28" w:rsidRDefault="008D3C85" w:rsidP="00A248B5">
            <w:pPr>
              <w:spacing w:before="0" w:after="0" w:line="276" w:lineRule="auto"/>
              <w:jc w:val="both"/>
              <w:rPr>
                <w:color w:val="000000" w:themeColor="text1"/>
              </w:rPr>
            </w:pPr>
            <w:r w:rsidRPr="00B14F28">
              <w:rPr>
                <w:color w:val="000000" w:themeColor="text1"/>
              </w:rPr>
              <w:t xml:space="preserve">The list should include those substances that cannot be removed through the first three treatment stages. The list used by JRC in its study could be taken as a basis for the Commission to establish the list of micropollutants and could be regularly updated. EPR schemes would then not be based on sectors, but rather on relevant substances (i.e., micropollutants) and every polluter, regardless the economic sector, will contribute financially </w:t>
            </w:r>
            <w:r w:rsidR="00FD4F0C" w:rsidRPr="00B14F28">
              <w:rPr>
                <w:color w:val="000000" w:themeColor="text1"/>
              </w:rPr>
              <w:t>based on</w:t>
            </w:r>
            <w:r w:rsidRPr="00B14F28">
              <w:rPr>
                <w:color w:val="000000" w:themeColor="text1"/>
              </w:rPr>
              <w:t xml:space="preserve"> the amount of micropollutants contained in the products it places on the market. This unambiguous </w:t>
            </w:r>
            <w:r w:rsidRPr="00B14F28">
              <w:rPr>
                <w:color w:val="000000" w:themeColor="text1"/>
              </w:rPr>
              <w:lastRenderedPageBreak/>
              <w:t>identification of polluting substances, hence producers, will ensure non-discrimination, proportionality, legal certainty, and a harmonised application of the EPR system within the internal market, avoiding any risk of fragmentation that could occur from the implementation of</w:t>
            </w:r>
            <w:r w:rsidR="00E221E5" w:rsidRPr="00B14F28">
              <w:rPr>
                <w:color w:val="000000" w:themeColor="text1"/>
              </w:rPr>
              <w:t xml:space="preserve"> </w:t>
            </w:r>
            <w:r w:rsidRPr="00B14F28">
              <w:rPr>
                <w:color w:val="000000" w:themeColor="text1"/>
              </w:rPr>
              <w:t>flawed sector based EPR schemes at national level.</w:t>
            </w:r>
          </w:p>
        </w:tc>
      </w:tr>
    </w:tbl>
    <w:p w14:paraId="485185AE" w14:textId="77777777" w:rsidR="00355381" w:rsidRPr="00B14F28" w:rsidRDefault="00355381" w:rsidP="00A248B5">
      <w:pPr>
        <w:spacing w:before="0" w:after="0"/>
        <w:rPr>
          <w:color w:val="000000" w:themeColor="text1"/>
        </w:rPr>
      </w:pPr>
    </w:p>
    <w:p w14:paraId="4851E8C3" w14:textId="5B7296A5" w:rsidR="00540056" w:rsidRPr="00B14F28" w:rsidRDefault="000F625F" w:rsidP="00B14F28">
      <w:pPr>
        <w:pStyle w:val="Loendilik"/>
        <w:spacing w:line="276" w:lineRule="auto"/>
      </w:pPr>
      <w:r w:rsidRPr="00B14F28">
        <w:t>I</w:t>
      </w:r>
      <w:r w:rsidR="008E3546" w:rsidRPr="00B14F28">
        <w:t xml:space="preserve">ncluding in the scope of the definition of micropollutants </w:t>
      </w:r>
      <w:r w:rsidR="00653976" w:rsidRPr="00B14F28">
        <w:t xml:space="preserve">(art. 2(16)) </w:t>
      </w:r>
      <w:r w:rsidR="008E3546" w:rsidRPr="00B14F28">
        <w:t xml:space="preserve">only the relevant substances </w:t>
      </w:r>
      <w:r w:rsidR="001C7C2E" w:rsidRPr="00B14F28">
        <w:t>t</w:t>
      </w:r>
      <w:r w:rsidR="008E3546" w:rsidRPr="00B14F28">
        <w:t>riggering a need for upgrading wastewater treatment plants to fourth stage.</w:t>
      </w:r>
    </w:p>
    <w:tbl>
      <w:tblPr>
        <w:tblStyle w:val="Kontuurtabel"/>
        <w:tblW w:w="0" w:type="auto"/>
        <w:tblLook w:val="04A0" w:firstRow="1" w:lastRow="0" w:firstColumn="1" w:lastColumn="0" w:noHBand="0" w:noVBand="1"/>
      </w:tblPr>
      <w:tblGrid>
        <w:gridCol w:w="9628"/>
      </w:tblGrid>
      <w:tr w:rsidR="00B14F28" w:rsidRPr="00B14F28" w14:paraId="56C39FD7" w14:textId="77777777" w:rsidTr="008E3546">
        <w:tc>
          <w:tcPr>
            <w:tcW w:w="9628" w:type="dxa"/>
          </w:tcPr>
          <w:p w14:paraId="4AA27DDF" w14:textId="26B3C1E7" w:rsidR="00564595" w:rsidRPr="00B14F28" w:rsidRDefault="00830722" w:rsidP="0043084E">
            <w:pPr>
              <w:pStyle w:val="elementtoproof"/>
              <w:spacing w:line="276" w:lineRule="auto"/>
              <w:jc w:val="both"/>
              <w:rPr>
                <w:rFonts w:asciiTheme="minorHAnsi" w:hAnsiTheme="minorHAnsi" w:cstheme="minorHAnsi"/>
                <w:color w:val="000000" w:themeColor="text1"/>
                <w:sz w:val="24"/>
                <w:szCs w:val="24"/>
              </w:rPr>
            </w:pPr>
            <w:r w:rsidRPr="00B14F28">
              <w:rPr>
                <w:color w:val="000000" w:themeColor="text1"/>
                <w:sz w:val="24"/>
                <w:szCs w:val="24"/>
              </w:rPr>
              <w:t xml:space="preserve">The proposed CLP criteria (parts 3 and 4 of </w:t>
            </w:r>
            <w:r w:rsidR="00FA24A0" w:rsidRPr="00B14F28">
              <w:rPr>
                <w:color w:val="000000" w:themeColor="text1"/>
                <w:sz w:val="24"/>
                <w:szCs w:val="24"/>
              </w:rPr>
              <w:t xml:space="preserve">Annex I </w:t>
            </w:r>
            <w:r w:rsidRPr="00B14F28">
              <w:rPr>
                <w:color w:val="000000" w:themeColor="text1"/>
                <w:sz w:val="24"/>
                <w:szCs w:val="24"/>
              </w:rPr>
              <w:t>t</w:t>
            </w:r>
            <w:r w:rsidR="00FA24A0" w:rsidRPr="00B14F28">
              <w:rPr>
                <w:color w:val="000000" w:themeColor="text1"/>
                <w:sz w:val="24"/>
                <w:szCs w:val="24"/>
              </w:rPr>
              <w:t xml:space="preserve">o </w:t>
            </w:r>
            <w:r w:rsidRPr="00B14F28">
              <w:rPr>
                <w:color w:val="000000" w:themeColor="text1"/>
                <w:sz w:val="24"/>
                <w:szCs w:val="24"/>
              </w:rPr>
              <w:t>CLP regulation) to identify micropollutants are too broad. In fact, many substances, although classified with a chemical hazard, are removed from the wastewaters through the three treatment stages (biodegradable substances). Substances that do not pose a risk to human health or the environment at low concentrations should not be included in the scope of the definition.</w:t>
            </w:r>
            <w:r w:rsidR="00564595" w:rsidRPr="00B14F28">
              <w:rPr>
                <w:color w:val="000000" w:themeColor="text1"/>
                <w:sz w:val="24"/>
                <w:szCs w:val="24"/>
              </w:rPr>
              <w:t xml:space="preserve"> Several hazards, in particular for human health, can only manifest at higher concentrations than those in </w:t>
            </w:r>
            <w:r w:rsidR="00FA24A0" w:rsidRPr="00B14F28">
              <w:rPr>
                <w:color w:val="000000" w:themeColor="text1"/>
                <w:sz w:val="24"/>
                <w:szCs w:val="24"/>
              </w:rPr>
              <w:t>wastewater</w:t>
            </w:r>
            <w:r w:rsidR="00564595" w:rsidRPr="00B14F28">
              <w:rPr>
                <w:color w:val="000000" w:themeColor="text1"/>
                <w:sz w:val="24"/>
                <w:szCs w:val="24"/>
              </w:rPr>
              <w:t xml:space="preserve"> effluents. Only few hazard categories can potentially lead to damage at low concentrations. These relevant hazard categories should be the basis for the definition of micropollutants. We </w:t>
            </w:r>
            <w:r w:rsidR="00FA24A0" w:rsidRPr="00B14F28">
              <w:rPr>
                <w:color w:val="000000" w:themeColor="text1"/>
                <w:sz w:val="24"/>
                <w:szCs w:val="24"/>
              </w:rPr>
              <w:t>therefore recommend</w:t>
            </w:r>
            <w:r w:rsidR="00564595" w:rsidRPr="00B14F28">
              <w:rPr>
                <w:rFonts w:asciiTheme="minorHAnsi" w:hAnsiTheme="minorHAnsi" w:cstheme="minorHAnsi"/>
                <w:i/>
                <w:iCs/>
                <w:color w:val="000000" w:themeColor="text1"/>
                <w:sz w:val="24"/>
                <w:szCs w:val="24"/>
              </w:rPr>
              <w:t xml:space="preserve"> </w:t>
            </w:r>
            <w:r w:rsidR="00FA24A0" w:rsidRPr="00B14F28">
              <w:rPr>
                <w:rFonts w:asciiTheme="minorHAnsi" w:hAnsiTheme="minorHAnsi" w:cstheme="minorHAnsi"/>
                <w:color w:val="000000" w:themeColor="text1"/>
                <w:sz w:val="24"/>
                <w:szCs w:val="24"/>
              </w:rPr>
              <w:t xml:space="preserve">limiting the CLP criteria to </w:t>
            </w:r>
            <w:r w:rsidR="00FA24A0" w:rsidRPr="00B14F28">
              <w:rPr>
                <w:rFonts w:eastAsia="Times New Roman"/>
                <w:color w:val="000000" w:themeColor="text1"/>
                <w:sz w:val="24"/>
                <w:szCs w:val="24"/>
                <w:lang w:val="en-US"/>
              </w:rPr>
              <w:t>Parts 3.5, 3.6, 3.7, 3.9, 3.11 and Part 4 of Annex I to CLP regulation.</w:t>
            </w:r>
          </w:p>
        </w:tc>
      </w:tr>
    </w:tbl>
    <w:p w14:paraId="67410032" w14:textId="77777777" w:rsidR="004A3C11" w:rsidRPr="00B14F28" w:rsidRDefault="004A3C11" w:rsidP="0043084E">
      <w:pPr>
        <w:spacing w:before="0" w:after="0"/>
        <w:jc w:val="both"/>
        <w:rPr>
          <w:rFonts w:ascii="Calibri" w:eastAsia="Calibri" w:hAnsi="Calibri" w:cs="Calibri"/>
          <w:color w:val="000000" w:themeColor="text1"/>
          <w:szCs w:val="24"/>
        </w:rPr>
      </w:pPr>
    </w:p>
    <w:p w14:paraId="60C6934B" w14:textId="40A18C15" w:rsidR="00B14F28" w:rsidRPr="00B14F28" w:rsidRDefault="00CE61A5" w:rsidP="0043084E">
      <w:pPr>
        <w:pStyle w:val="Loendilik"/>
        <w:spacing w:line="276" w:lineRule="auto"/>
      </w:pPr>
      <w:r>
        <w:t xml:space="preserve">Clarifying that </w:t>
      </w:r>
      <w:r w:rsidR="00B14F28" w:rsidRPr="00B14F28">
        <w:t>EPR</w:t>
      </w:r>
      <w:r>
        <w:t xml:space="preserve"> only </w:t>
      </w:r>
      <w:r w:rsidR="00E21467">
        <w:t>finance</w:t>
      </w:r>
      <w:r w:rsidR="00184CD1">
        <w:t>s</w:t>
      </w:r>
      <w:r w:rsidR="0043084E">
        <w:t xml:space="preserve"> investment costs.</w:t>
      </w:r>
    </w:p>
    <w:tbl>
      <w:tblPr>
        <w:tblStyle w:val="Kontuurtabel"/>
        <w:tblW w:w="0" w:type="auto"/>
        <w:tblLook w:val="04A0" w:firstRow="1" w:lastRow="0" w:firstColumn="1" w:lastColumn="0" w:noHBand="0" w:noVBand="1"/>
      </w:tblPr>
      <w:tblGrid>
        <w:gridCol w:w="9628"/>
      </w:tblGrid>
      <w:tr w:rsidR="00B14F28" w:rsidRPr="00B14F28" w14:paraId="333E1BD4" w14:textId="77777777" w:rsidTr="00B14F28">
        <w:tc>
          <w:tcPr>
            <w:tcW w:w="9628" w:type="dxa"/>
          </w:tcPr>
          <w:p w14:paraId="49CC073A" w14:textId="28CE1A82" w:rsidR="00B14F28" w:rsidRPr="00B14F28" w:rsidRDefault="0043084E" w:rsidP="0043084E">
            <w:pPr>
              <w:spacing w:before="0" w:after="0" w:line="276" w:lineRule="auto"/>
              <w:jc w:val="both"/>
              <w:rPr>
                <w:color w:val="000000" w:themeColor="text1"/>
              </w:rPr>
            </w:pPr>
            <w:r>
              <w:rPr>
                <w:color w:val="000000" w:themeColor="text1"/>
              </w:rPr>
              <w:t>The costs for upgrading the wastewater treatment plants to the fourth stage should only refer to the investment</w:t>
            </w:r>
            <w:r w:rsidR="00E21467">
              <w:rPr>
                <w:color w:val="000000" w:themeColor="text1"/>
              </w:rPr>
              <w:t>s</w:t>
            </w:r>
            <w:r>
              <w:rPr>
                <w:color w:val="000000" w:themeColor="text1"/>
              </w:rPr>
              <w:t xml:space="preserve">; operational costs should not be financed through </w:t>
            </w:r>
            <w:r w:rsidR="00E21467">
              <w:rPr>
                <w:color w:val="000000" w:themeColor="text1"/>
              </w:rPr>
              <w:t>EPR.</w:t>
            </w:r>
          </w:p>
        </w:tc>
      </w:tr>
    </w:tbl>
    <w:p w14:paraId="7B161320" w14:textId="77777777" w:rsidR="00B14F28" w:rsidRPr="00B14F28" w:rsidRDefault="00B14F28" w:rsidP="0043084E">
      <w:pPr>
        <w:spacing w:before="0" w:after="0"/>
        <w:jc w:val="both"/>
        <w:rPr>
          <w:rFonts w:ascii="Calibri" w:eastAsia="Calibri" w:hAnsi="Calibri" w:cs="Calibri"/>
          <w:color w:val="000000" w:themeColor="text1"/>
          <w:szCs w:val="24"/>
        </w:rPr>
      </w:pPr>
    </w:p>
    <w:p w14:paraId="4144004E" w14:textId="34170EA1" w:rsidR="00653976" w:rsidRPr="00B14F28" w:rsidRDefault="000F625F" w:rsidP="0043084E">
      <w:pPr>
        <w:pStyle w:val="Loendilik"/>
        <w:spacing w:line="276" w:lineRule="auto"/>
      </w:pPr>
      <w:r w:rsidRPr="00B14F28">
        <w:t>C</w:t>
      </w:r>
      <w:r w:rsidR="00540056" w:rsidRPr="00B14F28">
        <w:t>larifying the scope of secondary legislation</w:t>
      </w:r>
      <w:r w:rsidRPr="00B14F28">
        <w:t xml:space="preserve"> related to EPR</w:t>
      </w:r>
      <w:r w:rsidR="006B3B57" w:rsidRPr="00B14F28">
        <w:t>.</w:t>
      </w:r>
    </w:p>
    <w:tbl>
      <w:tblPr>
        <w:tblStyle w:val="Kontuurtabel"/>
        <w:tblW w:w="0" w:type="auto"/>
        <w:tblLook w:val="04A0" w:firstRow="1" w:lastRow="0" w:firstColumn="1" w:lastColumn="0" w:noHBand="0" w:noVBand="1"/>
      </w:tblPr>
      <w:tblGrid>
        <w:gridCol w:w="9628"/>
      </w:tblGrid>
      <w:tr w:rsidR="00B14F28" w:rsidRPr="00B14F28" w14:paraId="01803453" w14:textId="77777777" w:rsidTr="0000107A">
        <w:tc>
          <w:tcPr>
            <w:tcW w:w="9628" w:type="dxa"/>
          </w:tcPr>
          <w:p w14:paraId="628E2076" w14:textId="25A4F5AA" w:rsidR="0000107A" w:rsidRPr="00B14F28" w:rsidRDefault="0000107A" w:rsidP="0043084E">
            <w:pPr>
              <w:spacing w:before="0" w:after="0" w:line="276" w:lineRule="auto"/>
              <w:jc w:val="both"/>
              <w:rPr>
                <w:rFonts w:ascii="Calibri" w:eastAsia="Calibri" w:hAnsi="Calibri" w:cs="Calibri"/>
                <w:color w:val="000000" w:themeColor="text1"/>
                <w:szCs w:val="24"/>
              </w:rPr>
            </w:pPr>
            <w:r w:rsidRPr="00B14F28">
              <w:rPr>
                <w:color w:val="000000" w:themeColor="text1"/>
              </w:rPr>
              <w:t xml:space="preserve">It is not clear if </w:t>
            </w:r>
            <w:r w:rsidR="000F625F" w:rsidRPr="00B14F28">
              <w:rPr>
                <w:color w:val="000000" w:themeColor="text1"/>
              </w:rPr>
              <w:t xml:space="preserve">the secondary legislation in relation to EPR will only cover </w:t>
            </w:r>
            <w:r w:rsidRPr="00B14F28">
              <w:rPr>
                <w:color w:val="000000" w:themeColor="text1"/>
              </w:rPr>
              <w:t xml:space="preserve">the exoneration criteria from </w:t>
            </w:r>
            <w:r w:rsidR="00C557EE" w:rsidRPr="00B14F28">
              <w:rPr>
                <w:color w:val="000000" w:themeColor="text1"/>
              </w:rPr>
              <w:t xml:space="preserve">the </w:t>
            </w:r>
            <w:r w:rsidRPr="00B14F28">
              <w:rPr>
                <w:color w:val="000000" w:themeColor="text1"/>
              </w:rPr>
              <w:t xml:space="preserve">EPR </w:t>
            </w:r>
            <w:r w:rsidR="00C557EE" w:rsidRPr="00B14F28">
              <w:rPr>
                <w:color w:val="000000" w:themeColor="text1"/>
              </w:rPr>
              <w:t>obligation</w:t>
            </w:r>
            <w:r w:rsidRPr="00B14F28">
              <w:rPr>
                <w:color w:val="000000" w:themeColor="text1"/>
              </w:rPr>
              <w:t xml:space="preserve"> </w:t>
            </w:r>
            <w:r w:rsidR="000F625F" w:rsidRPr="00B14F28">
              <w:rPr>
                <w:color w:val="000000" w:themeColor="text1"/>
              </w:rPr>
              <w:t>(art. 9(3)) or other aspects as well.</w:t>
            </w:r>
          </w:p>
        </w:tc>
      </w:tr>
    </w:tbl>
    <w:p w14:paraId="7263A4D6" w14:textId="77777777" w:rsidR="0000107A" w:rsidRPr="00B14F28" w:rsidRDefault="0000107A" w:rsidP="00A248B5">
      <w:pPr>
        <w:spacing w:before="0" w:after="0"/>
        <w:jc w:val="both"/>
        <w:rPr>
          <w:rFonts w:ascii="Calibri" w:eastAsia="Calibri" w:hAnsi="Calibri" w:cs="Calibri"/>
          <w:color w:val="000000" w:themeColor="text1"/>
          <w:szCs w:val="24"/>
        </w:rPr>
      </w:pPr>
    </w:p>
    <w:p w14:paraId="4A0F43BB" w14:textId="07153EF5" w:rsidR="00D561A1" w:rsidRPr="00B14F28" w:rsidRDefault="00D561A1" w:rsidP="00A248B5">
      <w:pPr>
        <w:spacing w:before="0" w:after="0"/>
        <w:jc w:val="both"/>
        <w:rPr>
          <w:rFonts w:ascii="Calibri" w:eastAsia="Calibri" w:hAnsi="Calibri" w:cs="Calibri"/>
          <w:color w:val="000000" w:themeColor="text1"/>
          <w:szCs w:val="24"/>
        </w:rPr>
      </w:pPr>
      <w:r w:rsidRPr="00B14F28">
        <w:rPr>
          <w:rFonts w:ascii="Calibri" w:eastAsia="Calibri" w:hAnsi="Calibri" w:cs="Calibri"/>
          <w:color w:val="000000" w:themeColor="text1"/>
          <w:szCs w:val="24"/>
        </w:rPr>
        <w:t>Furthermore, Cosmetics Europe:</w:t>
      </w:r>
    </w:p>
    <w:p w14:paraId="35800EB8" w14:textId="77777777" w:rsidR="00355381" w:rsidRPr="00B14F28" w:rsidRDefault="00355381" w:rsidP="00A248B5">
      <w:pPr>
        <w:spacing w:before="0" w:after="0"/>
        <w:jc w:val="both"/>
        <w:rPr>
          <w:rFonts w:ascii="Calibri" w:eastAsia="Calibri" w:hAnsi="Calibri" w:cs="Calibri"/>
          <w:color w:val="000000" w:themeColor="text1"/>
          <w:szCs w:val="24"/>
        </w:rPr>
      </w:pPr>
    </w:p>
    <w:p w14:paraId="26309FE6" w14:textId="2EB863AB" w:rsidR="00355381" w:rsidRPr="00B14F28" w:rsidRDefault="00355381" w:rsidP="00FD1473">
      <w:pPr>
        <w:pStyle w:val="Loendilik"/>
        <w:numPr>
          <w:ilvl w:val="0"/>
          <w:numId w:val="2"/>
        </w:numPr>
        <w:spacing w:line="276" w:lineRule="auto"/>
        <w:rPr>
          <w:b w:val="0"/>
          <w:bCs w:val="0"/>
          <w:lang w:val="en-US"/>
        </w:rPr>
      </w:pPr>
      <w:r w:rsidRPr="00B14F28">
        <w:rPr>
          <w:b w:val="0"/>
          <w:bCs w:val="0"/>
          <w:lang w:val="en-US"/>
        </w:rPr>
        <w:t>Support</w:t>
      </w:r>
      <w:r w:rsidR="002E3150" w:rsidRPr="00B14F28">
        <w:rPr>
          <w:b w:val="0"/>
          <w:bCs w:val="0"/>
          <w:lang w:val="en-US"/>
        </w:rPr>
        <w:t>s</w:t>
      </w:r>
      <w:r w:rsidRPr="00B14F28">
        <w:rPr>
          <w:b w:val="0"/>
          <w:bCs w:val="0"/>
          <w:lang w:val="en-US"/>
        </w:rPr>
        <w:t xml:space="preserve"> </w:t>
      </w:r>
      <w:r w:rsidR="002E3150" w:rsidRPr="00B14F28">
        <w:rPr>
          <w:b w:val="0"/>
          <w:bCs w:val="0"/>
          <w:lang w:val="en-US"/>
        </w:rPr>
        <w:t>the</w:t>
      </w:r>
      <w:r w:rsidRPr="00B14F28">
        <w:rPr>
          <w:b w:val="0"/>
          <w:bCs w:val="0"/>
          <w:lang w:val="en-US"/>
        </w:rPr>
        <w:t xml:space="preserve"> deadline for </w:t>
      </w:r>
      <w:r w:rsidR="005939A5" w:rsidRPr="00B14F28">
        <w:rPr>
          <w:b w:val="0"/>
          <w:bCs w:val="0"/>
          <w:lang w:val="en-US"/>
        </w:rPr>
        <w:t xml:space="preserve">the </w:t>
      </w:r>
      <w:r w:rsidRPr="00B14F28">
        <w:rPr>
          <w:b w:val="0"/>
          <w:bCs w:val="0"/>
          <w:lang w:val="en-US"/>
        </w:rPr>
        <w:t xml:space="preserve">implementation of </w:t>
      </w:r>
      <w:r w:rsidR="005939A5" w:rsidRPr="00B14F28">
        <w:rPr>
          <w:b w:val="0"/>
          <w:bCs w:val="0"/>
          <w:lang w:val="en-US"/>
        </w:rPr>
        <w:t xml:space="preserve">the </w:t>
      </w:r>
      <w:r w:rsidRPr="00B14F28">
        <w:rPr>
          <w:b w:val="0"/>
          <w:bCs w:val="0"/>
          <w:lang w:val="en-US"/>
        </w:rPr>
        <w:t>EPR system</w:t>
      </w:r>
      <w:r w:rsidR="00C557EE" w:rsidRPr="00B14F28">
        <w:rPr>
          <w:b w:val="0"/>
          <w:bCs w:val="0"/>
          <w:lang w:val="en-US"/>
        </w:rPr>
        <w:t>,</w:t>
      </w:r>
      <w:r w:rsidR="002E3150" w:rsidRPr="00B14F28">
        <w:rPr>
          <w:b w:val="0"/>
          <w:bCs w:val="0"/>
          <w:lang w:val="en-US"/>
        </w:rPr>
        <w:t xml:space="preserve"> as proposed by the Council (</w:t>
      </w:r>
      <w:r w:rsidRPr="00B14F28">
        <w:rPr>
          <w:b w:val="0"/>
          <w:bCs w:val="0"/>
          <w:lang w:val="en-US"/>
        </w:rPr>
        <w:t>by the third year from the entry into force of the Directive)</w:t>
      </w:r>
      <w:r w:rsidR="002E3150" w:rsidRPr="00B14F28">
        <w:rPr>
          <w:b w:val="0"/>
          <w:bCs w:val="0"/>
          <w:lang w:val="en-US"/>
        </w:rPr>
        <w:t xml:space="preserve"> – art. 9(1)</w:t>
      </w:r>
      <w:r w:rsidR="00893F19" w:rsidRPr="00B14F28">
        <w:rPr>
          <w:b w:val="0"/>
          <w:bCs w:val="0"/>
          <w:lang w:val="en-US"/>
        </w:rPr>
        <w:t>.</w:t>
      </w:r>
    </w:p>
    <w:p w14:paraId="1BFAF20B" w14:textId="6F1B7D27" w:rsidR="00C557EE" w:rsidRPr="00B14F28" w:rsidRDefault="00C557EE" w:rsidP="00FD1473">
      <w:pPr>
        <w:pStyle w:val="Loendilik"/>
        <w:numPr>
          <w:ilvl w:val="0"/>
          <w:numId w:val="2"/>
        </w:numPr>
        <w:spacing w:line="276" w:lineRule="auto"/>
        <w:rPr>
          <w:b w:val="0"/>
          <w:bCs w:val="0"/>
          <w:lang w:val="en-US"/>
        </w:rPr>
      </w:pPr>
      <w:r w:rsidRPr="00B14F28">
        <w:rPr>
          <w:b w:val="0"/>
          <w:bCs w:val="0"/>
          <w:lang w:val="en-US"/>
        </w:rPr>
        <w:t xml:space="preserve">Supports the proposal by the Parliament to exonerate from the EPR obligation </w:t>
      </w:r>
      <w:r w:rsidR="00893F19" w:rsidRPr="00B14F28">
        <w:rPr>
          <w:b w:val="0"/>
          <w:bCs w:val="0"/>
          <w:lang w:val="en-US"/>
        </w:rPr>
        <w:t>those producers that place on the markets products and substances that are rapidly biodegradable according to Part 4.1.2.9.5 of Annex I to CLP regulation</w:t>
      </w:r>
      <w:r w:rsidR="00702DFA" w:rsidRPr="00B14F28">
        <w:rPr>
          <w:b w:val="0"/>
          <w:bCs w:val="0"/>
          <w:lang w:val="en-US"/>
        </w:rPr>
        <w:t xml:space="preserve"> – art. 9(2)(b)</w:t>
      </w:r>
      <w:r w:rsidR="00543226" w:rsidRPr="00B14F28">
        <w:rPr>
          <w:b w:val="0"/>
          <w:bCs w:val="0"/>
          <w:lang w:val="en-US"/>
        </w:rPr>
        <w:t>/ AM 116 and 117</w:t>
      </w:r>
      <w:r w:rsidR="00893F19" w:rsidRPr="00B14F28">
        <w:rPr>
          <w:b w:val="0"/>
          <w:bCs w:val="0"/>
          <w:lang w:val="en-US"/>
        </w:rPr>
        <w:t>.</w:t>
      </w:r>
    </w:p>
    <w:p w14:paraId="2F097793" w14:textId="7FFCF393" w:rsidR="00355381" w:rsidRPr="00B14F28" w:rsidRDefault="00783CC1" w:rsidP="00FD1473">
      <w:pPr>
        <w:pStyle w:val="Loendilik"/>
        <w:numPr>
          <w:ilvl w:val="0"/>
          <w:numId w:val="2"/>
        </w:numPr>
        <w:spacing w:line="276" w:lineRule="auto"/>
        <w:rPr>
          <w:b w:val="0"/>
          <w:bCs w:val="0"/>
          <w:lang w:val="en-US"/>
        </w:rPr>
      </w:pPr>
      <w:r w:rsidRPr="00B14F28">
        <w:rPr>
          <w:b w:val="0"/>
          <w:bCs w:val="0"/>
          <w:lang w:val="en-US"/>
        </w:rPr>
        <w:t>Supports the deadline for the Commission to adopt implementing acts to establish detailed criteria on the uniform application of the exoneration criteria laid down in art. 9(2)(b) to specific categories of products and their hazardousness</w:t>
      </w:r>
      <w:r w:rsidR="00C557EE" w:rsidRPr="00B14F28">
        <w:rPr>
          <w:b w:val="0"/>
          <w:bCs w:val="0"/>
          <w:lang w:val="en-US"/>
        </w:rPr>
        <w:t>, as proposed by the Council</w:t>
      </w:r>
      <w:r w:rsidRPr="00B14F28">
        <w:rPr>
          <w:b w:val="0"/>
          <w:bCs w:val="0"/>
          <w:lang w:val="en-US"/>
        </w:rPr>
        <w:t xml:space="preserve"> (by the second year from the entry into force of the Directive) – art. 9(3)</w:t>
      </w:r>
      <w:r w:rsidR="00702DFA" w:rsidRPr="00B14F28">
        <w:rPr>
          <w:b w:val="0"/>
          <w:bCs w:val="0"/>
          <w:lang w:val="en-US"/>
        </w:rPr>
        <w:t>.</w:t>
      </w:r>
    </w:p>
    <w:p w14:paraId="047C78FE" w14:textId="6EA304A5" w:rsidR="00B14F28" w:rsidRPr="00B14F28" w:rsidRDefault="00702DFA" w:rsidP="00FD1473">
      <w:pPr>
        <w:pStyle w:val="Loendilik"/>
        <w:numPr>
          <w:ilvl w:val="0"/>
          <w:numId w:val="2"/>
        </w:numPr>
        <w:spacing w:line="276" w:lineRule="auto"/>
        <w:rPr>
          <w:b w:val="0"/>
          <w:bCs w:val="0"/>
          <w:lang w:val="en-US"/>
        </w:rPr>
      </w:pPr>
      <w:r w:rsidRPr="00B14F28">
        <w:rPr>
          <w:b w:val="0"/>
          <w:bCs w:val="0"/>
          <w:lang w:val="en-US"/>
        </w:rPr>
        <w:t>Supports the</w:t>
      </w:r>
      <w:r w:rsidR="00543226" w:rsidRPr="00B14F28">
        <w:rPr>
          <w:b w:val="0"/>
          <w:bCs w:val="0"/>
          <w:lang w:val="en-US"/>
        </w:rPr>
        <w:t xml:space="preserve"> </w:t>
      </w:r>
      <w:r w:rsidRPr="00B14F28">
        <w:rPr>
          <w:b w:val="0"/>
          <w:bCs w:val="0"/>
          <w:lang w:val="en-US"/>
        </w:rPr>
        <w:t xml:space="preserve">clarification that the </w:t>
      </w:r>
      <w:r w:rsidR="00543226" w:rsidRPr="00B14F28">
        <w:rPr>
          <w:b w:val="0"/>
          <w:bCs w:val="0"/>
          <w:lang w:val="en-US"/>
        </w:rPr>
        <w:t xml:space="preserve">EPR </w:t>
      </w:r>
      <w:r w:rsidRPr="00B14F28">
        <w:rPr>
          <w:b w:val="0"/>
          <w:bCs w:val="0"/>
          <w:lang w:val="en-US"/>
        </w:rPr>
        <w:t>contribution</w:t>
      </w:r>
      <w:r w:rsidR="00543226" w:rsidRPr="00B14F28">
        <w:rPr>
          <w:b w:val="0"/>
          <w:bCs w:val="0"/>
          <w:lang w:val="en-US"/>
        </w:rPr>
        <w:t xml:space="preserve"> for each producer </w:t>
      </w:r>
      <w:r w:rsidRPr="00B14F28">
        <w:rPr>
          <w:b w:val="0"/>
          <w:bCs w:val="0"/>
          <w:lang w:val="en-US"/>
        </w:rPr>
        <w:t>is determined based on the quantities and hazardousness of the substances contained in the products</w:t>
      </w:r>
      <w:r w:rsidRPr="00B14F28">
        <w:rPr>
          <w:lang w:val="en-US"/>
        </w:rPr>
        <w:t xml:space="preserve"> </w:t>
      </w:r>
      <w:r w:rsidRPr="00B14F28">
        <w:rPr>
          <w:b w:val="0"/>
          <w:bCs w:val="0"/>
          <w:lang w:val="en-US"/>
        </w:rPr>
        <w:t>placed on the market</w:t>
      </w:r>
      <w:r w:rsidR="00543226" w:rsidRPr="00B14F28">
        <w:rPr>
          <w:b w:val="0"/>
          <w:bCs w:val="0"/>
          <w:lang w:val="en-US"/>
        </w:rPr>
        <w:t>, as proposed by the Council – art. 9(4)(c)</w:t>
      </w:r>
      <w:r w:rsidRPr="00B14F28">
        <w:rPr>
          <w:b w:val="0"/>
          <w:bCs w:val="0"/>
          <w:lang w:val="en-US"/>
        </w:rPr>
        <w:t>.</w:t>
      </w:r>
    </w:p>
    <w:p w14:paraId="18C05574" w14:textId="77777777" w:rsidR="00D561A1" w:rsidRPr="00B14F28" w:rsidRDefault="00D561A1" w:rsidP="00A248B5">
      <w:pPr>
        <w:spacing w:before="0" w:after="0"/>
        <w:jc w:val="both"/>
        <w:rPr>
          <w:rFonts w:ascii="Calibri" w:eastAsia="Calibri" w:hAnsi="Calibri" w:cs="Calibri"/>
          <w:color w:val="000000" w:themeColor="text1"/>
          <w:szCs w:val="24"/>
        </w:rPr>
      </w:pPr>
    </w:p>
    <w:sectPr w:rsidR="00D561A1" w:rsidRPr="00B14F28" w:rsidSect="00DC716B">
      <w:headerReference w:type="default" r:id="rId11"/>
      <w:footerReference w:type="default" r:id="rId12"/>
      <w:headerReference w:type="first" r:id="rId13"/>
      <w:footerReference w:type="first" r:id="rId14"/>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0B0F" w14:textId="77777777" w:rsidR="00CC4EA6" w:rsidRDefault="00CC4EA6" w:rsidP="00AD2023">
      <w:pPr>
        <w:spacing w:before="0" w:after="0" w:line="240" w:lineRule="auto"/>
      </w:pPr>
      <w:r>
        <w:separator/>
      </w:r>
    </w:p>
  </w:endnote>
  <w:endnote w:type="continuationSeparator" w:id="0">
    <w:p w14:paraId="68E02747" w14:textId="77777777" w:rsidR="00CC4EA6" w:rsidRDefault="00CC4EA6" w:rsidP="00AD2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6BF" w14:textId="77777777" w:rsidR="00A51807" w:rsidRPr="00FD1354" w:rsidRDefault="00C51A95" w:rsidP="00921384">
    <w:pPr>
      <w:pStyle w:val="Jalus"/>
      <w:jc w:val="center"/>
      <w:rPr>
        <w:color w:val="8999A2"/>
      </w:rPr>
    </w:pPr>
    <w:r w:rsidRPr="00FD1354">
      <w:rPr>
        <w:noProof/>
        <w:color w:val="8999A2"/>
        <w:lang w:eastAsia="en-GB"/>
      </w:rPr>
      <w:fldChar w:fldCharType="begin"/>
    </w:r>
    <w:r w:rsidR="00FD1354" w:rsidRPr="00FD1354">
      <w:rPr>
        <w:noProof/>
        <w:color w:val="8999A2"/>
        <w:lang w:eastAsia="en-GB"/>
      </w:rPr>
      <w:instrText xml:space="preserve"> PAGE  \* Arabic  \* MERGEFORMAT </w:instrText>
    </w:r>
    <w:r w:rsidRPr="00FD1354">
      <w:rPr>
        <w:noProof/>
        <w:color w:val="8999A2"/>
        <w:lang w:eastAsia="en-GB"/>
      </w:rPr>
      <w:fldChar w:fldCharType="separate"/>
    </w:r>
    <w:r w:rsidR="00FD1354">
      <w:rPr>
        <w:noProof/>
        <w:color w:val="8999A2"/>
        <w:lang w:eastAsia="en-GB"/>
      </w:rPr>
      <w:t>2</w:t>
    </w:r>
    <w:r w:rsidRPr="00FD1354">
      <w:rPr>
        <w:noProof/>
        <w:color w:val="8999A2"/>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6C1" w14:textId="5C6C0DFB" w:rsidR="00921384" w:rsidRDefault="000704CB">
    <w:pPr>
      <w:pStyle w:val="Jalus"/>
    </w:pPr>
    <w:r>
      <w:rPr>
        <w:noProof/>
      </w:rPr>
      <mc:AlternateContent>
        <mc:Choice Requires="wpg">
          <w:drawing>
            <wp:anchor distT="0" distB="9779" distL="114300" distR="121920" simplePos="0" relativeHeight="251659776" behindDoc="1" locked="0" layoutInCell="1" allowOverlap="1" wp14:anchorId="503FE90B" wp14:editId="5FDA7FF7">
              <wp:simplePos x="0" y="0"/>
              <wp:positionH relativeFrom="column">
                <wp:posOffset>4267200</wp:posOffset>
              </wp:positionH>
              <wp:positionV relativeFrom="paragraph">
                <wp:posOffset>-1459230</wp:posOffset>
              </wp:positionV>
              <wp:extent cx="3013710" cy="2566670"/>
              <wp:effectExtent l="114300" t="171450" r="129540" b="11938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3710" cy="2566670"/>
                        <a:chOff x="2195736" y="2708920"/>
                        <a:chExt cx="3011400" cy="2567258"/>
                      </a:xfrm>
                    </wpg:grpSpPr>
                    <wps:wsp>
                      <wps:cNvPr id="1" name="Rounded Rectangle 4"/>
                      <wps:cNvSpPr/>
                      <wps:spPr>
                        <a:xfrm rot="2700000">
                          <a:off x="2785583" y="2708920"/>
                          <a:ext cx="634333" cy="634333"/>
                        </a:xfrm>
                        <a:prstGeom prst="roundRect">
                          <a:avLst>
                            <a:gd name="adj" fmla="val 16235"/>
                          </a:avLst>
                        </a:prstGeom>
                        <a:solidFill>
                          <a:srgbClr val="F7D9AB">
                            <a:alpha val="3098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Rounded Rectangle 5"/>
                      <wps:cNvSpPr/>
                      <wps:spPr>
                        <a:xfrm rot="2700000">
                          <a:off x="3656849" y="2733463"/>
                          <a:ext cx="1361401" cy="1361402"/>
                        </a:xfrm>
                        <a:prstGeom prst="roundRect">
                          <a:avLst>
                            <a:gd name="adj" fmla="val 16235"/>
                          </a:avLst>
                        </a:prstGeom>
                        <a:solidFill>
                          <a:srgbClr val="C1D3BC">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4" name="Rounded Rectangle 6"/>
                      <wps:cNvSpPr/>
                      <wps:spPr>
                        <a:xfrm rot="2700000" flipV="1">
                          <a:off x="4222170" y="4291211"/>
                          <a:ext cx="984966" cy="984967"/>
                        </a:xfrm>
                        <a:prstGeom prst="roundRect">
                          <a:avLst>
                            <a:gd name="adj" fmla="val 16235"/>
                          </a:avLst>
                        </a:prstGeom>
                        <a:solidFill>
                          <a:srgbClr val="C4CCD0">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6" name="Rounded Rectangle 7"/>
                      <wps:cNvSpPr/>
                      <wps:spPr>
                        <a:xfrm rot="2700000" flipV="1">
                          <a:off x="3053415" y="3868548"/>
                          <a:ext cx="900989" cy="900989"/>
                        </a:xfrm>
                        <a:prstGeom prst="roundRect">
                          <a:avLst>
                            <a:gd name="adj" fmla="val 16235"/>
                          </a:avLst>
                        </a:prstGeom>
                        <a:solidFill>
                          <a:srgbClr val="F8BFA6">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7" name="Rounded Rectangle 8"/>
                      <wps:cNvSpPr/>
                      <wps:spPr>
                        <a:xfrm rot="2700000" flipV="1">
                          <a:off x="2195737" y="4385810"/>
                          <a:ext cx="775370" cy="775371"/>
                        </a:xfrm>
                        <a:prstGeom prst="roundRect">
                          <a:avLst>
                            <a:gd name="adj" fmla="val 16235"/>
                          </a:avLst>
                        </a:prstGeom>
                        <a:solidFill>
                          <a:srgbClr val="C4CCD0">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5329EA4D" id="Group 9" o:spid="_x0000_s1026" style="position:absolute;margin-left:336pt;margin-top:-114.9pt;width:237.3pt;height:202.1pt;z-index:-251656704;mso-wrap-distance-right:9.6pt;mso-wrap-distance-bottom:.77pt" coordorigin="21957,27089" coordsize="30114,2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">
              <v:roundrect id="Rounded Rectangle 4" o:spid="_x0000_s1027" style="position:absolute;left:27855;top:27089;width:6343;height:6344;rotation:45;visibility:visible;mso-wrap-style:square;v-text-anchor:middle"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" fillcolor="#f7d9ab" stroked="f">
                <v:fill opacity="20303f"/>
              </v:roundrect>
              <v:roundrect id="Rounded Rectangle 5" o:spid="_x0000_s1028" style="position:absolute;left:36568;top:27334;width:13614;height:13614;rotation:45;visibility:visible;mso-wrap-style:square;v-text-anchor:middle"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" fillcolor="#c1d3bc" stroked="f">
                <v:fill opacity="19532f"/>
              </v:roundrect>
              <v:roundrect id="Rounded Rectangle 6" o:spid="_x0000_s1029" style="position:absolute;left:42221;top:42912;width:9850;height:9849;rotation:-45;flip:y;visibility:visible;mso-wrap-style:square;v-text-anchor:middle"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" fillcolor="#c4ccd0" stroked="f">
                <v:fill opacity="19532f"/>
              </v:roundrect>
              <v:roundrect id="Rounded Rectangle 7" o:spid="_x0000_s1030" style="position:absolute;left:30534;top:38685;width:9010;height:9010;rotation:-45;flip:y;visibility:visible;mso-wrap-style:square;v-text-anchor:middle"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" fillcolor="#f8bfa6" stroked="f">
                <v:fill opacity="19532f"/>
              </v:roundrect>
              <v:roundrect id="Rounded Rectangle 8" o:spid="_x0000_s1031" style="position:absolute;left:21957;top:43858;width:7754;height:7753;rotation:-45;flip:y;visibility:visible;mso-wrap-style:square;v-text-anchor:middle"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" fillcolor="#c4ccd0" stroked="f">
                <v:fill opacity="19532f"/>
              </v:round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F8BE" w14:textId="77777777" w:rsidR="00CC4EA6" w:rsidRDefault="00CC4EA6" w:rsidP="00AD2023">
      <w:pPr>
        <w:spacing w:before="0" w:after="0" w:line="240" w:lineRule="auto"/>
      </w:pPr>
      <w:r>
        <w:separator/>
      </w:r>
    </w:p>
  </w:footnote>
  <w:footnote w:type="continuationSeparator" w:id="0">
    <w:p w14:paraId="4479E2C9" w14:textId="77777777" w:rsidR="00CC4EA6" w:rsidRDefault="00CC4EA6" w:rsidP="00AD2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6BE" w14:textId="77777777" w:rsidR="00AD2023" w:rsidRDefault="00AD2023" w:rsidP="00AD2023">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6C0" w14:textId="77777777" w:rsidR="00921384" w:rsidRDefault="00921384">
    <w:pPr>
      <w:pStyle w:val="Pis"/>
    </w:pPr>
    <w:r>
      <w:rPr>
        <w:noProof/>
        <w:lang w:eastAsia="en-GB"/>
      </w:rPr>
      <w:drawing>
        <wp:anchor distT="0" distB="0" distL="114300" distR="114300" simplePos="0" relativeHeight="251657728" behindDoc="1" locked="0" layoutInCell="1" allowOverlap="1" wp14:anchorId="011C26C2" wp14:editId="011C26C3">
          <wp:simplePos x="0" y="0"/>
          <wp:positionH relativeFrom="column">
            <wp:posOffset>5196840</wp:posOffset>
          </wp:positionH>
          <wp:positionV relativeFrom="paragraph">
            <wp:posOffset>-108585</wp:posOffset>
          </wp:positionV>
          <wp:extent cx="1352550" cy="868680"/>
          <wp:effectExtent l="19050" t="0" r="0" b="0"/>
          <wp:wrapNone/>
          <wp:docPr id="5" name="Picture 4" descr="CE_Bronze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Bronze_Medium.png"/>
                  <pic:cNvPicPr/>
                </pic:nvPicPr>
                <pic:blipFill>
                  <a:blip r:embed="rId1"/>
                  <a:stretch>
                    <a:fillRect/>
                  </a:stretch>
                </pic:blipFill>
                <pic:spPr>
                  <a:xfrm>
                    <a:off x="0" y="0"/>
                    <a:ext cx="1352550" cy="868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BBC"/>
    <w:multiLevelType w:val="hybridMultilevel"/>
    <w:tmpl w:val="27F06F32"/>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63D52B2B"/>
    <w:multiLevelType w:val="hybridMultilevel"/>
    <w:tmpl w:val="3E302FB4"/>
    <w:lvl w:ilvl="0" w:tplc="92D8DFD8">
      <w:numFmt w:val="bullet"/>
      <w:pStyle w:val="Loendilik"/>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058819890">
    <w:abstractNumId w:val="1"/>
  </w:num>
  <w:num w:numId="2" w16cid:durableId="1506035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hyphenationZone w:val="425"/>
  <w:drawingGridHorizontalSpacing w:val="120"/>
  <w:displayHorizontalDrawingGridEvery w:val="2"/>
  <w:characterSpacingControl w:val="doNotCompress"/>
  <w:hdrShapeDefaults>
    <o:shapedefaults v:ext="edit" spidmax="2050" fillcolor="none [3212]" stroke="f">
      <v:fill color="none [3212]" opacity="36045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CE"/>
    <w:rsid w:val="0000107A"/>
    <w:rsid w:val="00011643"/>
    <w:rsid w:val="00015CE7"/>
    <w:rsid w:val="00023EEB"/>
    <w:rsid w:val="00024936"/>
    <w:rsid w:val="00025C4B"/>
    <w:rsid w:val="00026D54"/>
    <w:rsid w:val="0003028C"/>
    <w:rsid w:val="00035D45"/>
    <w:rsid w:val="000364AC"/>
    <w:rsid w:val="00043272"/>
    <w:rsid w:val="0004376B"/>
    <w:rsid w:val="00047707"/>
    <w:rsid w:val="00057C00"/>
    <w:rsid w:val="00061CA6"/>
    <w:rsid w:val="000637D6"/>
    <w:rsid w:val="000704CB"/>
    <w:rsid w:val="00072EBD"/>
    <w:rsid w:val="00072EF2"/>
    <w:rsid w:val="000767BF"/>
    <w:rsid w:val="000775CE"/>
    <w:rsid w:val="00083D52"/>
    <w:rsid w:val="00091134"/>
    <w:rsid w:val="00091F55"/>
    <w:rsid w:val="000955FA"/>
    <w:rsid w:val="000A1B37"/>
    <w:rsid w:val="000A3019"/>
    <w:rsid w:val="000A4875"/>
    <w:rsid w:val="000A706C"/>
    <w:rsid w:val="000B0098"/>
    <w:rsid w:val="000C24E9"/>
    <w:rsid w:val="000C647E"/>
    <w:rsid w:val="000C7F4B"/>
    <w:rsid w:val="000E1BA4"/>
    <w:rsid w:val="000E3646"/>
    <w:rsid w:val="000E71DE"/>
    <w:rsid w:val="000F060A"/>
    <w:rsid w:val="000F2A2A"/>
    <w:rsid w:val="000F551C"/>
    <w:rsid w:val="000F625F"/>
    <w:rsid w:val="000F71A5"/>
    <w:rsid w:val="000F72DB"/>
    <w:rsid w:val="000F7B71"/>
    <w:rsid w:val="00104817"/>
    <w:rsid w:val="00105C8F"/>
    <w:rsid w:val="0011163D"/>
    <w:rsid w:val="00112ADA"/>
    <w:rsid w:val="00113EC0"/>
    <w:rsid w:val="00116A9E"/>
    <w:rsid w:val="001227D4"/>
    <w:rsid w:val="00124CB8"/>
    <w:rsid w:val="0012779B"/>
    <w:rsid w:val="00132625"/>
    <w:rsid w:val="00135796"/>
    <w:rsid w:val="00137095"/>
    <w:rsid w:val="00143D5B"/>
    <w:rsid w:val="001522B0"/>
    <w:rsid w:val="00162EF0"/>
    <w:rsid w:val="00163B79"/>
    <w:rsid w:val="00164E63"/>
    <w:rsid w:val="0016544E"/>
    <w:rsid w:val="0017192B"/>
    <w:rsid w:val="00172935"/>
    <w:rsid w:val="00173723"/>
    <w:rsid w:val="00183816"/>
    <w:rsid w:val="00183983"/>
    <w:rsid w:val="00184CD1"/>
    <w:rsid w:val="00185203"/>
    <w:rsid w:val="0019434F"/>
    <w:rsid w:val="00196D8D"/>
    <w:rsid w:val="00197FFB"/>
    <w:rsid w:val="001A1709"/>
    <w:rsid w:val="001A5D0F"/>
    <w:rsid w:val="001B116F"/>
    <w:rsid w:val="001B2929"/>
    <w:rsid w:val="001B2EE4"/>
    <w:rsid w:val="001C1B3F"/>
    <w:rsid w:val="001C7C2E"/>
    <w:rsid w:val="001D4930"/>
    <w:rsid w:val="001D7096"/>
    <w:rsid w:val="001E0830"/>
    <w:rsid w:val="001E451C"/>
    <w:rsid w:val="001F6CF6"/>
    <w:rsid w:val="001F7E18"/>
    <w:rsid w:val="00200786"/>
    <w:rsid w:val="002051A5"/>
    <w:rsid w:val="002102DC"/>
    <w:rsid w:val="00214364"/>
    <w:rsid w:val="00216DF8"/>
    <w:rsid w:val="00217688"/>
    <w:rsid w:val="00230A1E"/>
    <w:rsid w:val="0023265F"/>
    <w:rsid w:val="00236021"/>
    <w:rsid w:val="0024353C"/>
    <w:rsid w:val="00246A86"/>
    <w:rsid w:val="002507B0"/>
    <w:rsid w:val="00252B23"/>
    <w:rsid w:val="002533CE"/>
    <w:rsid w:val="0025617D"/>
    <w:rsid w:val="00256B14"/>
    <w:rsid w:val="00256CE3"/>
    <w:rsid w:val="00261F01"/>
    <w:rsid w:val="002635F6"/>
    <w:rsid w:val="002664DF"/>
    <w:rsid w:val="00271540"/>
    <w:rsid w:val="00280B9F"/>
    <w:rsid w:val="002935F7"/>
    <w:rsid w:val="002945D7"/>
    <w:rsid w:val="002A0104"/>
    <w:rsid w:val="002A0B6C"/>
    <w:rsid w:val="002A2A2E"/>
    <w:rsid w:val="002A5883"/>
    <w:rsid w:val="002A730C"/>
    <w:rsid w:val="002A7E9C"/>
    <w:rsid w:val="002B0F1C"/>
    <w:rsid w:val="002C543A"/>
    <w:rsid w:val="002D669C"/>
    <w:rsid w:val="002E20C9"/>
    <w:rsid w:val="002E3150"/>
    <w:rsid w:val="002E59E5"/>
    <w:rsid w:val="002E7F48"/>
    <w:rsid w:val="002F11AC"/>
    <w:rsid w:val="002F370A"/>
    <w:rsid w:val="002F7C82"/>
    <w:rsid w:val="003018A5"/>
    <w:rsid w:val="00307A5F"/>
    <w:rsid w:val="00310270"/>
    <w:rsid w:val="003105BE"/>
    <w:rsid w:val="00310B7C"/>
    <w:rsid w:val="00310F7B"/>
    <w:rsid w:val="003114BF"/>
    <w:rsid w:val="00312ADA"/>
    <w:rsid w:val="00315600"/>
    <w:rsid w:val="00315C85"/>
    <w:rsid w:val="00320527"/>
    <w:rsid w:val="00325764"/>
    <w:rsid w:val="003316A6"/>
    <w:rsid w:val="003347D6"/>
    <w:rsid w:val="003401D3"/>
    <w:rsid w:val="003410F1"/>
    <w:rsid w:val="00345532"/>
    <w:rsid w:val="00346CE3"/>
    <w:rsid w:val="003522EF"/>
    <w:rsid w:val="0035421F"/>
    <w:rsid w:val="0035428E"/>
    <w:rsid w:val="00354B32"/>
    <w:rsid w:val="00355381"/>
    <w:rsid w:val="003577C8"/>
    <w:rsid w:val="003601D0"/>
    <w:rsid w:val="00363C8B"/>
    <w:rsid w:val="003656B9"/>
    <w:rsid w:val="003724C6"/>
    <w:rsid w:val="00376152"/>
    <w:rsid w:val="00382948"/>
    <w:rsid w:val="00393DBA"/>
    <w:rsid w:val="0039560F"/>
    <w:rsid w:val="00395BB4"/>
    <w:rsid w:val="0039691C"/>
    <w:rsid w:val="00397CDE"/>
    <w:rsid w:val="003A119E"/>
    <w:rsid w:val="003A43BF"/>
    <w:rsid w:val="003A5128"/>
    <w:rsid w:val="003A5592"/>
    <w:rsid w:val="003A7F36"/>
    <w:rsid w:val="003B39F3"/>
    <w:rsid w:val="003B3A51"/>
    <w:rsid w:val="003B4880"/>
    <w:rsid w:val="003B48D1"/>
    <w:rsid w:val="003B5D1E"/>
    <w:rsid w:val="003B69B2"/>
    <w:rsid w:val="003C1038"/>
    <w:rsid w:val="003C44F4"/>
    <w:rsid w:val="003C5228"/>
    <w:rsid w:val="003C77E7"/>
    <w:rsid w:val="003D2203"/>
    <w:rsid w:val="003D6E8E"/>
    <w:rsid w:val="003D6FA3"/>
    <w:rsid w:val="003F17C1"/>
    <w:rsid w:val="00401762"/>
    <w:rsid w:val="00406172"/>
    <w:rsid w:val="00407F37"/>
    <w:rsid w:val="00410008"/>
    <w:rsid w:val="00414CDA"/>
    <w:rsid w:val="00415560"/>
    <w:rsid w:val="00417E74"/>
    <w:rsid w:val="00423BFE"/>
    <w:rsid w:val="0042423B"/>
    <w:rsid w:val="00424523"/>
    <w:rsid w:val="0042627E"/>
    <w:rsid w:val="0043084E"/>
    <w:rsid w:val="00441C22"/>
    <w:rsid w:val="0044405F"/>
    <w:rsid w:val="00446D28"/>
    <w:rsid w:val="00450C15"/>
    <w:rsid w:val="0045217E"/>
    <w:rsid w:val="00452648"/>
    <w:rsid w:val="00455ACD"/>
    <w:rsid w:val="00456FE0"/>
    <w:rsid w:val="00460DF7"/>
    <w:rsid w:val="00463CDA"/>
    <w:rsid w:val="00466FEC"/>
    <w:rsid w:val="004718A9"/>
    <w:rsid w:val="004728B5"/>
    <w:rsid w:val="00480602"/>
    <w:rsid w:val="004851AE"/>
    <w:rsid w:val="00487FB1"/>
    <w:rsid w:val="00494D54"/>
    <w:rsid w:val="004A1FAE"/>
    <w:rsid w:val="004A3C11"/>
    <w:rsid w:val="004B19F6"/>
    <w:rsid w:val="004B29D6"/>
    <w:rsid w:val="004B2D45"/>
    <w:rsid w:val="004C0FEE"/>
    <w:rsid w:val="004C66BC"/>
    <w:rsid w:val="004C6EDC"/>
    <w:rsid w:val="004D0CE0"/>
    <w:rsid w:val="004D35CB"/>
    <w:rsid w:val="004D5693"/>
    <w:rsid w:val="004D7E00"/>
    <w:rsid w:val="004E01C3"/>
    <w:rsid w:val="004E1D32"/>
    <w:rsid w:val="004E3173"/>
    <w:rsid w:val="004E7DD3"/>
    <w:rsid w:val="004F023B"/>
    <w:rsid w:val="00500533"/>
    <w:rsid w:val="00501815"/>
    <w:rsid w:val="0050216D"/>
    <w:rsid w:val="005039E3"/>
    <w:rsid w:val="00503BE9"/>
    <w:rsid w:val="00504FD4"/>
    <w:rsid w:val="00511DF5"/>
    <w:rsid w:val="00514C50"/>
    <w:rsid w:val="00514DA3"/>
    <w:rsid w:val="00515223"/>
    <w:rsid w:val="005341E3"/>
    <w:rsid w:val="00534A52"/>
    <w:rsid w:val="00540056"/>
    <w:rsid w:val="00543226"/>
    <w:rsid w:val="0054616D"/>
    <w:rsid w:val="005503CB"/>
    <w:rsid w:val="0055733F"/>
    <w:rsid w:val="0055784B"/>
    <w:rsid w:val="00557FAE"/>
    <w:rsid w:val="00560013"/>
    <w:rsid w:val="00562886"/>
    <w:rsid w:val="00564595"/>
    <w:rsid w:val="00564687"/>
    <w:rsid w:val="0057171D"/>
    <w:rsid w:val="005747CA"/>
    <w:rsid w:val="00582AAF"/>
    <w:rsid w:val="005872BD"/>
    <w:rsid w:val="0059182E"/>
    <w:rsid w:val="005939A5"/>
    <w:rsid w:val="00593F99"/>
    <w:rsid w:val="005A360F"/>
    <w:rsid w:val="005B1E78"/>
    <w:rsid w:val="005B7454"/>
    <w:rsid w:val="005C3604"/>
    <w:rsid w:val="005C5B93"/>
    <w:rsid w:val="005C6781"/>
    <w:rsid w:val="005D330D"/>
    <w:rsid w:val="005D672A"/>
    <w:rsid w:val="005D6AD3"/>
    <w:rsid w:val="005E1213"/>
    <w:rsid w:val="005E4EE0"/>
    <w:rsid w:val="005E7399"/>
    <w:rsid w:val="005F00BD"/>
    <w:rsid w:val="005F258C"/>
    <w:rsid w:val="005F5C02"/>
    <w:rsid w:val="00600E87"/>
    <w:rsid w:val="00602118"/>
    <w:rsid w:val="006132F9"/>
    <w:rsid w:val="00614800"/>
    <w:rsid w:val="00616957"/>
    <w:rsid w:val="00622E58"/>
    <w:rsid w:val="00624DF1"/>
    <w:rsid w:val="00626475"/>
    <w:rsid w:val="00626666"/>
    <w:rsid w:val="00631851"/>
    <w:rsid w:val="00631E00"/>
    <w:rsid w:val="00636A2C"/>
    <w:rsid w:val="006419C8"/>
    <w:rsid w:val="00645650"/>
    <w:rsid w:val="006469DB"/>
    <w:rsid w:val="006513F4"/>
    <w:rsid w:val="00651B5F"/>
    <w:rsid w:val="006527B5"/>
    <w:rsid w:val="00653551"/>
    <w:rsid w:val="00653976"/>
    <w:rsid w:val="00653D78"/>
    <w:rsid w:val="00656136"/>
    <w:rsid w:val="00656DCB"/>
    <w:rsid w:val="00657A5D"/>
    <w:rsid w:val="00661C52"/>
    <w:rsid w:val="006675B4"/>
    <w:rsid w:val="00671A52"/>
    <w:rsid w:val="00673BAC"/>
    <w:rsid w:val="00683643"/>
    <w:rsid w:val="00686935"/>
    <w:rsid w:val="006967BA"/>
    <w:rsid w:val="006977BC"/>
    <w:rsid w:val="006A0B6A"/>
    <w:rsid w:val="006A0E87"/>
    <w:rsid w:val="006A2266"/>
    <w:rsid w:val="006A3930"/>
    <w:rsid w:val="006A5361"/>
    <w:rsid w:val="006B3B57"/>
    <w:rsid w:val="006B471D"/>
    <w:rsid w:val="006C0FA3"/>
    <w:rsid w:val="006C29E1"/>
    <w:rsid w:val="006C2CD7"/>
    <w:rsid w:val="006C43F1"/>
    <w:rsid w:val="006C44C2"/>
    <w:rsid w:val="006C56AD"/>
    <w:rsid w:val="006C5AD9"/>
    <w:rsid w:val="006D0E2A"/>
    <w:rsid w:val="006D258F"/>
    <w:rsid w:val="006D2976"/>
    <w:rsid w:val="006D758F"/>
    <w:rsid w:val="006E70F1"/>
    <w:rsid w:val="006F072B"/>
    <w:rsid w:val="006F0A70"/>
    <w:rsid w:val="006F3227"/>
    <w:rsid w:val="006F4ED8"/>
    <w:rsid w:val="00702DFA"/>
    <w:rsid w:val="007036F0"/>
    <w:rsid w:val="0070420A"/>
    <w:rsid w:val="00705CE2"/>
    <w:rsid w:val="00706063"/>
    <w:rsid w:val="00706BEA"/>
    <w:rsid w:val="00707352"/>
    <w:rsid w:val="00714262"/>
    <w:rsid w:val="00717016"/>
    <w:rsid w:val="00717465"/>
    <w:rsid w:val="0072134D"/>
    <w:rsid w:val="00722C4C"/>
    <w:rsid w:val="00725801"/>
    <w:rsid w:val="00725D44"/>
    <w:rsid w:val="007275A3"/>
    <w:rsid w:val="00731041"/>
    <w:rsid w:val="00734768"/>
    <w:rsid w:val="00735C7D"/>
    <w:rsid w:val="00743333"/>
    <w:rsid w:val="00743499"/>
    <w:rsid w:val="007454B1"/>
    <w:rsid w:val="007468CE"/>
    <w:rsid w:val="0074761B"/>
    <w:rsid w:val="00753979"/>
    <w:rsid w:val="00756CE5"/>
    <w:rsid w:val="007600B2"/>
    <w:rsid w:val="00771553"/>
    <w:rsid w:val="00772776"/>
    <w:rsid w:val="00774274"/>
    <w:rsid w:val="00776E9D"/>
    <w:rsid w:val="00783CC1"/>
    <w:rsid w:val="007954D5"/>
    <w:rsid w:val="00795E2D"/>
    <w:rsid w:val="007A12B3"/>
    <w:rsid w:val="007A1D4A"/>
    <w:rsid w:val="007A38EB"/>
    <w:rsid w:val="007A436D"/>
    <w:rsid w:val="007B05BF"/>
    <w:rsid w:val="007B0BE8"/>
    <w:rsid w:val="007B4796"/>
    <w:rsid w:val="007C4F44"/>
    <w:rsid w:val="007D0C88"/>
    <w:rsid w:val="007D2207"/>
    <w:rsid w:val="007D2B3E"/>
    <w:rsid w:val="007D30EB"/>
    <w:rsid w:val="007E4329"/>
    <w:rsid w:val="007E4728"/>
    <w:rsid w:val="007E5E0B"/>
    <w:rsid w:val="007F0F87"/>
    <w:rsid w:val="007F28F2"/>
    <w:rsid w:val="007F41F7"/>
    <w:rsid w:val="007F5324"/>
    <w:rsid w:val="00802124"/>
    <w:rsid w:val="00805948"/>
    <w:rsid w:val="00830722"/>
    <w:rsid w:val="00831B1D"/>
    <w:rsid w:val="00833F2B"/>
    <w:rsid w:val="008400FD"/>
    <w:rsid w:val="00840CC4"/>
    <w:rsid w:val="00841217"/>
    <w:rsid w:val="0084225E"/>
    <w:rsid w:val="0084386F"/>
    <w:rsid w:val="008463E8"/>
    <w:rsid w:val="00850D4E"/>
    <w:rsid w:val="00850F9C"/>
    <w:rsid w:val="00852505"/>
    <w:rsid w:val="00853E59"/>
    <w:rsid w:val="0085575D"/>
    <w:rsid w:val="0085599A"/>
    <w:rsid w:val="00857A57"/>
    <w:rsid w:val="0086420C"/>
    <w:rsid w:val="00870EEE"/>
    <w:rsid w:val="008733BB"/>
    <w:rsid w:val="00873665"/>
    <w:rsid w:val="008747AE"/>
    <w:rsid w:val="00874CDB"/>
    <w:rsid w:val="00876A75"/>
    <w:rsid w:val="008775BD"/>
    <w:rsid w:val="00884AA7"/>
    <w:rsid w:val="008866B3"/>
    <w:rsid w:val="00893F19"/>
    <w:rsid w:val="0089620F"/>
    <w:rsid w:val="0089645F"/>
    <w:rsid w:val="008A0506"/>
    <w:rsid w:val="008A295F"/>
    <w:rsid w:val="008A313F"/>
    <w:rsid w:val="008A57EC"/>
    <w:rsid w:val="008B0665"/>
    <w:rsid w:val="008B166E"/>
    <w:rsid w:val="008B1672"/>
    <w:rsid w:val="008B304C"/>
    <w:rsid w:val="008B7725"/>
    <w:rsid w:val="008C165B"/>
    <w:rsid w:val="008D3C85"/>
    <w:rsid w:val="008D480C"/>
    <w:rsid w:val="008D7F94"/>
    <w:rsid w:val="008E3546"/>
    <w:rsid w:val="008E5C99"/>
    <w:rsid w:val="008E646C"/>
    <w:rsid w:val="008E6736"/>
    <w:rsid w:val="008E6859"/>
    <w:rsid w:val="008F1E38"/>
    <w:rsid w:val="008F5A7F"/>
    <w:rsid w:val="00903259"/>
    <w:rsid w:val="00905E29"/>
    <w:rsid w:val="00905F86"/>
    <w:rsid w:val="009079CE"/>
    <w:rsid w:val="009147EF"/>
    <w:rsid w:val="0091531D"/>
    <w:rsid w:val="00916B84"/>
    <w:rsid w:val="00917CF8"/>
    <w:rsid w:val="00920C55"/>
    <w:rsid w:val="00921384"/>
    <w:rsid w:val="00923D2D"/>
    <w:rsid w:val="009241D2"/>
    <w:rsid w:val="009433C0"/>
    <w:rsid w:val="0094464E"/>
    <w:rsid w:val="00946012"/>
    <w:rsid w:val="009605B9"/>
    <w:rsid w:val="009611B0"/>
    <w:rsid w:val="00964963"/>
    <w:rsid w:val="00965438"/>
    <w:rsid w:val="00965838"/>
    <w:rsid w:val="00966494"/>
    <w:rsid w:val="009713B7"/>
    <w:rsid w:val="00972725"/>
    <w:rsid w:val="009778DE"/>
    <w:rsid w:val="00985AC4"/>
    <w:rsid w:val="00990709"/>
    <w:rsid w:val="00993F94"/>
    <w:rsid w:val="00994430"/>
    <w:rsid w:val="0099582A"/>
    <w:rsid w:val="009969C9"/>
    <w:rsid w:val="009A1426"/>
    <w:rsid w:val="009A2414"/>
    <w:rsid w:val="009A6A04"/>
    <w:rsid w:val="009B292A"/>
    <w:rsid w:val="009C3E96"/>
    <w:rsid w:val="009C7C82"/>
    <w:rsid w:val="009D17B2"/>
    <w:rsid w:val="009D1A55"/>
    <w:rsid w:val="009D57EB"/>
    <w:rsid w:val="009D6860"/>
    <w:rsid w:val="009D6D0D"/>
    <w:rsid w:val="009E350C"/>
    <w:rsid w:val="009F738F"/>
    <w:rsid w:val="00A03F86"/>
    <w:rsid w:val="00A059FF"/>
    <w:rsid w:val="00A05B1D"/>
    <w:rsid w:val="00A05B6A"/>
    <w:rsid w:val="00A06ACA"/>
    <w:rsid w:val="00A11153"/>
    <w:rsid w:val="00A1537C"/>
    <w:rsid w:val="00A15A98"/>
    <w:rsid w:val="00A15B6A"/>
    <w:rsid w:val="00A20CCD"/>
    <w:rsid w:val="00A216A3"/>
    <w:rsid w:val="00A21F19"/>
    <w:rsid w:val="00A242FE"/>
    <w:rsid w:val="00A248B5"/>
    <w:rsid w:val="00A3614D"/>
    <w:rsid w:val="00A3730F"/>
    <w:rsid w:val="00A377F0"/>
    <w:rsid w:val="00A42E31"/>
    <w:rsid w:val="00A433BA"/>
    <w:rsid w:val="00A45170"/>
    <w:rsid w:val="00A50D19"/>
    <w:rsid w:val="00A51807"/>
    <w:rsid w:val="00A54160"/>
    <w:rsid w:val="00A604FD"/>
    <w:rsid w:val="00A60C53"/>
    <w:rsid w:val="00A60CB1"/>
    <w:rsid w:val="00A62D75"/>
    <w:rsid w:val="00A65B8D"/>
    <w:rsid w:val="00A66BF1"/>
    <w:rsid w:val="00A66F42"/>
    <w:rsid w:val="00A702E2"/>
    <w:rsid w:val="00A72D2C"/>
    <w:rsid w:val="00A77E66"/>
    <w:rsid w:val="00A829BA"/>
    <w:rsid w:val="00A834CE"/>
    <w:rsid w:val="00A85F2C"/>
    <w:rsid w:val="00A866E0"/>
    <w:rsid w:val="00A86AE6"/>
    <w:rsid w:val="00A86B37"/>
    <w:rsid w:val="00A87C54"/>
    <w:rsid w:val="00A903F1"/>
    <w:rsid w:val="00A922B6"/>
    <w:rsid w:val="00A9653E"/>
    <w:rsid w:val="00AA70A2"/>
    <w:rsid w:val="00AB54E2"/>
    <w:rsid w:val="00AB5B14"/>
    <w:rsid w:val="00AB5ED6"/>
    <w:rsid w:val="00AB6C94"/>
    <w:rsid w:val="00AB7BDB"/>
    <w:rsid w:val="00AC3301"/>
    <w:rsid w:val="00AC4A04"/>
    <w:rsid w:val="00AC513F"/>
    <w:rsid w:val="00AC5C85"/>
    <w:rsid w:val="00AD2023"/>
    <w:rsid w:val="00AE08C5"/>
    <w:rsid w:val="00AE0E96"/>
    <w:rsid w:val="00AE20E6"/>
    <w:rsid w:val="00AE40FC"/>
    <w:rsid w:val="00AF0A2B"/>
    <w:rsid w:val="00AF0F7F"/>
    <w:rsid w:val="00AF4037"/>
    <w:rsid w:val="00B016E0"/>
    <w:rsid w:val="00B0395F"/>
    <w:rsid w:val="00B06F4B"/>
    <w:rsid w:val="00B11865"/>
    <w:rsid w:val="00B13042"/>
    <w:rsid w:val="00B14F28"/>
    <w:rsid w:val="00B20540"/>
    <w:rsid w:val="00B2140E"/>
    <w:rsid w:val="00B22E16"/>
    <w:rsid w:val="00B3130E"/>
    <w:rsid w:val="00B3677E"/>
    <w:rsid w:val="00B40F19"/>
    <w:rsid w:val="00B45083"/>
    <w:rsid w:val="00B45A02"/>
    <w:rsid w:val="00B463C9"/>
    <w:rsid w:val="00B46BED"/>
    <w:rsid w:val="00B51A06"/>
    <w:rsid w:val="00B653BC"/>
    <w:rsid w:val="00B66330"/>
    <w:rsid w:val="00B70B66"/>
    <w:rsid w:val="00B7499B"/>
    <w:rsid w:val="00B74AF3"/>
    <w:rsid w:val="00B752DE"/>
    <w:rsid w:val="00B77F37"/>
    <w:rsid w:val="00B91426"/>
    <w:rsid w:val="00B929D4"/>
    <w:rsid w:val="00B9585F"/>
    <w:rsid w:val="00B95DF3"/>
    <w:rsid w:val="00B96462"/>
    <w:rsid w:val="00BA2E35"/>
    <w:rsid w:val="00BB566C"/>
    <w:rsid w:val="00BB7179"/>
    <w:rsid w:val="00BC1A5D"/>
    <w:rsid w:val="00BC5FA3"/>
    <w:rsid w:val="00BC683A"/>
    <w:rsid w:val="00BE3DFA"/>
    <w:rsid w:val="00BE453C"/>
    <w:rsid w:val="00BF34E4"/>
    <w:rsid w:val="00BF3D77"/>
    <w:rsid w:val="00C1059D"/>
    <w:rsid w:val="00C10F91"/>
    <w:rsid w:val="00C155FD"/>
    <w:rsid w:val="00C2312B"/>
    <w:rsid w:val="00C2769E"/>
    <w:rsid w:val="00C32CC8"/>
    <w:rsid w:val="00C33DFF"/>
    <w:rsid w:val="00C36653"/>
    <w:rsid w:val="00C40200"/>
    <w:rsid w:val="00C4075E"/>
    <w:rsid w:val="00C51A95"/>
    <w:rsid w:val="00C557EE"/>
    <w:rsid w:val="00C662D5"/>
    <w:rsid w:val="00C72043"/>
    <w:rsid w:val="00C728C7"/>
    <w:rsid w:val="00C74622"/>
    <w:rsid w:val="00C75FAD"/>
    <w:rsid w:val="00C82EAB"/>
    <w:rsid w:val="00C82F20"/>
    <w:rsid w:val="00C843CF"/>
    <w:rsid w:val="00C846BF"/>
    <w:rsid w:val="00C84D27"/>
    <w:rsid w:val="00C84F59"/>
    <w:rsid w:val="00C9180C"/>
    <w:rsid w:val="00C95B18"/>
    <w:rsid w:val="00CA2229"/>
    <w:rsid w:val="00CA2FF6"/>
    <w:rsid w:val="00CA4970"/>
    <w:rsid w:val="00CA4EAD"/>
    <w:rsid w:val="00CA66C7"/>
    <w:rsid w:val="00CB5D13"/>
    <w:rsid w:val="00CC4EA6"/>
    <w:rsid w:val="00CD24A6"/>
    <w:rsid w:val="00CD5EAB"/>
    <w:rsid w:val="00CD6A20"/>
    <w:rsid w:val="00CD7859"/>
    <w:rsid w:val="00CE14BD"/>
    <w:rsid w:val="00CE4534"/>
    <w:rsid w:val="00CE58C9"/>
    <w:rsid w:val="00CE61A5"/>
    <w:rsid w:val="00CF0BEF"/>
    <w:rsid w:val="00CF0F88"/>
    <w:rsid w:val="00CF1093"/>
    <w:rsid w:val="00CF2AE3"/>
    <w:rsid w:val="00CF40E0"/>
    <w:rsid w:val="00CF78DF"/>
    <w:rsid w:val="00D01DF0"/>
    <w:rsid w:val="00D044B2"/>
    <w:rsid w:val="00D076F8"/>
    <w:rsid w:val="00D102C1"/>
    <w:rsid w:val="00D17B74"/>
    <w:rsid w:val="00D243F5"/>
    <w:rsid w:val="00D258BC"/>
    <w:rsid w:val="00D302E8"/>
    <w:rsid w:val="00D348AE"/>
    <w:rsid w:val="00D35EE3"/>
    <w:rsid w:val="00D40C31"/>
    <w:rsid w:val="00D4516F"/>
    <w:rsid w:val="00D50D99"/>
    <w:rsid w:val="00D561A1"/>
    <w:rsid w:val="00D62507"/>
    <w:rsid w:val="00D62D73"/>
    <w:rsid w:val="00D8051D"/>
    <w:rsid w:val="00D81F61"/>
    <w:rsid w:val="00D86736"/>
    <w:rsid w:val="00D90720"/>
    <w:rsid w:val="00D921A0"/>
    <w:rsid w:val="00D9547F"/>
    <w:rsid w:val="00D96979"/>
    <w:rsid w:val="00D971A9"/>
    <w:rsid w:val="00DB019B"/>
    <w:rsid w:val="00DB25AB"/>
    <w:rsid w:val="00DB4DC8"/>
    <w:rsid w:val="00DC146D"/>
    <w:rsid w:val="00DC716B"/>
    <w:rsid w:val="00DC73EC"/>
    <w:rsid w:val="00DD0874"/>
    <w:rsid w:val="00DD6AA2"/>
    <w:rsid w:val="00DE05B7"/>
    <w:rsid w:val="00DE05EB"/>
    <w:rsid w:val="00DE514D"/>
    <w:rsid w:val="00DE5E6F"/>
    <w:rsid w:val="00DE62CF"/>
    <w:rsid w:val="00DF42CB"/>
    <w:rsid w:val="00DF508D"/>
    <w:rsid w:val="00DF5D4D"/>
    <w:rsid w:val="00E01A46"/>
    <w:rsid w:val="00E0515E"/>
    <w:rsid w:val="00E073AA"/>
    <w:rsid w:val="00E0763A"/>
    <w:rsid w:val="00E10E4C"/>
    <w:rsid w:val="00E138FB"/>
    <w:rsid w:val="00E14033"/>
    <w:rsid w:val="00E16E19"/>
    <w:rsid w:val="00E17724"/>
    <w:rsid w:val="00E21467"/>
    <w:rsid w:val="00E221E5"/>
    <w:rsid w:val="00E23119"/>
    <w:rsid w:val="00E32431"/>
    <w:rsid w:val="00E362F6"/>
    <w:rsid w:val="00E505E6"/>
    <w:rsid w:val="00E50FCC"/>
    <w:rsid w:val="00E54572"/>
    <w:rsid w:val="00E618A4"/>
    <w:rsid w:val="00E67F82"/>
    <w:rsid w:val="00E71AD6"/>
    <w:rsid w:val="00E76459"/>
    <w:rsid w:val="00E82DBE"/>
    <w:rsid w:val="00E929C7"/>
    <w:rsid w:val="00E92F9A"/>
    <w:rsid w:val="00E932A3"/>
    <w:rsid w:val="00E937C6"/>
    <w:rsid w:val="00E95268"/>
    <w:rsid w:val="00EA5E38"/>
    <w:rsid w:val="00EB29AA"/>
    <w:rsid w:val="00EB32F8"/>
    <w:rsid w:val="00EB3ACA"/>
    <w:rsid w:val="00EB46CB"/>
    <w:rsid w:val="00EB5F8C"/>
    <w:rsid w:val="00EB7847"/>
    <w:rsid w:val="00EC13AB"/>
    <w:rsid w:val="00EC6E35"/>
    <w:rsid w:val="00ED2C79"/>
    <w:rsid w:val="00EE15EA"/>
    <w:rsid w:val="00EE1E15"/>
    <w:rsid w:val="00EE22A3"/>
    <w:rsid w:val="00EE6DD9"/>
    <w:rsid w:val="00EF3E93"/>
    <w:rsid w:val="00F0006B"/>
    <w:rsid w:val="00F10AA1"/>
    <w:rsid w:val="00F11D65"/>
    <w:rsid w:val="00F122B6"/>
    <w:rsid w:val="00F157B4"/>
    <w:rsid w:val="00F16069"/>
    <w:rsid w:val="00F20FDE"/>
    <w:rsid w:val="00F311E6"/>
    <w:rsid w:val="00F36230"/>
    <w:rsid w:val="00F40BE2"/>
    <w:rsid w:val="00F423E5"/>
    <w:rsid w:val="00F54A95"/>
    <w:rsid w:val="00F54B98"/>
    <w:rsid w:val="00F60FBE"/>
    <w:rsid w:val="00F617AB"/>
    <w:rsid w:val="00F6494F"/>
    <w:rsid w:val="00F7473E"/>
    <w:rsid w:val="00F81F0E"/>
    <w:rsid w:val="00F822AA"/>
    <w:rsid w:val="00F8258B"/>
    <w:rsid w:val="00F853B8"/>
    <w:rsid w:val="00F907B6"/>
    <w:rsid w:val="00F96338"/>
    <w:rsid w:val="00F97D9C"/>
    <w:rsid w:val="00F97EC5"/>
    <w:rsid w:val="00F97F65"/>
    <w:rsid w:val="00FA09B8"/>
    <w:rsid w:val="00FA1AEE"/>
    <w:rsid w:val="00FA24A0"/>
    <w:rsid w:val="00FA7297"/>
    <w:rsid w:val="00FA7F42"/>
    <w:rsid w:val="00FB117D"/>
    <w:rsid w:val="00FC2FDF"/>
    <w:rsid w:val="00FD1354"/>
    <w:rsid w:val="00FD1473"/>
    <w:rsid w:val="00FD4F0C"/>
    <w:rsid w:val="00FD5A04"/>
    <w:rsid w:val="00FD6491"/>
    <w:rsid w:val="00FE1E8D"/>
    <w:rsid w:val="00FE514D"/>
    <w:rsid w:val="00FF1F67"/>
    <w:rsid w:val="00FF3681"/>
    <w:rsid w:val="00FF52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f">
      <v:fill color="none [3212]" opacity="36045f"/>
      <v:stroke on="f"/>
    </o:shapedefaults>
    <o:shapelayout v:ext="edit">
      <o:idmap v:ext="edit" data="2"/>
    </o:shapelayout>
  </w:shapeDefaults>
  <w:decimalSymbol w:val=","/>
  <w:listSeparator w:val=";"/>
  <w14:docId w14:val="011C26B9"/>
  <w15:docId w15:val="{97FF588C-2CBE-45A8-ADED-E176A4AE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D2023"/>
    <w:pPr>
      <w:spacing w:before="120" w:after="120"/>
    </w:pPr>
    <w:rPr>
      <w:color w:val="404040" w:themeColor="text1" w:themeTint="BF"/>
      <w:sz w:val="24"/>
    </w:rPr>
  </w:style>
  <w:style w:type="paragraph" w:styleId="Pealkiri1">
    <w:name w:val="heading 1"/>
    <w:basedOn w:val="Normaallaad"/>
    <w:next w:val="Normaallaad"/>
    <w:link w:val="Pealkiri1Mrk"/>
    <w:uiPriority w:val="9"/>
    <w:qFormat/>
    <w:rsid w:val="009D17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AD2023"/>
    <w:pPr>
      <w:keepNext/>
      <w:keepLines/>
      <w:spacing w:before="200"/>
      <w:outlineLvl w:val="1"/>
    </w:pPr>
    <w:rPr>
      <w:rFonts w:asciiTheme="majorHAnsi" w:eastAsiaTheme="majorEastAsia" w:hAnsiTheme="majorHAnsi" w:cstheme="majorBidi"/>
      <w:b/>
      <w:bCs/>
      <w:color w:val="996633"/>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AD2023"/>
    <w:rPr>
      <w:rFonts w:asciiTheme="majorHAnsi" w:eastAsiaTheme="majorEastAsia" w:hAnsiTheme="majorHAnsi" w:cstheme="majorBidi"/>
      <w:b/>
      <w:bCs/>
      <w:color w:val="996633"/>
      <w:sz w:val="24"/>
      <w:szCs w:val="26"/>
      <w:lang w:val="en-US"/>
    </w:rPr>
  </w:style>
  <w:style w:type="paragraph" w:styleId="Loendilik">
    <w:name w:val="List Paragraph"/>
    <w:aliases w:val="Number list"/>
    <w:basedOn w:val="Normaallaad"/>
    <w:autoRedefine/>
    <w:uiPriority w:val="34"/>
    <w:qFormat/>
    <w:rsid w:val="00540056"/>
    <w:pPr>
      <w:numPr>
        <w:numId w:val="1"/>
      </w:numPr>
      <w:spacing w:before="0" w:after="0" w:line="240" w:lineRule="auto"/>
      <w:jc w:val="both"/>
    </w:pPr>
    <w:rPr>
      <w:rFonts w:ascii="Calibri" w:eastAsia="MS Mincho" w:hAnsi="Calibri" w:cs="Times New Roman"/>
      <w:b/>
      <w:bCs/>
      <w:color w:val="000000" w:themeColor="text1"/>
      <w:szCs w:val="24"/>
      <w:lang w:eastAsia="ja-JP"/>
    </w:rPr>
  </w:style>
  <w:style w:type="paragraph" w:styleId="Vahedeta">
    <w:name w:val="No Spacing"/>
    <w:aliases w:val="Subtitles"/>
    <w:basedOn w:val="Normaallaad"/>
    <w:uiPriority w:val="1"/>
    <w:qFormat/>
    <w:rsid w:val="00AD2023"/>
    <w:pPr>
      <w:spacing w:line="240" w:lineRule="auto"/>
    </w:pPr>
    <w:rPr>
      <w:color w:val="996633"/>
    </w:rPr>
  </w:style>
  <w:style w:type="paragraph" w:styleId="Pealkiri">
    <w:name w:val="Title"/>
    <w:basedOn w:val="Normaallaad"/>
    <w:link w:val="PealkiriMrk"/>
    <w:qFormat/>
    <w:rsid w:val="00AD2023"/>
    <w:pPr>
      <w:spacing w:line="240" w:lineRule="auto"/>
    </w:pPr>
    <w:rPr>
      <w:rFonts w:asciiTheme="majorHAnsi" w:eastAsia="Times New Roman" w:hAnsiTheme="majorHAnsi" w:cs="Times New Roman"/>
      <w:b/>
      <w:bCs/>
      <w:color w:val="996633"/>
      <w:sz w:val="40"/>
      <w:szCs w:val="24"/>
      <w:lang w:val="fr-BE"/>
    </w:rPr>
  </w:style>
  <w:style w:type="character" w:customStyle="1" w:styleId="PealkiriMrk">
    <w:name w:val="Pealkiri Märk"/>
    <w:basedOn w:val="Liguvaikefont"/>
    <w:link w:val="Pealkiri"/>
    <w:rsid w:val="00AD2023"/>
    <w:rPr>
      <w:rFonts w:asciiTheme="majorHAnsi" w:eastAsia="Times New Roman" w:hAnsiTheme="majorHAnsi" w:cs="Times New Roman"/>
      <w:b/>
      <w:bCs/>
      <w:color w:val="996633"/>
      <w:sz w:val="40"/>
      <w:szCs w:val="24"/>
      <w:lang w:val="fr-BE"/>
    </w:rPr>
  </w:style>
  <w:style w:type="paragraph" w:styleId="Pis">
    <w:name w:val="header"/>
    <w:basedOn w:val="Normaallaad"/>
    <w:link w:val="PisMrk"/>
    <w:uiPriority w:val="99"/>
    <w:unhideWhenUsed/>
    <w:rsid w:val="00AD2023"/>
    <w:pPr>
      <w:tabs>
        <w:tab w:val="center" w:pos="4513"/>
        <w:tab w:val="right" w:pos="9026"/>
      </w:tabs>
      <w:spacing w:before="0" w:after="0" w:line="240" w:lineRule="auto"/>
    </w:pPr>
  </w:style>
  <w:style w:type="character" w:customStyle="1" w:styleId="PisMrk">
    <w:name w:val="Päis Märk"/>
    <w:basedOn w:val="Liguvaikefont"/>
    <w:link w:val="Pis"/>
    <w:uiPriority w:val="99"/>
    <w:rsid w:val="00AD2023"/>
    <w:rPr>
      <w:color w:val="404040" w:themeColor="text1" w:themeTint="BF"/>
      <w:sz w:val="24"/>
      <w:lang w:val="en-US"/>
    </w:rPr>
  </w:style>
  <w:style w:type="paragraph" w:styleId="Jalus">
    <w:name w:val="footer"/>
    <w:basedOn w:val="Normaallaad"/>
    <w:link w:val="JalusMrk"/>
    <w:uiPriority w:val="99"/>
    <w:unhideWhenUsed/>
    <w:rsid w:val="00AD2023"/>
    <w:pPr>
      <w:tabs>
        <w:tab w:val="center" w:pos="4513"/>
        <w:tab w:val="right" w:pos="9026"/>
      </w:tabs>
      <w:spacing w:before="0" w:after="0" w:line="240" w:lineRule="auto"/>
    </w:pPr>
  </w:style>
  <w:style w:type="character" w:customStyle="1" w:styleId="JalusMrk">
    <w:name w:val="Jalus Märk"/>
    <w:basedOn w:val="Liguvaikefont"/>
    <w:link w:val="Jalus"/>
    <w:uiPriority w:val="99"/>
    <w:rsid w:val="00AD2023"/>
    <w:rPr>
      <w:color w:val="404040" w:themeColor="text1" w:themeTint="BF"/>
      <w:sz w:val="24"/>
      <w:lang w:val="en-US"/>
    </w:rPr>
  </w:style>
  <w:style w:type="paragraph" w:styleId="Jutumullitekst">
    <w:name w:val="Balloon Text"/>
    <w:basedOn w:val="Normaallaad"/>
    <w:link w:val="JutumullitekstMrk"/>
    <w:uiPriority w:val="99"/>
    <w:semiHidden/>
    <w:unhideWhenUsed/>
    <w:rsid w:val="00AD2023"/>
    <w:pPr>
      <w:spacing w:before="0"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D2023"/>
    <w:rPr>
      <w:rFonts w:ascii="Tahoma" w:hAnsi="Tahoma" w:cs="Tahoma"/>
      <w:color w:val="404040" w:themeColor="text1" w:themeTint="BF"/>
      <w:sz w:val="16"/>
      <w:szCs w:val="16"/>
      <w:lang w:val="en-US"/>
    </w:rPr>
  </w:style>
  <w:style w:type="paragraph" w:styleId="Allmrkusetekst">
    <w:name w:val="footnote text"/>
    <w:basedOn w:val="Normaallaad"/>
    <w:link w:val="AllmrkusetekstMrk"/>
    <w:uiPriority w:val="99"/>
    <w:unhideWhenUsed/>
    <w:rsid w:val="00771553"/>
    <w:pPr>
      <w:spacing w:before="0" w:after="0" w:line="240" w:lineRule="auto"/>
    </w:pPr>
    <w:rPr>
      <w:sz w:val="20"/>
      <w:szCs w:val="20"/>
    </w:rPr>
  </w:style>
  <w:style w:type="character" w:customStyle="1" w:styleId="AllmrkusetekstMrk">
    <w:name w:val="Allmärkuse tekst Märk"/>
    <w:basedOn w:val="Liguvaikefont"/>
    <w:link w:val="Allmrkusetekst"/>
    <w:uiPriority w:val="99"/>
    <w:rsid w:val="00771553"/>
    <w:rPr>
      <w:color w:val="404040" w:themeColor="text1" w:themeTint="BF"/>
      <w:sz w:val="20"/>
      <w:szCs w:val="20"/>
    </w:rPr>
  </w:style>
  <w:style w:type="character" w:styleId="Allmrkuseviide">
    <w:name w:val="footnote reference"/>
    <w:basedOn w:val="Liguvaikefont"/>
    <w:uiPriority w:val="99"/>
    <w:semiHidden/>
    <w:unhideWhenUsed/>
    <w:rsid w:val="00771553"/>
    <w:rPr>
      <w:vertAlign w:val="superscript"/>
    </w:rPr>
  </w:style>
  <w:style w:type="paragraph" w:styleId="Redaktsioon">
    <w:name w:val="Revision"/>
    <w:hidden/>
    <w:uiPriority w:val="99"/>
    <w:semiHidden/>
    <w:rsid w:val="00446D28"/>
    <w:pPr>
      <w:spacing w:after="0" w:line="240" w:lineRule="auto"/>
    </w:pPr>
    <w:rPr>
      <w:color w:val="404040" w:themeColor="text1" w:themeTint="BF"/>
      <w:sz w:val="24"/>
    </w:rPr>
  </w:style>
  <w:style w:type="character" w:styleId="Kommentaariviide">
    <w:name w:val="annotation reference"/>
    <w:basedOn w:val="Liguvaikefont"/>
    <w:uiPriority w:val="99"/>
    <w:semiHidden/>
    <w:unhideWhenUsed/>
    <w:rsid w:val="004851AE"/>
    <w:rPr>
      <w:sz w:val="16"/>
      <w:szCs w:val="16"/>
    </w:rPr>
  </w:style>
  <w:style w:type="paragraph" w:styleId="Kommentaaritekst">
    <w:name w:val="annotation text"/>
    <w:basedOn w:val="Normaallaad"/>
    <w:link w:val="KommentaaritekstMrk"/>
    <w:uiPriority w:val="99"/>
    <w:unhideWhenUsed/>
    <w:rsid w:val="004851AE"/>
    <w:pPr>
      <w:spacing w:line="240" w:lineRule="auto"/>
    </w:pPr>
    <w:rPr>
      <w:sz w:val="20"/>
      <w:szCs w:val="20"/>
    </w:rPr>
  </w:style>
  <w:style w:type="character" w:customStyle="1" w:styleId="KommentaaritekstMrk">
    <w:name w:val="Kommentaari tekst Märk"/>
    <w:basedOn w:val="Liguvaikefont"/>
    <w:link w:val="Kommentaaritekst"/>
    <w:uiPriority w:val="99"/>
    <w:rsid w:val="004851AE"/>
    <w:rPr>
      <w:color w:val="404040" w:themeColor="text1" w:themeTint="BF"/>
      <w:sz w:val="20"/>
      <w:szCs w:val="20"/>
    </w:rPr>
  </w:style>
  <w:style w:type="paragraph" w:styleId="Kommentaariteema">
    <w:name w:val="annotation subject"/>
    <w:basedOn w:val="Kommentaaritekst"/>
    <w:next w:val="Kommentaaritekst"/>
    <w:link w:val="KommentaariteemaMrk"/>
    <w:uiPriority w:val="99"/>
    <w:semiHidden/>
    <w:unhideWhenUsed/>
    <w:rsid w:val="004851AE"/>
    <w:rPr>
      <w:b/>
      <w:bCs/>
    </w:rPr>
  </w:style>
  <w:style w:type="character" w:customStyle="1" w:styleId="KommentaariteemaMrk">
    <w:name w:val="Kommentaari teema Märk"/>
    <w:basedOn w:val="KommentaaritekstMrk"/>
    <w:link w:val="Kommentaariteema"/>
    <w:uiPriority w:val="99"/>
    <w:semiHidden/>
    <w:rsid w:val="004851AE"/>
    <w:rPr>
      <w:b/>
      <w:bCs/>
      <w:color w:val="404040" w:themeColor="text1" w:themeTint="BF"/>
      <w:sz w:val="20"/>
      <w:szCs w:val="20"/>
    </w:rPr>
  </w:style>
  <w:style w:type="paragraph" w:customStyle="1" w:styleId="Default">
    <w:name w:val="Default"/>
    <w:rsid w:val="002F370A"/>
    <w:pPr>
      <w:autoSpaceDE w:val="0"/>
      <w:autoSpaceDN w:val="0"/>
      <w:adjustRightInd w:val="0"/>
      <w:spacing w:after="0" w:line="240" w:lineRule="auto"/>
    </w:pPr>
    <w:rPr>
      <w:rFonts w:ascii="Calibri" w:hAnsi="Calibri" w:cs="Calibri"/>
      <w:color w:val="000000"/>
      <w:sz w:val="24"/>
      <w:szCs w:val="24"/>
    </w:rPr>
  </w:style>
  <w:style w:type="character" w:styleId="Hperlink">
    <w:name w:val="Hyperlink"/>
    <w:basedOn w:val="Liguvaikefont"/>
    <w:uiPriority w:val="99"/>
    <w:unhideWhenUsed/>
    <w:rsid w:val="006C5AD9"/>
    <w:rPr>
      <w:color w:val="0000FF" w:themeColor="hyperlink"/>
      <w:u w:val="single"/>
    </w:rPr>
  </w:style>
  <w:style w:type="character" w:styleId="Lahendamatamainimine">
    <w:name w:val="Unresolved Mention"/>
    <w:basedOn w:val="Liguvaikefont"/>
    <w:uiPriority w:val="99"/>
    <w:semiHidden/>
    <w:unhideWhenUsed/>
    <w:rsid w:val="006C5AD9"/>
    <w:rPr>
      <w:color w:val="605E5C"/>
      <w:shd w:val="clear" w:color="auto" w:fill="E1DFDD"/>
    </w:rPr>
  </w:style>
  <w:style w:type="table" w:styleId="Kontuurtabel">
    <w:name w:val="Table Grid"/>
    <w:basedOn w:val="Normaaltabel"/>
    <w:uiPriority w:val="59"/>
    <w:rsid w:val="00B5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B3677E"/>
    <w:rPr>
      <w:color w:val="800080" w:themeColor="followedHyperlink"/>
      <w:u w:val="single"/>
    </w:rPr>
  </w:style>
  <w:style w:type="character" w:customStyle="1" w:styleId="Pealkiri1Mrk">
    <w:name w:val="Pealkiri 1 Märk"/>
    <w:basedOn w:val="Liguvaikefont"/>
    <w:link w:val="Pealkiri1"/>
    <w:uiPriority w:val="9"/>
    <w:rsid w:val="009D17B2"/>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allaad"/>
    <w:rsid w:val="004A3C11"/>
    <w:pPr>
      <w:spacing w:before="0" w:after="0" w:line="240" w:lineRule="auto"/>
    </w:pPr>
    <w:rPr>
      <w:rFonts w:ascii="Calibri" w:hAnsi="Calibri" w:cs="Calibri"/>
      <w:color w:val="auto"/>
      <w:sz w:val="22"/>
    </w:rPr>
  </w:style>
  <w:style w:type="paragraph" w:customStyle="1" w:styleId="elementtoproof">
    <w:name w:val="elementtoproof"/>
    <w:basedOn w:val="Normaallaad"/>
    <w:rsid w:val="00FA09B8"/>
    <w:pPr>
      <w:spacing w:before="0" w:after="0" w:line="240" w:lineRule="auto"/>
    </w:pPr>
    <w:rPr>
      <w:rFonts w:ascii="Calibr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722">
      <w:bodyDiv w:val="1"/>
      <w:marLeft w:val="0"/>
      <w:marRight w:val="0"/>
      <w:marTop w:val="0"/>
      <w:marBottom w:val="0"/>
      <w:divBdr>
        <w:top w:val="none" w:sz="0" w:space="0" w:color="auto"/>
        <w:left w:val="none" w:sz="0" w:space="0" w:color="auto"/>
        <w:bottom w:val="none" w:sz="0" w:space="0" w:color="auto"/>
        <w:right w:val="none" w:sz="0" w:space="0" w:color="auto"/>
      </w:divBdr>
    </w:div>
    <w:div w:id="198708630">
      <w:bodyDiv w:val="1"/>
      <w:marLeft w:val="0"/>
      <w:marRight w:val="0"/>
      <w:marTop w:val="0"/>
      <w:marBottom w:val="0"/>
      <w:divBdr>
        <w:top w:val="none" w:sz="0" w:space="0" w:color="auto"/>
        <w:left w:val="none" w:sz="0" w:space="0" w:color="auto"/>
        <w:bottom w:val="none" w:sz="0" w:space="0" w:color="auto"/>
        <w:right w:val="none" w:sz="0" w:space="0" w:color="auto"/>
      </w:divBdr>
    </w:div>
    <w:div w:id="971328427">
      <w:bodyDiv w:val="1"/>
      <w:marLeft w:val="0"/>
      <w:marRight w:val="0"/>
      <w:marTop w:val="0"/>
      <w:marBottom w:val="0"/>
      <w:divBdr>
        <w:top w:val="none" w:sz="0" w:space="0" w:color="auto"/>
        <w:left w:val="none" w:sz="0" w:space="0" w:color="auto"/>
        <w:bottom w:val="none" w:sz="0" w:space="0" w:color="auto"/>
        <w:right w:val="none" w:sz="0" w:space="0" w:color="auto"/>
      </w:divBdr>
    </w:div>
    <w:div w:id="975834247">
      <w:bodyDiv w:val="1"/>
      <w:marLeft w:val="0"/>
      <w:marRight w:val="0"/>
      <w:marTop w:val="0"/>
      <w:marBottom w:val="0"/>
      <w:divBdr>
        <w:top w:val="none" w:sz="0" w:space="0" w:color="auto"/>
        <w:left w:val="none" w:sz="0" w:space="0" w:color="auto"/>
        <w:bottom w:val="none" w:sz="0" w:space="0" w:color="auto"/>
        <w:right w:val="none" w:sz="0" w:space="0" w:color="auto"/>
      </w:divBdr>
    </w:div>
    <w:div w:id="1258949459">
      <w:bodyDiv w:val="1"/>
      <w:marLeft w:val="0"/>
      <w:marRight w:val="0"/>
      <w:marTop w:val="0"/>
      <w:marBottom w:val="0"/>
      <w:divBdr>
        <w:top w:val="none" w:sz="0" w:space="0" w:color="auto"/>
        <w:left w:val="none" w:sz="0" w:space="0" w:color="auto"/>
        <w:bottom w:val="none" w:sz="0" w:space="0" w:color="auto"/>
        <w:right w:val="none" w:sz="0" w:space="0" w:color="auto"/>
      </w:divBdr>
    </w:div>
    <w:div w:id="1831601182">
      <w:bodyDiv w:val="1"/>
      <w:marLeft w:val="0"/>
      <w:marRight w:val="0"/>
      <w:marTop w:val="0"/>
      <w:marBottom w:val="0"/>
      <w:divBdr>
        <w:top w:val="none" w:sz="0" w:space="0" w:color="auto"/>
        <w:left w:val="none" w:sz="0" w:space="0" w:color="auto"/>
        <w:bottom w:val="none" w:sz="0" w:space="0" w:color="auto"/>
        <w:right w:val="none" w:sz="0" w:space="0" w:color="auto"/>
      </w:divBdr>
    </w:div>
    <w:div w:id="20649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CE%20Templ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3BFE7DF05B94BBC4914EC8868AC1A" ma:contentTypeVersion="6" ma:contentTypeDescription="Create a new document." ma:contentTypeScope="" ma:versionID="61a55c0e7c86431ac1d255819165067b">
  <xsd:schema xmlns:xsd="http://www.w3.org/2001/XMLSchema" xmlns:xs="http://www.w3.org/2001/XMLSchema" xmlns:p="http://schemas.microsoft.com/office/2006/metadata/properties" xmlns:ns2="a6cec79a-c752-48e5-b1c2-7dfcd0ae94f8" xmlns:ns3="a10c5157-2627-4c32-8aed-2134133a4772" targetNamespace="http://schemas.microsoft.com/office/2006/metadata/properties" ma:root="true" ma:fieldsID="64c8121e369ff0ab93ea50a77916c80e" ns2:_="" ns3:_="">
    <xsd:import namespace="a6cec79a-c752-48e5-b1c2-7dfcd0ae94f8"/>
    <xsd:import namespace="a10c5157-2627-4c32-8aed-2134133a47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ec79a-c752-48e5-b1c2-7dfcd0ae9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c5157-2627-4c32-8aed-2134133a477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BEBB4-F737-4DF0-AC52-E7AE46AB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ec79a-c752-48e5-b1c2-7dfcd0ae94f8"/>
    <ds:schemaRef ds:uri="a10c5157-2627-4c32-8aed-2134133a4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BB1CE-2F0C-4469-A1B7-0AF73131041C}">
  <ds:schemaRefs>
    <ds:schemaRef ds:uri="http://schemas.microsoft.com/sharepoint/v3/contenttype/forms"/>
  </ds:schemaRefs>
</ds:datastoreItem>
</file>

<file path=customXml/itemProps3.xml><?xml version="1.0" encoding="utf-8"?>
<ds:datastoreItem xmlns:ds="http://schemas.openxmlformats.org/officeDocument/2006/customXml" ds:itemID="{62123BE9-1704-4278-91A1-E039AA575A27}">
  <ds:schemaRefs>
    <ds:schemaRef ds:uri="http://schemas.openxmlformats.org/officeDocument/2006/bibliography"/>
  </ds:schemaRefs>
</ds:datastoreItem>
</file>

<file path=customXml/itemProps4.xml><?xml version="1.0" encoding="utf-8"?>
<ds:datastoreItem xmlns:ds="http://schemas.openxmlformats.org/officeDocument/2006/customXml" ds:itemID="{B67F4450-326B-4CD9-9476-6811620E0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Template.dotx</Template>
  <TotalTime>1</TotalTime>
  <Pages>2</Pages>
  <Words>856</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Chave</dc:creator>
  <cp:lastModifiedBy>Kärt Kasak</cp:lastModifiedBy>
  <cp:revision>3</cp:revision>
  <cp:lastPrinted>2023-10-03T14:25:00Z</cp:lastPrinted>
  <dcterms:created xsi:type="dcterms:W3CDTF">2023-11-02T12:24:00Z</dcterms:created>
  <dcterms:modified xsi:type="dcterms:W3CDTF">2023-11-02T12:24:00Z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0x01010039A3BFE7DF05B94BBC4914EC8868AC1A</vt:lpwstr>
  </property>
</Properties>
</file>