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2" w:rightFromText="142" w:bottomFromText="142" w:vertAnchor="text" w:tblpY="1"/>
        <w:tblOverlap w:val="never"/>
        <w:tblW w:w="15713" w:type="dxa"/>
        <w:tblBorders>
          <w:top w:val="none" w:sz="0" w:space="0" w:color="auto"/>
          <w:left w:val="none" w:sz="0" w:space="0" w:color="auto"/>
          <w:bottom w:val="dashSmallGap" w:sz="4" w:space="0" w:color="A9C30C"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1"/>
        <w:gridCol w:w="5692"/>
      </w:tblGrid>
      <w:tr w:rsidR="00980ACE" w:rsidRPr="00193042" w14:paraId="52C1755C" w14:textId="77777777" w:rsidTr="00591E8E">
        <w:trPr>
          <w:trHeight w:val="757"/>
        </w:trPr>
        <w:tc>
          <w:tcPr>
            <w:tcW w:w="15713" w:type="dxa"/>
            <w:gridSpan w:val="2"/>
          </w:tcPr>
          <w:p w14:paraId="56609859" w14:textId="0F0919FD" w:rsidR="00980ACE" w:rsidRPr="00193042" w:rsidRDefault="00DB1040" w:rsidP="005B1F93">
            <w:pPr>
              <w:pStyle w:val="Titre1"/>
              <w:spacing w:line="276" w:lineRule="auto"/>
              <w:rPr>
                <w:szCs w:val="48"/>
              </w:rPr>
            </w:pPr>
            <w:bookmarkStart w:id="0" w:name="_Toc136437197"/>
            <w:r>
              <w:rPr>
                <w:sz w:val="40"/>
                <w:szCs w:val="40"/>
              </w:rPr>
              <w:t xml:space="preserve"> </w:t>
            </w:r>
            <w:r w:rsidR="00A70A8F">
              <w:rPr>
                <w:sz w:val="40"/>
                <w:szCs w:val="40"/>
              </w:rPr>
              <w:t xml:space="preserve">PACKAGING PACKAGING WASTE REGULATION </w:t>
            </w:r>
            <w:bookmarkEnd w:id="0"/>
          </w:p>
        </w:tc>
      </w:tr>
      <w:tr w:rsidR="00980ACE" w:rsidRPr="0068184B" w14:paraId="3E11C826" w14:textId="77777777" w:rsidTr="00E5570E">
        <w:trPr>
          <w:trHeight w:val="1220"/>
        </w:trPr>
        <w:tc>
          <w:tcPr>
            <w:tcW w:w="10021" w:type="dxa"/>
          </w:tcPr>
          <w:p w14:paraId="2E61E2FF" w14:textId="1344FD76" w:rsidR="00E51FAC" w:rsidRPr="00591E8E" w:rsidRDefault="0068184B" w:rsidP="005B1F93">
            <w:pPr>
              <w:pStyle w:val="Titre2"/>
              <w:spacing w:line="276" w:lineRule="auto"/>
              <w:rPr>
                <w:szCs w:val="40"/>
              </w:rPr>
            </w:pPr>
            <w:r w:rsidRPr="00591E8E">
              <w:rPr>
                <w:szCs w:val="40"/>
              </w:rPr>
              <w:t>A.I.S.E. position on priorities for trialogue</w:t>
            </w:r>
            <w:r w:rsidR="00591E8E" w:rsidRPr="00591E8E">
              <w:rPr>
                <w:szCs w:val="40"/>
              </w:rPr>
              <w:t xml:space="preserve"> </w:t>
            </w:r>
            <w:r w:rsidRPr="00591E8E">
              <w:rPr>
                <w:szCs w:val="40"/>
              </w:rPr>
              <w:t>negotiations</w:t>
            </w:r>
          </w:p>
          <w:p w14:paraId="62C01AE5" w14:textId="74F8A162" w:rsidR="0068184B" w:rsidRPr="00D41A43" w:rsidRDefault="00D41A43" w:rsidP="0068184B">
            <w:pPr>
              <w:rPr>
                <w:sz w:val="24"/>
                <w:szCs w:val="24"/>
              </w:rPr>
            </w:pPr>
            <w:r w:rsidRPr="00D41A43">
              <w:rPr>
                <w:color w:val="007576" w:themeColor="accent1"/>
                <w:sz w:val="24"/>
                <w:szCs w:val="24"/>
              </w:rPr>
              <w:t>Mar. 30 January 2024</w:t>
            </w:r>
          </w:p>
        </w:tc>
        <w:tc>
          <w:tcPr>
            <w:tcW w:w="5692" w:type="dxa"/>
            <w:vAlign w:val="center"/>
          </w:tcPr>
          <w:p w14:paraId="7ED4A02D" w14:textId="77777777" w:rsidR="00980ACE" w:rsidRPr="0068184B" w:rsidRDefault="00980ACE" w:rsidP="005B1F93">
            <w:pPr>
              <w:pStyle w:val="Titre2"/>
              <w:spacing w:line="276" w:lineRule="auto"/>
            </w:pPr>
          </w:p>
        </w:tc>
      </w:tr>
    </w:tbl>
    <w:p w14:paraId="4807188F" w14:textId="3DFDB849" w:rsidR="000F1B4E" w:rsidRDefault="006A2331" w:rsidP="000F1B4E">
      <w:pPr>
        <w:spacing w:after="160" w:line="259" w:lineRule="auto"/>
        <w:rPr>
          <w:b/>
          <w:i/>
          <w:sz w:val="24"/>
          <w:szCs w:val="24"/>
        </w:rPr>
      </w:pPr>
      <w:r>
        <w:rPr>
          <w:sz w:val="24"/>
          <w:szCs w:val="24"/>
        </w:rPr>
        <w:t>Please</w:t>
      </w:r>
      <w:r w:rsidR="0000115C" w:rsidRPr="00213BEB">
        <w:rPr>
          <w:sz w:val="24"/>
          <w:szCs w:val="24"/>
        </w:rPr>
        <w:t xml:space="preserve"> find below an overview of A.I.S.E.'s main priorities in relation to the positions of the co-legislators and their adopted texts,</w:t>
      </w:r>
      <w:r w:rsidR="00FC4C48" w:rsidRPr="00213BEB">
        <w:rPr>
          <w:sz w:val="24"/>
          <w:szCs w:val="24"/>
        </w:rPr>
        <w:t xml:space="preserve"> </w:t>
      </w:r>
      <w:r w:rsidR="00420454" w:rsidRPr="00213BEB">
        <w:rPr>
          <w:sz w:val="24"/>
          <w:szCs w:val="24"/>
        </w:rPr>
        <w:t>now under trilogue negotiations.</w:t>
      </w:r>
      <w:r>
        <w:rPr>
          <w:sz w:val="24"/>
          <w:szCs w:val="24"/>
        </w:rPr>
        <w:t xml:space="preserve"> </w:t>
      </w:r>
      <w:r w:rsidR="00E5570E" w:rsidRPr="00213BEB">
        <w:rPr>
          <w:sz w:val="24"/>
          <w:szCs w:val="24"/>
        </w:rPr>
        <w:t xml:space="preserve">Marked in </w:t>
      </w:r>
      <w:r w:rsidR="00E5570E" w:rsidRPr="00213BEB">
        <w:rPr>
          <w:sz w:val="24"/>
          <w:szCs w:val="24"/>
          <w:highlight w:val="green"/>
        </w:rPr>
        <w:t>green</w:t>
      </w:r>
      <w:r w:rsidR="00E5570E" w:rsidRPr="00213BEB">
        <w:rPr>
          <w:sz w:val="24"/>
          <w:szCs w:val="24"/>
        </w:rPr>
        <w:t xml:space="preserve"> the </w:t>
      </w:r>
      <w:r w:rsidR="00BB566D" w:rsidRPr="00213BEB">
        <w:rPr>
          <w:sz w:val="24"/>
          <w:szCs w:val="24"/>
        </w:rPr>
        <w:t xml:space="preserve">text </w:t>
      </w:r>
      <w:r w:rsidR="00E5570E" w:rsidRPr="00213BEB">
        <w:rPr>
          <w:sz w:val="24"/>
          <w:szCs w:val="24"/>
        </w:rPr>
        <w:t xml:space="preserve">that we support, in </w:t>
      </w:r>
      <w:r w:rsidR="00E5570E" w:rsidRPr="00213BEB">
        <w:rPr>
          <w:sz w:val="24"/>
          <w:szCs w:val="24"/>
          <w:highlight w:val="red"/>
        </w:rPr>
        <w:t>red</w:t>
      </w:r>
      <w:r w:rsidR="00E5570E" w:rsidRPr="00213BEB">
        <w:rPr>
          <w:sz w:val="24"/>
          <w:szCs w:val="24"/>
        </w:rPr>
        <w:t xml:space="preserve"> </w:t>
      </w:r>
      <w:r w:rsidR="00BB566D" w:rsidRPr="00213BEB">
        <w:rPr>
          <w:sz w:val="24"/>
          <w:szCs w:val="24"/>
        </w:rPr>
        <w:t>what we</w:t>
      </w:r>
      <w:r w:rsidR="00E5570E" w:rsidRPr="00213BEB">
        <w:rPr>
          <w:sz w:val="24"/>
          <w:szCs w:val="24"/>
        </w:rPr>
        <w:t xml:space="preserve"> do not support</w:t>
      </w:r>
      <w:r w:rsidR="000F1B4E">
        <w:rPr>
          <w:sz w:val="24"/>
          <w:szCs w:val="24"/>
        </w:rPr>
        <w:t>.</w:t>
      </w:r>
      <w:r w:rsidR="00CB6EF4">
        <w:rPr>
          <w:sz w:val="24"/>
          <w:szCs w:val="24"/>
          <w:lang w:val="en-BE"/>
        </w:rPr>
        <w:t xml:space="preserve">                                     </w:t>
      </w:r>
      <w:r w:rsidR="00534A96" w:rsidRPr="00213BEB">
        <w:rPr>
          <w:b/>
          <w:bCs/>
          <w:i/>
          <w:iCs/>
          <w:sz w:val="24"/>
          <w:szCs w:val="24"/>
        </w:rPr>
        <w:t xml:space="preserve">You can also find an additional column on the right </w:t>
      </w:r>
      <w:r w:rsidR="00C70DAF" w:rsidRPr="00213BEB">
        <w:rPr>
          <w:b/>
          <w:i/>
          <w:sz w:val="24"/>
          <w:szCs w:val="24"/>
        </w:rPr>
        <w:t>reporting A.I.S.E. position on the basis of the inputs received</w:t>
      </w:r>
      <w:r w:rsidR="000F1B4E">
        <w:rPr>
          <w:b/>
          <w:i/>
          <w:sz w:val="24"/>
          <w:szCs w:val="24"/>
        </w:rPr>
        <w:t>.</w:t>
      </w:r>
    </w:p>
    <w:p w14:paraId="4AC6C689" w14:textId="78BB6463" w:rsidR="000F6CB1" w:rsidRPr="000F1B4E" w:rsidRDefault="00293568" w:rsidP="000F1B4E">
      <w:pPr>
        <w:pStyle w:val="Paragraphedeliste"/>
        <w:numPr>
          <w:ilvl w:val="0"/>
          <w:numId w:val="41"/>
        </w:numPr>
        <w:spacing w:after="160" w:line="259" w:lineRule="auto"/>
        <w:jc w:val="left"/>
        <w:rPr>
          <w:b/>
          <w:color w:val="007576" w:themeColor="accent1"/>
          <w:sz w:val="28"/>
          <w:szCs w:val="28"/>
        </w:rPr>
      </w:pPr>
      <w:r w:rsidRPr="000F1B4E">
        <w:rPr>
          <w:b/>
          <w:color w:val="007576" w:themeColor="accent1"/>
          <w:sz w:val="28"/>
          <w:szCs w:val="28"/>
        </w:rPr>
        <w:t xml:space="preserve">Key priorities </w:t>
      </w:r>
    </w:p>
    <w:p w14:paraId="40AA50AA" w14:textId="3C0C7A90" w:rsidR="008A0835" w:rsidRPr="007A74D1" w:rsidRDefault="009C75BA" w:rsidP="00117052">
      <w:pPr>
        <w:pStyle w:val="Paragraphedeliste"/>
        <w:numPr>
          <w:ilvl w:val="0"/>
          <w:numId w:val="40"/>
        </w:numPr>
        <w:spacing w:after="160" w:line="360" w:lineRule="auto"/>
        <w:jc w:val="left"/>
        <w:rPr>
          <w:b/>
          <w:sz w:val="24"/>
          <w:szCs w:val="24"/>
        </w:rPr>
      </w:pPr>
      <w:r w:rsidRPr="007A74D1">
        <w:rPr>
          <w:b/>
          <w:sz w:val="24"/>
          <w:szCs w:val="24"/>
        </w:rPr>
        <w:t xml:space="preserve">Composite packaging: </w:t>
      </w:r>
      <w:r w:rsidR="00784C72" w:rsidRPr="007A74D1">
        <w:rPr>
          <w:b/>
          <w:color w:val="007576" w:themeColor="accent1"/>
          <w:sz w:val="24"/>
          <w:szCs w:val="24"/>
        </w:rPr>
        <w:t xml:space="preserve">Article 3 (19) </w:t>
      </w:r>
      <w:r w:rsidR="00B055A0" w:rsidRPr="007A74D1">
        <w:rPr>
          <w:sz w:val="24"/>
          <w:szCs w:val="24"/>
        </w:rPr>
        <w:t>definition of</w:t>
      </w:r>
      <w:r w:rsidR="00B055A0" w:rsidRPr="007A74D1">
        <w:rPr>
          <w:b/>
          <w:sz w:val="24"/>
          <w:szCs w:val="24"/>
        </w:rPr>
        <w:t xml:space="preserve"> </w:t>
      </w:r>
      <w:r w:rsidR="00D23C35" w:rsidRPr="007A74D1">
        <w:rPr>
          <w:sz w:val="24"/>
          <w:szCs w:val="24"/>
        </w:rPr>
        <w:t>‘</w:t>
      </w:r>
      <w:r w:rsidR="00D23C35" w:rsidRPr="007A74D1">
        <w:rPr>
          <w:i/>
          <w:sz w:val="24"/>
          <w:szCs w:val="24"/>
        </w:rPr>
        <w:t>composite packaging’</w:t>
      </w:r>
      <w:r w:rsidR="00D23C35" w:rsidRPr="007A74D1">
        <w:rPr>
          <w:sz w:val="24"/>
          <w:szCs w:val="24"/>
        </w:rPr>
        <w:t xml:space="preserve"> definition;</w:t>
      </w:r>
      <w:r w:rsidR="008A0835" w:rsidRPr="007A74D1">
        <w:rPr>
          <w:sz w:val="24"/>
          <w:szCs w:val="24"/>
        </w:rPr>
        <w:t xml:space="preserve"> </w:t>
      </w:r>
      <w:r w:rsidR="00D23C35" w:rsidRPr="007A74D1">
        <w:rPr>
          <w:b/>
          <w:color w:val="007576" w:themeColor="accent1"/>
          <w:sz w:val="24"/>
          <w:szCs w:val="24"/>
        </w:rPr>
        <w:t>Article 7 (4)</w:t>
      </w:r>
      <w:r w:rsidR="00D23C35" w:rsidRPr="007A74D1">
        <w:rPr>
          <w:color w:val="007576" w:themeColor="accent1"/>
          <w:sz w:val="24"/>
          <w:szCs w:val="24"/>
        </w:rPr>
        <w:t xml:space="preserve"> </w:t>
      </w:r>
      <w:r w:rsidR="00D23C35" w:rsidRPr="007A74D1">
        <w:rPr>
          <w:sz w:val="24"/>
          <w:szCs w:val="24"/>
        </w:rPr>
        <w:t xml:space="preserve">composite packaging/plastics parts in packaging  </w:t>
      </w:r>
    </w:p>
    <w:p w14:paraId="4D686658" w14:textId="3BDF7B40" w:rsidR="00B055A0" w:rsidRPr="007A74D1" w:rsidRDefault="00B055A0" w:rsidP="00117052">
      <w:pPr>
        <w:pStyle w:val="Paragraphedeliste"/>
        <w:numPr>
          <w:ilvl w:val="0"/>
          <w:numId w:val="40"/>
        </w:numPr>
        <w:spacing w:after="160" w:line="360" w:lineRule="auto"/>
        <w:jc w:val="left"/>
        <w:rPr>
          <w:b/>
          <w:sz w:val="24"/>
          <w:szCs w:val="24"/>
        </w:rPr>
      </w:pPr>
      <w:r w:rsidRPr="007A74D1">
        <w:rPr>
          <w:b/>
          <w:sz w:val="24"/>
          <w:szCs w:val="24"/>
        </w:rPr>
        <w:t xml:space="preserve">Recyclability: </w:t>
      </w:r>
      <w:r w:rsidRPr="007A74D1">
        <w:rPr>
          <w:b/>
          <w:color w:val="007576" w:themeColor="accent1"/>
          <w:sz w:val="24"/>
          <w:szCs w:val="24"/>
        </w:rPr>
        <w:t>Article 3 (</w:t>
      </w:r>
      <w:r w:rsidR="00CD0A19" w:rsidRPr="007A74D1">
        <w:rPr>
          <w:b/>
          <w:color w:val="007576" w:themeColor="accent1"/>
          <w:sz w:val="24"/>
          <w:szCs w:val="24"/>
        </w:rPr>
        <w:t xml:space="preserve">1 point 31 a) </w:t>
      </w:r>
      <w:r w:rsidR="00CD0A19" w:rsidRPr="007A74D1">
        <w:rPr>
          <w:sz w:val="24"/>
          <w:szCs w:val="24"/>
        </w:rPr>
        <w:t>definition of</w:t>
      </w:r>
      <w:r w:rsidR="00CD0A19" w:rsidRPr="007A74D1">
        <w:rPr>
          <w:b/>
          <w:sz w:val="24"/>
          <w:szCs w:val="24"/>
        </w:rPr>
        <w:t xml:space="preserve"> </w:t>
      </w:r>
      <w:r w:rsidR="00CD0A19" w:rsidRPr="007A74D1">
        <w:rPr>
          <w:i/>
          <w:sz w:val="24"/>
          <w:szCs w:val="24"/>
        </w:rPr>
        <w:t xml:space="preserve">‘recyclability’ </w:t>
      </w:r>
    </w:p>
    <w:p w14:paraId="792CFBB5" w14:textId="529DD676" w:rsidR="00CD0A19" w:rsidRPr="007A74D1" w:rsidRDefault="00CD0A19" w:rsidP="00117052">
      <w:pPr>
        <w:pStyle w:val="Paragraphedeliste"/>
        <w:numPr>
          <w:ilvl w:val="0"/>
          <w:numId w:val="40"/>
        </w:numPr>
        <w:spacing w:after="160" w:line="360" w:lineRule="auto"/>
        <w:jc w:val="left"/>
        <w:rPr>
          <w:b/>
          <w:sz w:val="24"/>
          <w:szCs w:val="24"/>
        </w:rPr>
      </w:pPr>
      <w:r w:rsidRPr="007A74D1">
        <w:rPr>
          <w:b/>
          <w:sz w:val="24"/>
          <w:szCs w:val="24"/>
        </w:rPr>
        <w:t xml:space="preserve">Requirements for substances in packaging: </w:t>
      </w:r>
      <w:r w:rsidRPr="007A74D1">
        <w:rPr>
          <w:b/>
          <w:color w:val="007576" w:themeColor="accent1"/>
          <w:sz w:val="24"/>
          <w:szCs w:val="24"/>
        </w:rPr>
        <w:t xml:space="preserve">Article 5 </w:t>
      </w:r>
      <w:r w:rsidR="00EC4233">
        <w:rPr>
          <w:b/>
          <w:color w:val="007576" w:themeColor="accent1"/>
          <w:sz w:val="24"/>
          <w:szCs w:val="24"/>
          <w:lang w:val="en-BE"/>
        </w:rPr>
        <w:t>(</w:t>
      </w:r>
      <w:r w:rsidRPr="007A74D1">
        <w:rPr>
          <w:b/>
          <w:color w:val="007576" w:themeColor="accent1"/>
          <w:sz w:val="24"/>
          <w:szCs w:val="24"/>
        </w:rPr>
        <w:t>1</w:t>
      </w:r>
      <w:r w:rsidR="00EC4233">
        <w:rPr>
          <w:b/>
          <w:color w:val="007576" w:themeColor="accent1"/>
          <w:sz w:val="24"/>
          <w:szCs w:val="24"/>
          <w:lang w:val="en-BE"/>
        </w:rPr>
        <w:t>)</w:t>
      </w:r>
      <w:r w:rsidRPr="007A74D1">
        <w:rPr>
          <w:b/>
          <w:color w:val="007576" w:themeColor="accent1"/>
          <w:sz w:val="24"/>
          <w:szCs w:val="24"/>
        </w:rPr>
        <w:t xml:space="preserve"> </w:t>
      </w:r>
      <w:r w:rsidRPr="007A74D1">
        <w:rPr>
          <w:sz w:val="24"/>
          <w:szCs w:val="24"/>
        </w:rPr>
        <w:t>inclusion of microplastics impact</w:t>
      </w:r>
    </w:p>
    <w:p w14:paraId="7AECC64F" w14:textId="09C4B3F8" w:rsidR="00CD0A19" w:rsidRPr="00117052" w:rsidRDefault="00CD0A19" w:rsidP="00117052">
      <w:pPr>
        <w:pStyle w:val="Paragraphedeliste"/>
        <w:numPr>
          <w:ilvl w:val="0"/>
          <w:numId w:val="40"/>
        </w:numPr>
        <w:spacing w:after="160" w:line="360" w:lineRule="auto"/>
        <w:jc w:val="left"/>
        <w:rPr>
          <w:b/>
          <w:sz w:val="24"/>
          <w:szCs w:val="24"/>
        </w:rPr>
      </w:pPr>
      <w:r w:rsidRPr="007A74D1">
        <w:rPr>
          <w:b/>
          <w:sz w:val="24"/>
          <w:szCs w:val="24"/>
        </w:rPr>
        <w:t xml:space="preserve">Recyclable packaging: </w:t>
      </w:r>
      <w:r w:rsidR="008A0835" w:rsidRPr="007A74D1">
        <w:rPr>
          <w:b/>
          <w:color w:val="007576" w:themeColor="accent1"/>
          <w:sz w:val="24"/>
          <w:szCs w:val="24"/>
        </w:rPr>
        <w:t xml:space="preserve">Article 6 </w:t>
      </w:r>
      <w:r w:rsidR="00EC4233">
        <w:rPr>
          <w:b/>
          <w:color w:val="007576" w:themeColor="accent1"/>
          <w:sz w:val="24"/>
          <w:szCs w:val="24"/>
          <w:lang w:val="en-BE"/>
        </w:rPr>
        <w:t>(</w:t>
      </w:r>
      <w:r w:rsidR="008A0835" w:rsidRPr="007A74D1">
        <w:rPr>
          <w:b/>
          <w:color w:val="007576" w:themeColor="accent1"/>
          <w:sz w:val="24"/>
          <w:szCs w:val="24"/>
        </w:rPr>
        <w:t>2</w:t>
      </w:r>
      <w:r w:rsidR="00EC4233">
        <w:rPr>
          <w:b/>
          <w:color w:val="007576" w:themeColor="accent1"/>
          <w:sz w:val="24"/>
          <w:szCs w:val="24"/>
          <w:lang w:val="en-BE"/>
        </w:rPr>
        <w:t>.</w:t>
      </w:r>
      <w:r w:rsidR="008A0835" w:rsidRPr="007A74D1">
        <w:rPr>
          <w:b/>
          <w:color w:val="007576" w:themeColor="accent1"/>
          <w:sz w:val="24"/>
          <w:szCs w:val="24"/>
        </w:rPr>
        <w:t>2</w:t>
      </w:r>
      <w:r w:rsidR="00EC4233">
        <w:rPr>
          <w:b/>
          <w:color w:val="007576" w:themeColor="accent1"/>
          <w:sz w:val="24"/>
          <w:szCs w:val="24"/>
          <w:lang w:val="en-BE"/>
        </w:rPr>
        <w:t>)</w:t>
      </w:r>
      <w:r w:rsidR="008A0835" w:rsidRPr="007A74D1">
        <w:rPr>
          <w:b/>
          <w:color w:val="007576" w:themeColor="accent1"/>
          <w:sz w:val="24"/>
          <w:szCs w:val="24"/>
        </w:rPr>
        <w:t xml:space="preserve"> </w:t>
      </w:r>
      <w:r w:rsidR="008A0835" w:rsidRPr="007A74D1">
        <w:rPr>
          <w:sz w:val="24"/>
          <w:szCs w:val="24"/>
        </w:rPr>
        <w:t xml:space="preserve">timeline of recycling and recyclability at scale </w:t>
      </w:r>
      <w:r w:rsidR="004B2C2B" w:rsidRPr="007A74D1">
        <w:rPr>
          <w:sz w:val="24"/>
          <w:szCs w:val="24"/>
        </w:rPr>
        <w:t>criteria</w:t>
      </w:r>
      <w:r w:rsidR="004B2C2B" w:rsidRPr="007A74D1">
        <w:rPr>
          <w:b/>
          <w:sz w:val="24"/>
          <w:szCs w:val="24"/>
        </w:rPr>
        <w:t xml:space="preserve">; </w:t>
      </w:r>
      <w:r w:rsidR="004B2C2B" w:rsidRPr="00117052">
        <w:rPr>
          <w:b/>
          <w:color w:val="007576" w:themeColor="accent1"/>
          <w:sz w:val="24"/>
          <w:szCs w:val="24"/>
        </w:rPr>
        <w:t>Article</w:t>
      </w:r>
      <w:r w:rsidR="008A0835" w:rsidRPr="00117052">
        <w:rPr>
          <w:b/>
          <w:color w:val="007576" w:themeColor="accent1"/>
          <w:sz w:val="24"/>
          <w:szCs w:val="24"/>
        </w:rPr>
        <w:t xml:space="preserve"> 6</w:t>
      </w:r>
      <w:r w:rsidR="00EC4233">
        <w:rPr>
          <w:b/>
          <w:color w:val="007576" w:themeColor="accent1"/>
          <w:sz w:val="24"/>
          <w:szCs w:val="24"/>
          <w:lang w:val="en-BE"/>
        </w:rPr>
        <w:t xml:space="preserve"> (</w:t>
      </w:r>
      <w:r w:rsidR="008A0835" w:rsidRPr="00117052">
        <w:rPr>
          <w:b/>
          <w:color w:val="007576" w:themeColor="accent1"/>
          <w:sz w:val="24"/>
          <w:szCs w:val="24"/>
        </w:rPr>
        <w:t>7</w:t>
      </w:r>
      <w:r w:rsidR="00EC4233">
        <w:rPr>
          <w:b/>
          <w:color w:val="007576" w:themeColor="accent1"/>
          <w:sz w:val="24"/>
          <w:szCs w:val="24"/>
          <w:lang w:val="en-BE"/>
        </w:rPr>
        <w:t>.</w:t>
      </w:r>
      <w:r w:rsidR="008A0835" w:rsidRPr="00117052">
        <w:rPr>
          <w:b/>
          <w:color w:val="007576" w:themeColor="accent1"/>
          <w:sz w:val="24"/>
          <w:szCs w:val="24"/>
        </w:rPr>
        <w:t xml:space="preserve"> a</w:t>
      </w:r>
      <w:r w:rsidR="00EC4233">
        <w:rPr>
          <w:b/>
          <w:color w:val="007576" w:themeColor="accent1"/>
          <w:sz w:val="24"/>
          <w:szCs w:val="24"/>
          <w:lang w:val="en-BE"/>
        </w:rPr>
        <w:t>)</w:t>
      </w:r>
      <w:r w:rsidR="008A0835" w:rsidRPr="00117052">
        <w:rPr>
          <w:b/>
          <w:color w:val="007576" w:themeColor="accent1"/>
          <w:sz w:val="24"/>
          <w:szCs w:val="24"/>
        </w:rPr>
        <w:t xml:space="preserve"> </w:t>
      </w:r>
      <w:r w:rsidR="008A0835" w:rsidRPr="00117052">
        <w:rPr>
          <w:sz w:val="24"/>
          <w:szCs w:val="24"/>
        </w:rPr>
        <w:t>closed loop recycling system</w:t>
      </w:r>
    </w:p>
    <w:p w14:paraId="1AEAEA0C" w14:textId="5CEF6279" w:rsidR="00D569C1" w:rsidRPr="007A74D1" w:rsidRDefault="008A0835" w:rsidP="00117052">
      <w:pPr>
        <w:pStyle w:val="Paragraphedeliste"/>
        <w:numPr>
          <w:ilvl w:val="0"/>
          <w:numId w:val="40"/>
        </w:numPr>
        <w:spacing w:after="160" w:line="360" w:lineRule="auto"/>
        <w:jc w:val="left"/>
        <w:rPr>
          <w:b/>
          <w:sz w:val="24"/>
          <w:szCs w:val="24"/>
        </w:rPr>
      </w:pPr>
      <w:r w:rsidRPr="007A74D1">
        <w:rPr>
          <w:rFonts w:eastAsia="Times New Roman"/>
          <w:b/>
          <w:sz w:val="24"/>
          <w:szCs w:val="24"/>
        </w:rPr>
        <w:t xml:space="preserve">Minimum recycled content in plastic packaging: </w:t>
      </w:r>
      <w:r w:rsidR="00453DED" w:rsidRPr="007A74D1">
        <w:rPr>
          <w:rFonts w:eastAsia="Times New Roman"/>
          <w:b/>
          <w:color w:val="007576" w:themeColor="accent1"/>
          <w:sz w:val="24"/>
          <w:szCs w:val="24"/>
        </w:rPr>
        <w:t xml:space="preserve">Article 7 </w:t>
      </w:r>
      <w:r w:rsidR="00EC4233">
        <w:rPr>
          <w:rFonts w:eastAsia="Times New Roman"/>
          <w:b/>
          <w:color w:val="007576" w:themeColor="accent1"/>
          <w:sz w:val="24"/>
          <w:szCs w:val="24"/>
          <w:lang w:val="en-BE"/>
        </w:rPr>
        <w:t>(</w:t>
      </w:r>
      <w:r w:rsidR="00742259" w:rsidRPr="007A74D1">
        <w:rPr>
          <w:rFonts w:eastAsia="Times New Roman"/>
          <w:b/>
          <w:color w:val="007576" w:themeColor="accent1"/>
          <w:sz w:val="24"/>
          <w:szCs w:val="24"/>
        </w:rPr>
        <w:t>1</w:t>
      </w:r>
      <w:r w:rsidR="00EC4233">
        <w:rPr>
          <w:rFonts w:eastAsia="Times New Roman"/>
          <w:b/>
          <w:color w:val="007576" w:themeColor="accent1"/>
          <w:sz w:val="24"/>
          <w:szCs w:val="24"/>
          <w:lang w:val="en-BE"/>
        </w:rPr>
        <w:t>)</w:t>
      </w:r>
      <w:r w:rsidR="00742259" w:rsidRPr="007A74D1">
        <w:rPr>
          <w:rFonts w:eastAsia="Times New Roman"/>
          <w:b/>
          <w:color w:val="007576" w:themeColor="accent1"/>
          <w:sz w:val="24"/>
          <w:szCs w:val="24"/>
        </w:rPr>
        <w:t xml:space="preserve"> </w:t>
      </w:r>
      <w:r w:rsidR="004B2C2B" w:rsidRPr="007A74D1">
        <w:rPr>
          <w:rFonts w:eastAsia="Times New Roman"/>
          <w:sz w:val="24"/>
          <w:szCs w:val="24"/>
        </w:rPr>
        <w:t xml:space="preserve">composite packaging/plastics parts in </w:t>
      </w:r>
      <w:r w:rsidR="000B472F" w:rsidRPr="007A74D1">
        <w:rPr>
          <w:rFonts w:eastAsia="Times New Roman"/>
          <w:sz w:val="24"/>
          <w:szCs w:val="24"/>
        </w:rPr>
        <w:t>packaging</w:t>
      </w:r>
      <w:r w:rsidR="000B472F" w:rsidRPr="007A74D1">
        <w:rPr>
          <w:rFonts w:eastAsia="Times New Roman"/>
          <w:b/>
          <w:sz w:val="24"/>
          <w:szCs w:val="24"/>
        </w:rPr>
        <w:t xml:space="preserve">;  </w:t>
      </w:r>
      <w:r w:rsidR="007A74D1" w:rsidRPr="007A74D1">
        <w:rPr>
          <w:rFonts w:eastAsia="Times New Roman"/>
          <w:b/>
          <w:sz w:val="24"/>
          <w:szCs w:val="24"/>
        </w:rPr>
        <w:t xml:space="preserve">                  </w:t>
      </w:r>
      <w:r w:rsidR="004B2C2B" w:rsidRPr="007A74D1">
        <w:rPr>
          <w:rFonts w:eastAsia="Times New Roman"/>
          <w:b/>
          <w:color w:val="007576" w:themeColor="accent1"/>
          <w:sz w:val="24"/>
          <w:szCs w:val="24"/>
        </w:rPr>
        <w:t xml:space="preserve">Article 7 </w:t>
      </w:r>
      <w:r w:rsidR="00EC4233">
        <w:rPr>
          <w:rFonts w:eastAsia="Times New Roman"/>
          <w:b/>
          <w:color w:val="007576" w:themeColor="accent1"/>
          <w:sz w:val="24"/>
          <w:szCs w:val="24"/>
          <w:lang w:val="en-BE"/>
        </w:rPr>
        <w:t>(</w:t>
      </w:r>
      <w:r w:rsidR="004B2C2B" w:rsidRPr="007A74D1">
        <w:rPr>
          <w:rFonts w:eastAsia="Times New Roman"/>
          <w:b/>
          <w:color w:val="007576" w:themeColor="accent1"/>
          <w:sz w:val="24"/>
          <w:szCs w:val="24"/>
        </w:rPr>
        <w:t>7</w:t>
      </w:r>
      <w:r w:rsidR="00EC4233">
        <w:rPr>
          <w:rFonts w:eastAsia="Times New Roman"/>
          <w:b/>
          <w:color w:val="007576" w:themeColor="accent1"/>
          <w:sz w:val="24"/>
          <w:szCs w:val="24"/>
          <w:lang w:val="en-BE"/>
        </w:rPr>
        <w:t>)</w:t>
      </w:r>
      <w:r w:rsidR="004B2C2B" w:rsidRPr="007A74D1">
        <w:rPr>
          <w:rFonts w:eastAsia="Times New Roman"/>
          <w:b/>
          <w:color w:val="007576" w:themeColor="accent1"/>
          <w:sz w:val="24"/>
          <w:szCs w:val="24"/>
        </w:rPr>
        <w:t xml:space="preserve"> </w:t>
      </w:r>
      <w:r w:rsidR="004B2C2B" w:rsidRPr="007A74D1">
        <w:rPr>
          <w:rFonts w:eastAsia="Times New Roman"/>
          <w:sz w:val="24"/>
          <w:szCs w:val="24"/>
        </w:rPr>
        <w:t>PCR content requirement</w:t>
      </w:r>
      <w:r w:rsidR="004B2C2B" w:rsidRPr="007A74D1">
        <w:rPr>
          <w:rFonts w:eastAsia="Times New Roman"/>
          <w:b/>
          <w:sz w:val="24"/>
          <w:szCs w:val="24"/>
        </w:rPr>
        <w:t xml:space="preserve"> </w:t>
      </w:r>
    </w:p>
    <w:p w14:paraId="3646C80A" w14:textId="586552A2" w:rsidR="00D569C1" w:rsidRPr="007A74D1" w:rsidRDefault="005D5733" w:rsidP="00117052">
      <w:pPr>
        <w:pStyle w:val="Paragraphedeliste"/>
        <w:numPr>
          <w:ilvl w:val="0"/>
          <w:numId w:val="40"/>
        </w:numPr>
        <w:spacing w:after="160" w:line="360" w:lineRule="auto"/>
        <w:jc w:val="left"/>
        <w:rPr>
          <w:sz w:val="24"/>
          <w:szCs w:val="24"/>
        </w:rPr>
      </w:pPr>
      <w:r w:rsidRPr="007A74D1">
        <w:rPr>
          <w:rFonts w:eastAsia="Times New Roman"/>
          <w:b/>
          <w:sz w:val="24"/>
          <w:szCs w:val="24"/>
        </w:rPr>
        <w:t xml:space="preserve">Packaging minimisation: </w:t>
      </w:r>
      <w:r w:rsidRPr="007A74D1">
        <w:rPr>
          <w:rFonts w:eastAsia="Times New Roman"/>
          <w:b/>
          <w:color w:val="007576" w:themeColor="accent1"/>
          <w:sz w:val="24"/>
          <w:szCs w:val="24"/>
        </w:rPr>
        <w:t>Article 9</w:t>
      </w:r>
      <w:r w:rsidR="00D569C1" w:rsidRPr="007A74D1">
        <w:rPr>
          <w:rStyle w:val="Appelnotedebasdep"/>
          <w:rFonts w:eastAsia="Times New Roman"/>
          <w:b/>
          <w:sz w:val="24"/>
          <w:szCs w:val="24"/>
        </w:rPr>
        <w:footnoteReference w:id="2"/>
      </w:r>
      <w:r w:rsidRPr="007A74D1">
        <w:rPr>
          <w:rFonts w:eastAsia="Times New Roman"/>
          <w:b/>
          <w:sz w:val="24"/>
          <w:szCs w:val="24"/>
        </w:rPr>
        <w:t xml:space="preserve"> </w:t>
      </w:r>
      <w:r w:rsidR="000E126F" w:rsidRPr="007A74D1">
        <w:rPr>
          <w:rFonts w:eastAsia="Times New Roman"/>
          <w:sz w:val="24"/>
          <w:szCs w:val="24"/>
        </w:rPr>
        <w:t>packaging standardisation</w:t>
      </w:r>
      <w:r w:rsidR="000F1B4E">
        <w:rPr>
          <w:rFonts w:eastAsia="Times New Roman"/>
          <w:sz w:val="24"/>
          <w:szCs w:val="24"/>
        </w:rPr>
        <w:t xml:space="preserve">  </w:t>
      </w:r>
      <w:r w:rsidR="000E126F" w:rsidRPr="007A74D1">
        <w:rPr>
          <w:rFonts w:eastAsia="Times New Roman"/>
          <w:sz w:val="24"/>
          <w:szCs w:val="24"/>
        </w:rPr>
        <w:t xml:space="preserve"> </w:t>
      </w:r>
      <w:r w:rsidR="000F1B4E">
        <w:rPr>
          <w:rStyle w:val="Appelnotedebasdep"/>
        </w:rPr>
        <w:footnoteRef/>
      </w:r>
      <w:r w:rsidR="000F1B4E">
        <w:t xml:space="preserve"> </w:t>
      </w:r>
      <w:r w:rsidR="000F1B4E" w:rsidRPr="00D569C1">
        <w:rPr>
          <w:rFonts w:eastAsia="Times New Roman"/>
          <w:sz w:val="20"/>
          <w:szCs w:val="20"/>
        </w:rPr>
        <w:t>(EP Report: Art. 9.2 a new ; Council GA: Art. 9 para 4 a new)</w:t>
      </w:r>
    </w:p>
    <w:p w14:paraId="3F5E0999" w14:textId="4A44CD43" w:rsidR="00D569C1" w:rsidRPr="007A74D1" w:rsidRDefault="00D569C1" w:rsidP="00117052">
      <w:pPr>
        <w:pStyle w:val="Paragraphedeliste"/>
        <w:numPr>
          <w:ilvl w:val="0"/>
          <w:numId w:val="40"/>
        </w:numPr>
        <w:spacing w:after="160" w:line="360" w:lineRule="auto"/>
        <w:jc w:val="left"/>
        <w:rPr>
          <w:b/>
          <w:sz w:val="24"/>
          <w:szCs w:val="24"/>
        </w:rPr>
      </w:pPr>
      <w:r w:rsidRPr="007A74D1">
        <w:rPr>
          <w:rFonts w:eastAsia="Times New Roman"/>
          <w:b/>
          <w:sz w:val="24"/>
          <w:szCs w:val="24"/>
        </w:rPr>
        <w:t xml:space="preserve">Obligation related to excessive packaging: </w:t>
      </w:r>
      <w:r w:rsidRPr="007A74D1">
        <w:rPr>
          <w:rFonts w:eastAsia="Times New Roman"/>
          <w:b/>
          <w:color w:val="007576" w:themeColor="accent1"/>
          <w:sz w:val="24"/>
          <w:szCs w:val="24"/>
        </w:rPr>
        <w:t xml:space="preserve">Article 21 </w:t>
      </w:r>
      <w:r w:rsidR="00EC4233">
        <w:rPr>
          <w:rFonts w:eastAsia="Times New Roman"/>
          <w:b/>
          <w:color w:val="007576" w:themeColor="accent1"/>
          <w:sz w:val="24"/>
          <w:szCs w:val="24"/>
          <w:lang w:val="en-BE"/>
        </w:rPr>
        <w:t>(</w:t>
      </w:r>
      <w:r w:rsidRPr="007A74D1">
        <w:rPr>
          <w:rFonts w:eastAsia="Times New Roman"/>
          <w:b/>
          <w:color w:val="007576" w:themeColor="accent1"/>
          <w:sz w:val="24"/>
          <w:szCs w:val="24"/>
        </w:rPr>
        <w:t>1</w:t>
      </w:r>
      <w:r w:rsidR="00EC4233">
        <w:rPr>
          <w:rFonts w:eastAsia="Times New Roman"/>
          <w:b/>
          <w:color w:val="007576" w:themeColor="accent1"/>
          <w:sz w:val="24"/>
          <w:szCs w:val="24"/>
          <w:lang w:val="en-BE"/>
        </w:rPr>
        <w:t>)</w:t>
      </w:r>
      <w:r w:rsidRPr="007A74D1">
        <w:rPr>
          <w:rFonts w:eastAsia="Times New Roman"/>
          <w:b/>
          <w:color w:val="007576" w:themeColor="accent1"/>
          <w:sz w:val="24"/>
          <w:szCs w:val="24"/>
        </w:rPr>
        <w:t xml:space="preserve"> </w:t>
      </w:r>
      <w:r w:rsidRPr="007A74D1">
        <w:rPr>
          <w:rFonts w:eastAsia="Times New Roman"/>
          <w:sz w:val="24"/>
          <w:szCs w:val="24"/>
        </w:rPr>
        <w:t xml:space="preserve">empty space </w:t>
      </w:r>
      <w:r w:rsidR="000B472F" w:rsidRPr="007A74D1">
        <w:rPr>
          <w:rFonts w:eastAsia="Times New Roman"/>
          <w:sz w:val="24"/>
          <w:szCs w:val="24"/>
        </w:rPr>
        <w:t>ratio</w:t>
      </w:r>
    </w:p>
    <w:p w14:paraId="23D8ADB0" w14:textId="1F631A94" w:rsidR="000F6CB1" w:rsidRPr="00591E8E" w:rsidRDefault="00D569C1" w:rsidP="00591E8E">
      <w:pPr>
        <w:pStyle w:val="Paragraphedeliste"/>
        <w:numPr>
          <w:ilvl w:val="0"/>
          <w:numId w:val="40"/>
        </w:numPr>
        <w:spacing w:after="160" w:line="360" w:lineRule="auto"/>
        <w:jc w:val="left"/>
        <w:rPr>
          <w:b/>
          <w:sz w:val="24"/>
          <w:szCs w:val="24"/>
        </w:rPr>
      </w:pPr>
      <w:r w:rsidRPr="007A74D1">
        <w:rPr>
          <w:rFonts w:eastAsia="Times New Roman"/>
          <w:b/>
          <w:sz w:val="24"/>
          <w:szCs w:val="24"/>
        </w:rPr>
        <w:t xml:space="preserve">Re-use and Refill targets: </w:t>
      </w:r>
      <w:r w:rsidRPr="007A74D1">
        <w:rPr>
          <w:rFonts w:eastAsia="Times New Roman"/>
          <w:b/>
          <w:color w:val="007576" w:themeColor="accent1"/>
          <w:sz w:val="24"/>
          <w:szCs w:val="24"/>
        </w:rPr>
        <w:t>Article 26</w:t>
      </w:r>
      <w:r w:rsidR="00EC4233">
        <w:rPr>
          <w:rFonts w:eastAsia="Times New Roman"/>
          <w:b/>
          <w:color w:val="007576" w:themeColor="accent1"/>
          <w:sz w:val="24"/>
          <w:szCs w:val="24"/>
          <w:lang w:val="en-BE"/>
        </w:rPr>
        <w:t xml:space="preserve"> (</w:t>
      </w:r>
      <w:r w:rsidRPr="007A74D1">
        <w:rPr>
          <w:rFonts w:eastAsia="Times New Roman"/>
          <w:b/>
          <w:color w:val="007576" w:themeColor="accent1"/>
          <w:sz w:val="24"/>
          <w:szCs w:val="24"/>
        </w:rPr>
        <w:t>12 &amp; 13</w:t>
      </w:r>
      <w:r w:rsidR="00EC4233">
        <w:rPr>
          <w:rFonts w:eastAsia="Times New Roman"/>
          <w:b/>
          <w:color w:val="007576" w:themeColor="accent1"/>
          <w:sz w:val="24"/>
          <w:szCs w:val="24"/>
          <w:lang w:val="en-BE"/>
        </w:rPr>
        <w:t>)</w:t>
      </w:r>
      <w:r w:rsidRPr="007A74D1">
        <w:rPr>
          <w:rFonts w:eastAsia="Times New Roman"/>
          <w:b/>
          <w:color w:val="007576" w:themeColor="accent1"/>
          <w:sz w:val="24"/>
          <w:szCs w:val="24"/>
        </w:rPr>
        <w:t xml:space="preserve"> </w:t>
      </w:r>
      <w:r w:rsidRPr="007A74D1">
        <w:rPr>
          <w:rFonts w:eastAsia="Times New Roman"/>
          <w:sz w:val="24"/>
          <w:szCs w:val="24"/>
        </w:rPr>
        <w:t>reusable transport packaging</w:t>
      </w:r>
    </w:p>
    <w:p w14:paraId="24702381" w14:textId="3EF3EF45" w:rsidR="00F204FA" w:rsidRPr="00784C72" w:rsidRDefault="00F204FA" w:rsidP="00784C72">
      <w:pPr>
        <w:pStyle w:val="Paragraphedeliste"/>
        <w:numPr>
          <w:ilvl w:val="0"/>
          <w:numId w:val="39"/>
        </w:numPr>
        <w:spacing w:after="160" w:line="259" w:lineRule="auto"/>
        <w:jc w:val="left"/>
        <w:rPr>
          <w:rFonts w:eastAsia="Times New Roman"/>
          <w:b/>
          <w:bCs/>
          <w:color w:val="007576" w:themeColor="accent1"/>
          <w:sz w:val="32"/>
          <w:szCs w:val="32"/>
        </w:rPr>
      </w:pPr>
      <w:r w:rsidRPr="00784C72">
        <w:rPr>
          <w:rFonts w:eastAsia="Times New Roman"/>
          <w:b/>
          <w:color w:val="007576" w:themeColor="accent1"/>
          <w:sz w:val="32"/>
          <w:szCs w:val="32"/>
        </w:rPr>
        <w:lastRenderedPageBreak/>
        <w:t xml:space="preserve">COMPOSITE PACKAGING </w:t>
      </w:r>
    </w:p>
    <w:tbl>
      <w:tblPr>
        <w:tblStyle w:val="Grilledutableau"/>
        <w:tblW w:w="15876" w:type="dxa"/>
        <w:tblInd w:w="-572" w:type="dxa"/>
        <w:shd w:val="clear" w:color="auto" w:fill="FFFFFF" w:themeFill="background1"/>
        <w:tblLook w:val="04A0" w:firstRow="1" w:lastRow="0" w:firstColumn="1" w:lastColumn="0" w:noHBand="0" w:noVBand="1"/>
      </w:tblPr>
      <w:tblGrid>
        <w:gridCol w:w="3969"/>
        <w:gridCol w:w="4536"/>
        <w:gridCol w:w="4111"/>
        <w:gridCol w:w="3260"/>
      </w:tblGrid>
      <w:tr w:rsidR="00A7199F" w:rsidRPr="00193042" w14:paraId="6FEF0975" w14:textId="7B798AB9" w:rsidTr="007861BC">
        <w:trPr>
          <w:trHeight w:val="335"/>
        </w:trPr>
        <w:tc>
          <w:tcPr>
            <w:tcW w:w="15876" w:type="dxa"/>
            <w:gridSpan w:val="4"/>
            <w:shd w:val="clear" w:color="auto" w:fill="FFFFFF" w:themeFill="background1"/>
          </w:tcPr>
          <w:p w14:paraId="00CBC922" w14:textId="0F26E7F9" w:rsidR="00A7199F" w:rsidRPr="00CF53DC" w:rsidRDefault="00F947AE">
            <w:pPr>
              <w:spacing w:after="0"/>
              <w:rPr>
                <w:rFonts w:eastAsia="Times New Roman" w:cstheme="minorHAnsi"/>
                <w:b/>
                <w:sz w:val="26"/>
                <w:szCs w:val="26"/>
              </w:rPr>
            </w:pPr>
            <w:r w:rsidRPr="00CF53DC">
              <w:rPr>
                <w:rFonts w:eastAsia="Times New Roman" w:cstheme="minorHAnsi"/>
                <w:b/>
                <w:sz w:val="26"/>
                <w:szCs w:val="26"/>
              </w:rPr>
              <w:t xml:space="preserve">Article 3 para 1 (point 19) - </w:t>
            </w:r>
            <w:r w:rsidR="00A70A8F" w:rsidRPr="00CF53DC">
              <w:rPr>
                <w:rFonts w:eastAsia="Times New Roman" w:cstheme="minorHAnsi"/>
                <w:b/>
                <w:sz w:val="26"/>
                <w:szCs w:val="26"/>
              </w:rPr>
              <w:t>Definition of ‘</w:t>
            </w:r>
            <w:r w:rsidR="00A70A8F" w:rsidRPr="00CF53DC">
              <w:rPr>
                <w:rFonts w:eastAsia="Times New Roman" w:cstheme="minorHAnsi"/>
                <w:b/>
                <w:i/>
                <w:sz w:val="26"/>
                <w:szCs w:val="26"/>
              </w:rPr>
              <w:t>composite packaging</w:t>
            </w:r>
            <w:r w:rsidR="00A70A8F" w:rsidRPr="00CF53DC">
              <w:rPr>
                <w:rFonts w:eastAsia="Times New Roman" w:cstheme="minorHAnsi"/>
                <w:b/>
                <w:sz w:val="26"/>
                <w:szCs w:val="26"/>
              </w:rPr>
              <w:t xml:space="preserve">’ </w:t>
            </w:r>
          </w:p>
        </w:tc>
      </w:tr>
      <w:tr w:rsidR="006034B5" w:rsidRPr="00B9037B" w14:paraId="2D9AC8D0" w14:textId="77777777" w:rsidTr="007861BC">
        <w:trPr>
          <w:trHeight w:val="2687"/>
        </w:trPr>
        <w:tc>
          <w:tcPr>
            <w:tcW w:w="3969" w:type="dxa"/>
            <w:shd w:val="clear" w:color="auto" w:fill="auto"/>
          </w:tcPr>
          <w:p w14:paraId="70EE5E85" w14:textId="253B8A3A" w:rsidR="006034B5" w:rsidRPr="00CF53DC" w:rsidRDefault="006034B5" w:rsidP="00CF53DC">
            <w:pPr>
              <w:autoSpaceDE w:val="0"/>
              <w:autoSpaceDN w:val="0"/>
              <w:adjustRightInd w:val="0"/>
              <w:spacing w:after="0"/>
              <w:jc w:val="center"/>
              <w:rPr>
                <w:rFonts w:cstheme="minorHAnsi"/>
                <w:b/>
                <w:sz w:val="20"/>
                <w:szCs w:val="20"/>
              </w:rPr>
            </w:pPr>
            <w:r w:rsidRPr="00CF53DC">
              <w:rPr>
                <w:rFonts w:cstheme="minorHAnsi"/>
                <w:b/>
                <w:sz w:val="20"/>
                <w:szCs w:val="20"/>
              </w:rPr>
              <w:t>COM Proposal</w:t>
            </w:r>
          </w:p>
          <w:p w14:paraId="647C7984" w14:textId="29724261" w:rsidR="006034B5" w:rsidRPr="00CF53DC" w:rsidRDefault="006034B5" w:rsidP="007015F4">
            <w:pPr>
              <w:autoSpaceDE w:val="0"/>
              <w:autoSpaceDN w:val="0"/>
              <w:adjustRightInd w:val="0"/>
              <w:spacing w:after="0"/>
              <w:rPr>
                <w:rFonts w:cstheme="minorHAnsi"/>
                <w:b/>
                <w:sz w:val="20"/>
                <w:szCs w:val="20"/>
              </w:rPr>
            </w:pPr>
            <w:r w:rsidRPr="00CF53DC">
              <w:rPr>
                <w:rFonts w:cstheme="minorHAnsi"/>
                <w:sz w:val="20"/>
                <w:szCs w:val="20"/>
              </w:rPr>
              <w:t>‘composite packaging’ means a unit of packaging made of two or more different materials, excluding materials used for labels, closures and sealing, which cannot be separated manually and therefore form a single integral unit;</w:t>
            </w:r>
          </w:p>
        </w:tc>
        <w:tc>
          <w:tcPr>
            <w:tcW w:w="4536" w:type="dxa"/>
            <w:shd w:val="clear" w:color="auto" w:fill="B1E8AA"/>
          </w:tcPr>
          <w:p w14:paraId="56EBA45D" w14:textId="6544EE56" w:rsidR="006034B5" w:rsidRPr="00CF53DC" w:rsidRDefault="006034B5" w:rsidP="00CF53DC">
            <w:pPr>
              <w:autoSpaceDE w:val="0"/>
              <w:autoSpaceDN w:val="0"/>
              <w:adjustRightInd w:val="0"/>
              <w:spacing w:after="0"/>
              <w:jc w:val="center"/>
              <w:rPr>
                <w:b/>
                <w:sz w:val="20"/>
                <w:szCs w:val="20"/>
              </w:rPr>
            </w:pPr>
            <w:r w:rsidRPr="00CF53DC">
              <w:rPr>
                <w:b/>
                <w:sz w:val="20"/>
                <w:szCs w:val="20"/>
              </w:rPr>
              <w:t>EP Mandate</w:t>
            </w:r>
          </w:p>
          <w:p w14:paraId="455E2EF6" w14:textId="77777777" w:rsidR="006034B5" w:rsidRPr="00CF53DC" w:rsidRDefault="006034B5" w:rsidP="004169D4">
            <w:pPr>
              <w:pStyle w:val="Default"/>
              <w:jc w:val="both"/>
              <w:rPr>
                <w:rFonts w:asciiTheme="majorHAnsi" w:hAnsiTheme="majorHAnsi" w:cstheme="majorHAnsi"/>
                <w:color w:val="0000FF"/>
                <w:sz w:val="20"/>
                <w:szCs w:val="20"/>
              </w:rPr>
            </w:pPr>
            <w:r w:rsidRPr="00CF53DC">
              <w:rPr>
                <w:rFonts w:asciiTheme="majorHAnsi" w:hAnsiTheme="majorHAnsi" w:cstheme="majorHAnsi"/>
                <w:sz w:val="20"/>
                <w:szCs w:val="20"/>
              </w:rPr>
              <w:t xml:space="preserve">‘composite packaging’ means a unit of packaging made of two or more different materials, excluding materials used for labels, </w:t>
            </w:r>
            <w:r w:rsidRPr="00CF53DC">
              <w:rPr>
                <w:rFonts w:asciiTheme="majorHAnsi" w:hAnsiTheme="majorHAnsi" w:cstheme="majorHAnsi"/>
                <w:b/>
                <w:bCs/>
                <w:i/>
                <w:iCs/>
                <w:color w:val="auto"/>
                <w:sz w:val="20"/>
                <w:szCs w:val="20"/>
              </w:rPr>
              <w:t>coatings, lining, varnishes, paints, inks, adhesives, lacquers</w:t>
            </w:r>
            <w:r w:rsidRPr="00CF53DC">
              <w:rPr>
                <w:rFonts w:asciiTheme="majorHAnsi" w:hAnsiTheme="majorHAnsi" w:cstheme="majorHAnsi"/>
                <w:b/>
                <w:bCs/>
                <w:i/>
                <w:iCs/>
                <w:color w:val="0000FF"/>
                <w:sz w:val="20"/>
                <w:szCs w:val="20"/>
              </w:rPr>
              <w:t xml:space="preserve">, </w:t>
            </w:r>
            <w:r w:rsidRPr="00CF53DC">
              <w:rPr>
                <w:rFonts w:asciiTheme="majorHAnsi" w:hAnsiTheme="majorHAnsi" w:cstheme="majorHAnsi"/>
                <w:sz w:val="20"/>
                <w:szCs w:val="20"/>
              </w:rPr>
              <w:t xml:space="preserve">closures and sealing </w:t>
            </w:r>
            <w:r w:rsidRPr="00CF53DC">
              <w:rPr>
                <w:rFonts w:asciiTheme="majorHAnsi" w:hAnsiTheme="majorHAnsi" w:cstheme="majorHAnsi"/>
                <w:b/>
                <w:bCs/>
                <w:i/>
                <w:iCs/>
                <w:color w:val="auto"/>
                <w:sz w:val="20"/>
                <w:szCs w:val="20"/>
              </w:rPr>
              <w:t>which are part of the weight of the main packaging material</w:t>
            </w:r>
            <w:r w:rsidRPr="00CF53DC">
              <w:rPr>
                <w:rFonts w:asciiTheme="majorHAnsi" w:hAnsiTheme="majorHAnsi" w:cstheme="majorHAnsi"/>
                <w:sz w:val="20"/>
                <w:szCs w:val="20"/>
              </w:rPr>
              <w:t xml:space="preserve">, which cannot be separated manually and therefore form a single integral </w:t>
            </w:r>
            <w:r w:rsidRPr="00CF53DC">
              <w:rPr>
                <w:rFonts w:asciiTheme="majorHAnsi" w:hAnsiTheme="majorHAnsi" w:cstheme="majorHAnsi"/>
                <w:b/>
                <w:bCs/>
                <w:i/>
                <w:iCs/>
                <w:color w:val="auto"/>
                <w:sz w:val="20"/>
                <w:szCs w:val="20"/>
              </w:rPr>
              <w:t xml:space="preserve">unit, </w:t>
            </w:r>
            <w:r w:rsidRPr="00FE3C50">
              <w:rPr>
                <w:rFonts w:asciiTheme="majorHAnsi" w:hAnsiTheme="majorHAnsi" w:cstheme="majorHAnsi"/>
                <w:b/>
                <w:bCs/>
                <w:i/>
                <w:iCs/>
                <w:color w:val="auto"/>
                <w:sz w:val="20"/>
                <w:szCs w:val="20"/>
                <w:highlight w:val="green"/>
              </w:rPr>
              <w:t xml:space="preserve">unless a given material constitutes an insignificant part of the packaging unit and in no case more than 10% of </w:t>
            </w:r>
            <w:r w:rsidRPr="00FE3C50">
              <w:rPr>
                <w:rFonts w:asciiTheme="majorHAnsi" w:hAnsiTheme="majorHAnsi" w:cstheme="majorHAnsi"/>
                <w:b/>
                <w:i/>
                <w:color w:val="auto"/>
                <w:sz w:val="20"/>
                <w:szCs w:val="20"/>
                <w:highlight w:val="green"/>
              </w:rPr>
              <w:t xml:space="preserve">the total mass of the packaging </w:t>
            </w:r>
            <w:r w:rsidRPr="00FE3C50">
              <w:rPr>
                <w:rFonts w:asciiTheme="majorHAnsi" w:hAnsiTheme="majorHAnsi" w:cstheme="majorHAnsi"/>
                <w:color w:val="auto"/>
                <w:sz w:val="20"/>
                <w:szCs w:val="20"/>
                <w:highlight w:val="green"/>
              </w:rPr>
              <w:t>unit</w:t>
            </w:r>
            <w:r w:rsidRPr="00CF53DC">
              <w:rPr>
                <w:rFonts w:asciiTheme="majorHAnsi" w:hAnsiTheme="majorHAnsi" w:cstheme="majorHAnsi"/>
                <w:color w:val="auto"/>
                <w:sz w:val="20"/>
                <w:szCs w:val="20"/>
              </w:rPr>
              <w:t xml:space="preserve"> ; </w:t>
            </w:r>
          </w:p>
          <w:p w14:paraId="164E97FE" w14:textId="3D80E342" w:rsidR="006034B5" w:rsidRPr="00CF53DC" w:rsidRDefault="006034B5" w:rsidP="007015F4">
            <w:pPr>
              <w:autoSpaceDE w:val="0"/>
              <w:autoSpaceDN w:val="0"/>
              <w:adjustRightInd w:val="0"/>
              <w:spacing w:after="0"/>
              <w:rPr>
                <w:b/>
                <w:sz w:val="20"/>
                <w:szCs w:val="20"/>
              </w:rPr>
            </w:pPr>
          </w:p>
        </w:tc>
        <w:tc>
          <w:tcPr>
            <w:tcW w:w="4111" w:type="dxa"/>
            <w:shd w:val="clear" w:color="auto" w:fill="auto"/>
          </w:tcPr>
          <w:p w14:paraId="0678B107" w14:textId="033B008D" w:rsidR="006034B5" w:rsidRPr="00CF53DC" w:rsidRDefault="006034B5" w:rsidP="00CF53DC">
            <w:pPr>
              <w:autoSpaceDE w:val="0"/>
              <w:autoSpaceDN w:val="0"/>
              <w:adjustRightInd w:val="0"/>
              <w:spacing w:after="0"/>
              <w:jc w:val="center"/>
              <w:rPr>
                <w:b/>
                <w:sz w:val="20"/>
                <w:szCs w:val="20"/>
              </w:rPr>
            </w:pPr>
            <w:r w:rsidRPr="00CF53DC">
              <w:rPr>
                <w:b/>
                <w:sz w:val="20"/>
                <w:szCs w:val="20"/>
              </w:rPr>
              <w:t>Council Mandate</w:t>
            </w:r>
          </w:p>
          <w:p w14:paraId="2BFDE673" w14:textId="77777777" w:rsidR="006034B5" w:rsidRPr="00CF53DC" w:rsidRDefault="006034B5" w:rsidP="0021132D">
            <w:pPr>
              <w:pStyle w:val="Default"/>
              <w:jc w:val="both"/>
              <w:rPr>
                <w:rFonts w:asciiTheme="majorHAnsi" w:hAnsiTheme="majorHAnsi" w:cstheme="majorHAnsi"/>
                <w:sz w:val="20"/>
                <w:szCs w:val="20"/>
              </w:rPr>
            </w:pPr>
            <w:r w:rsidRPr="00CF53DC">
              <w:rPr>
                <w:rFonts w:asciiTheme="majorHAnsi" w:hAnsiTheme="majorHAnsi" w:cstheme="majorHAnsi"/>
                <w:sz w:val="20"/>
                <w:szCs w:val="20"/>
              </w:rPr>
              <w:t xml:space="preserve">‘composite packaging’ means a unit of packaging made of two or more different materials, excluding materials used for labels, closures and sealing, which cannot be separated manually and </w:t>
            </w:r>
            <w:r w:rsidRPr="00CF53DC">
              <w:rPr>
                <w:rFonts w:asciiTheme="majorHAnsi" w:hAnsiTheme="majorHAnsi" w:cstheme="majorHAnsi"/>
                <w:b/>
                <w:bCs/>
                <w:sz w:val="20"/>
                <w:szCs w:val="20"/>
              </w:rPr>
              <w:t xml:space="preserve">which </w:t>
            </w:r>
            <w:r w:rsidRPr="00CF53DC">
              <w:rPr>
                <w:rFonts w:asciiTheme="majorHAnsi" w:hAnsiTheme="majorHAnsi" w:cstheme="majorHAnsi"/>
                <w:sz w:val="20"/>
                <w:szCs w:val="20"/>
              </w:rPr>
              <w:t xml:space="preserve">therefore form a single integral unit; </w:t>
            </w:r>
          </w:p>
          <w:p w14:paraId="6029B959" w14:textId="4FD19551" w:rsidR="006034B5" w:rsidRPr="00CF53DC" w:rsidRDefault="006034B5" w:rsidP="00B9037B">
            <w:pPr>
              <w:autoSpaceDE w:val="0"/>
              <w:autoSpaceDN w:val="0"/>
              <w:adjustRightInd w:val="0"/>
              <w:spacing w:after="0"/>
              <w:jc w:val="center"/>
              <w:rPr>
                <w:b/>
                <w:sz w:val="20"/>
                <w:szCs w:val="20"/>
              </w:rPr>
            </w:pPr>
          </w:p>
        </w:tc>
        <w:tc>
          <w:tcPr>
            <w:tcW w:w="3260" w:type="dxa"/>
            <w:shd w:val="clear" w:color="auto" w:fill="auto"/>
          </w:tcPr>
          <w:p w14:paraId="7514DC86" w14:textId="77777777" w:rsidR="001E714E" w:rsidRDefault="001E714E" w:rsidP="001E714E">
            <w:pPr>
              <w:autoSpaceDE w:val="0"/>
              <w:autoSpaceDN w:val="0"/>
              <w:adjustRightInd w:val="0"/>
              <w:spacing w:after="0"/>
              <w:jc w:val="center"/>
              <w:rPr>
                <w:b/>
                <w:sz w:val="20"/>
                <w:szCs w:val="20"/>
              </w:rPr>
            </w:pPr>
            <w:r w:rsidRPr="00CF53DC">
              <w:rPr>
                <w:b/>
                <w:sz w:val="20"/>
                <w:szCs w:val="20"/>
              </w:rPr>
              <w:t>A.I.S.E. position</w:t>
            </w:r>
          </w:p>
          <w:p w14:paraId="67A3DBFF" w14:textId="77777777" w:rsidR="001E714E" w:rsidRPr="001E714E" w:rsidRDefault="001E714E" w:rsidP="001E714E">
            <w:pPr>
              <w:autoSpaceDE w:val="0"/>
              <w:autoSpaceDN w:val="0"/>
              <w:adjustRightInd w:val="0"/>
              <w:spacing w:after="0"/>
              <w:rPr>
                <w:bCs/>
                <w:sz w:val="20"/>
                <w:szCs w:val="20"/>
              </w:rPr>
            </w:pPr>
          </w:p>
          <w:p w14:paraId="53CDEF1F" w14:textId="410493B8" w:rsidR="001E714E" w:rsidRPr="001E714E" w:rsidRDefault="001E714E" w:rsidP="001E714E">
            <w:pPr>
              <w:autoSpaceDE w:val="0"/>
              <w:autoSpaceDN w:val="0"/>
              <w:adjustRightInd w:val="0"/>
              <w:spacing w:after="0"/>
              <w:rPr>
                <w:bCs/>
                <w:sz w:val="20"/>
                <w:szCs w:val="20"/>
                <w:lang w:val="en-BE"/>
              </w:rPr>
            </w:pPr>
            <w:r w:rsidRPr="001231A6">
              <w:rPr>
                <w:bCs/>
                <w:sz w:val="20"/>
                <w:szCs w:val="20"/>
                <w:u w:val="single"/>
                <w:lang w:val="en-BE"/>
              </w:rPr>
              <w:t>Support EP position</w:t>
            </w:r>
            <w:r w:rsidRPr="001E714E">
              <w:rPr>
                <w:bCs/>
                <w:sz w:val="20"/>
                <w:szCs w:val="20"/>
                <w:lang w:val="en-BE"/>
              </w:rPr>
              <w:t xml:space="preserve"> as the text proposes a more comprehensive and complete definition of composite packaging </w:t>
            </w:r>
          </w:p>
          <w:p w14:paraId="3BB86F83" w14:textId="2AA6F074" w:rsidR="001E714E" w:rsidRPr="00CB6EF4" w:rsidRDefault="001E714E" w:rsidP="001E714E">
            <w:pPr>
              <w:autoSpaceDE w:val="0"/>
              <w:autoSpaceDN w:val="0"/>
              <w:adjustRightInd w:val="0"/>
              <w:spacing w:after="0"/>
              <w:rPr>
                <w:b/>
                <w:sz w:val="20"/>
                <w:szCs w:val="20"/>
                <w:shd w:val="clear" w:color="auto" w:fill="FF0000"/>
              </w:rPr>
            </w:pPr>
          </w:p>
        </w:tc>
      </w:tr>
      <w:tr w:rsidR="001D1529" w:rsidRPr="006034B5" w14:paraId="1F15C980" w14:textId="77777777" w:rsidTr="007861BC">
        <w:trPr>
          <w:trHeight w:val="337"/>
        </w:trPr>
        <w:tc>
          <w:tcPr>
            <w:tcW w:w="15876" w:type="dxa"/>
            <w:gridSpan w:val="4"/>
            <w:shd w:val="clear" w:color="auto" w:fill="auto"/>
          </w:tcPr>
          <w:p w14:paraId="7B4B9EBE" w14:textId="7DA3E61B" w:rsidR="001D1529" w:rsidRPr="00CF53DC" w:rsidRDefault="001D1529" w:rsidP="001D1529">
            <w:pPr>
              <w:autoSpaceDE w:val="0"/>
              <w:autoSpaceDN w:val="0"/>
              <w:adjustRightInd w:val="0"/>
              <w:spacing w:after="0"/>
              <w:jc w:val="left"/>
              <w:rPr>
                <w:b/>
                <w:sz w:val="26"/>
                <w:szCs w:val="26"/>
              </w:rPr>
            </w:pPr>
            <w:r w:rsidRPr="00CF53DC">
              <w:rPr>
                <w:b/>
                <w:sz w:val="26"/>
                <w:szCs w:val="26"/>
              </w:rPr>
              <w:t xml:space="preserve">Article </w:t>
            </w:r>
            <w:r w:rsidR="00E45499" w:rsidRPr="00CF53DC">
              <w:rPr>
                <w:b/>
                <w:sz w:val="26"/>
                <w:szCs w:val="26"/>
              </w:rPr>
              <w:t>7</w:t>
            </w:r>
            <w:r w:rsidRPr="00CF53DC">
              <w:rPr>
                <w:b/>
                <w:sz w:val="26"/>
                <w:szCs w:val="26"/>
              </w:rPr>
              <w:t xml:space="preserve"> para </w:t>
            </w:r>
            <w:r w:rsidR="00E45499" w:rsidRPr="00CF53DC">
              <w:rPr>
                <w:b/>
                <w:sz w:val="26"/>
                <w:szCs w:val="26"/>
              </w:rPr>
              <w:t xml:space="preserve">4 </w:t>
            </w:r>
            <w:r w:rsidR="006034B5" w:rsidRPr="00CF53DC">
              <w:rPr>
                <w:b/>
                <w:sz w:val="26"/>
                <w:szCs w:val="26"/>
              </w:rPr>
              <w:t>–</w:t>
            </w:r>
            <w:r w:rsidR="0063286E" w:rsidRPr="00CF53DC">
              <w:rPr>
                <w:b/>
                <w:sz w:val="26"/>
                <w:szCs w:val="26"/>
              </w:rPr>
              <w:t xml:space="preserve"> </w:t>
            </w:r>
            <w:r w:rsidR="00E45499" w:rsidRPr="00CF53DC">
              <w:rPr>
                <w:b/>
                <w:sz w:val="26"/>
                <w:szCs w:val="26"/>
              </w:rPr>
              <w:t>composite packaging</w:t>
            </w:r>
            <w:r w:rsidR="00BC7D3D" w:rsidRPr="00CF53DC">
              <w:rPr>
                <w:b/>
                <w:sz w:val="26"/>
                <w:szCs w:val="26"/>
              </w:rPr>
              <w:t xml:space="preserve">/plastics parts in packaging </w:t>
            </w:r>
            <w:r w:rsidR="006034B5" w:rsidRPr="00CF53DC">
              <w:rPr>
                <w:b/>
                <w:sz w:val="26"/>
                <w:szCs w:val="26"/>
              </w:rPr>
              <w:t xml:space="preserve"> </w:t>
            </w:r>
          </w:p>
        </w:tc>
      </w:tr>
      <w:tr w:rsidR="000C36B9" w:rsidRPr="00F15F85" w14:paraId="736A56B0" w14:textId="77777777" w:rsidTr="007861BC">
        <w:trPr>
          <w:trHeight w:val="597"/>
        </w:trPr>
        <w:tc>
          <w:tcPr>
            <w:tcW w:w="3969" w:type="dxa"/>
            <w:shd w:val="clear" w:color="auto" w:fill="auto"/>
          </w:tcPr>
          <w:p w14:paraId="6E623DDA" w14:textId="43CCB63B" w:rsidR="006034B5" w:rsidRPr="00CF53DC" w:rsidRDefault="006034B5" w:rsidP="00CF53DC">
            <w:pPr>
              <w:autoSpaceDE w:val="0"/>
              <w:autoSpaceDN w:val="0"/>
              <w:adjustRightInd w:val="0"/>
              <w:spacing w:after="0"/>
              <w:jc w:val="center"/>
              <w:rPr>
                <w:rFonts w:cstheme="minorHAnsi"/>
                <w:b/>
                <w:sz w:val="20"/>
                <w:szCs w:val="20"/>
              </w:rPr>
            </w:pPr>
            <w:r w:rsidRPr="00CF53DC">
              <w:rPr>
                <w:rFonts w:cstheme="minorHAnsi"/>
                <w:b/>
                <w:sz w:val="20"/>
                <w:szCs w:val="20"/>
              </w:rPr>
              <w:t>COM Proposal</w:t>
            </w:r>
          </w:p>
          <w:p w14:paraId="4A76CC78" w14:textId="45F9C3E3" w:rsidR="003E2628" w:rsidRPr="00CF53DC" w:rsidRDefault="003E2628" w:rsidP="003E2628">
            <w:pPr>
              <w:pStyle w:val="Default"/>
              <w:jc w:val="both"/>
              <w:rPr>
                <w:color w:val="auto"/>
                <w:sz w:val="20"/>
                <w:szCs w:val="20"/>
              </w:rPr>
            </w:pPr>
            <w:r w:rsidRPr="00CF53DC">
              <w:rPr>
                <w:color w:val="auto"/>
                <w:sz w:val="20"/>
                <w:szCs w:val="20"/>
              </w:rPr>
              <w:t>Paragraphs 1 and 2</w:t>
            </w:r>
            <w:r w:rsidR="00EF66A9" w:rsidRPr="00CF53DC">
              <w:rPr>
                <w:rStyle w:val="Appelnotedebasdep"/>
                <w:color w:val="auto"/>
                <w:sz w:val="20"/>
                <w:szCs w:val="20"/>
              </w:rPr>
              <w:footnoteReference w:id="3"/>
            </w:r>
            <w:r w:rsidRPr="00CF53DC">
              <w:rPr>
                <w:color w:val="auto"/>
                <w:sz w:val="20"/>
                <w:szCs w:val="20"/>
              </w:rPr>
              <w:t xml:space="preserve"> shall not apply to compostable plastic packaging. </w:t>
            </w:r>
          </w:p>
          <w:p w14:paraId="29FEC336" w14:textId="1F8C80EF" w:rsidR="006034B5" w:rsidRPr="00CF53DC" w:rsidRDefault="006034B5" w:rsidP="006034B5">
            <w:pPr>
              <w:autoSpaceDE w:val="0"/>
              <w:autoSpaceDN w:val="0"/>
              <w:adjustRightInd w:val="0"/>
              <w:spacing w:after="0"/>
              <w:rPr>
                <w:b/>
                <w:iCs/>
                <w:sz w:val="20"/>
                <w:szCs w:val="20"/>
              </w:rPr>
            </w:pPr>
          </w:p>
        </w:tc>
        <w:tc>
          <w:tcPr>
            <w:tcW w:w="4536" w:type="dxa"/>
            <w:shd w:val="clear" w:color="auto" w:fill="B1E8AA"/>
          </w:tcPr>
          <w:p w14:paraId="07DF05C0" w14:textId="5CCCE88D" w:rsidR="002E0E6B" w:rsidRPr="00CF53DC" w:rsidRDefault="006034B5" w:rsidP="00CF53DC">
            <w:pPr>
              <w:autoSpaceDE w:val="0"/>
              <w:autoSpaceDN w:val="0"/>
              <w:adjustRightInd w:val="0"/>
              <w:spacing w:after="0"/>
              <w:jc w:val="center"/>
              <w:rPr>
                <w:b/>
                <w:sz w:val="20"/>
                <w:szCs w:val="20"/>
              </w:rPr>
            </w:pPr>
            <w:r w:rsidRPr="00CF53DC">
              <w:rPr>
                <w:b/>
                <w:sz w:val="20"/>
                <w:szCs w:val="20"/>
              </w:rPr>
              <w:t>EP Mandate</w:t>
            </w:r>
          </w:p>
          <w:p w14:paraId="5D709B4F" w14:textId="77777777" w:rsidR="002E0E6B" w:rsidRPr="00CF53DC" w:rsidRDefault="002E0E6B" w:rsidP="002E0E6B">
            <w:pPr>
              <w:pStyle w:val="Default"/>
              <w:rPr>
                <w:color w:val="0000FF"/>
                <w:sz w:val="20"/>
                <w:szCs w:val="20"/>
              </w:rPr>
            </w:pPr>
            <w:r w:rsidRPr="00CF53DC">
              <w:rPr>
                <w:sz w:val="20"/>
                <w:szCs w:val="20"/>
              </w:rPr>
              <w:t>Paragraphs 1 and 2 shall not apply to</w:t>
            </w:r>
            <w:r w:rsidRPr="00CF53DC">
              <w:rPr>
                <w:b/>
                <w:bCs/>
                <w:i/>
                <w:iCs/>
                <w:color w:val="0000FF"/>
                <w:sz w:val="20"/>
                <w:szCs w:val="20"/>
              </w:rPr>
              <w:t xml:space="preserve">: </w:t>
            </w:r>
          </w:p>
          <w:p w14:paraId="4402FF17" w14:textId="09D782F2" w:rsidR="002E0E6B" w:rsidRPr="00CF53DC" w:rsidRDefault="002E0E6B" w:rsidP="002E0E6B">
            <w:pPr>
              <w:pStyle w:val="Default"/>
              <w:rPr>
                <w:color w:val="0000FF"/>
                <w:sz w:val="20"/>
                <w:szCs w:val="20"/>
              </w:rPr>
            </w:pPr>
            <w:r w:rsidRPr="00CF53DC">
              <w:rPr>
                <w:b/>
                <w:bCs/>
                <w:i/>
                <w:iCs/>
                <w:color w:val="auto"/>
                <w:sz w:val="20"/>
                <w:szCs w:val="20"/>
              </w:rPr>
              <w:t xml:space="preserve">(a) </w:t>
            </w:r>
            <w:r w:rsidRPr="00CF53DC">
              <w:rPr>
                <w:sz w:val="20"/>
                <w:szCs w:val="20"/>
              </w:rPr>
              <w:t>compostable plastic packaging</w:t>
            </w:r>
            <w:r w:rsidR="00182705">
              <w:rPr>
                <w:sz w:val="20"/>
                <w:szCs w:val="20"/>
              </w:rPr>
              <w:t xml:space="preserve"> </w:t>
            </w:r>
            <w:r w:rsidRPr="00CF53DC">
              <w:rPr>
                <w:sz w:val="20"/>
                <w:szCs w:val="20"/>
              </w:rPr>
              <w:t>;</w:t>
            </w:r>
          </w:p>
          <w:p w14:paraId="4200E395" w14:textId="2BC73104" w:rsidR="002E0E6B" w:rsidRPr="00CF53DC" w:rsidRDefault="002E0E6B" w:rsidP="002E0E6B">
            <w:pPr>
              <w:pStyle w:val="Default"/>
              <w:rPr>
                <w:color w:val="auto"/>
                <w:sz w:val="20"/>
                <w:szCs w:val="20"/>
              </w:rPr>
            </w:pPr>
            <w:r w:rsidRPr="00CF53DC">
              <w:rPr>
                <w:b/>
                <w:bCs/>
                <w:i/>
                <w:iCs/>
                <w:color w:val="auto"/>
                <w:sz w:val="20"/>
                <w:szCs w:val="20"/>
              </w:rPr>
              <w:t>(b) inks, adhesives, paints, varnishes and lacquers used on packaging</w:t>
            </w:r>
            <w:r w:rsidR="00182705">
              <w:rPr>
                <w:b/>
                <w:i/>
                <w:color w:val="auto"/>
                <w:sz w:val="20"/>
                <w:szCs w:val="20"/>
              </w:rPr>
              <w:t xml:space="preserve"> </w:t>
            </w:r>
            <w:r w:rsidRPr="00CF53DC">
              <w:rPr>
                <w:b/>
                <w:bCs/>
                <w:i/>
                <w:iCs/>
                <w:color w:val="auto"/>
                <w:sz w:val="20"/>
                <w:szCs w:val="20"/>
              </w:rPr>
              <w:t xml:space="preserve">; </w:t>
            </w:r>
          </w:p>
          <w:p w14:paraId="2D93BB1F" w14:textId="0F324E54" w:rsidR="003E2628" w:rsidRPr="00CF53DC" w:rsidRDefault="002E0E6B" w:rsidP="002E0E6B">
            <w:pPr>
              <w:pStyle w:val="Default"/>
              <w:rPr>
                <w:b/>
                <w:sz w:val="20"/>
                <w:szCs w:val="20"/>
              </w:rPr>
            </w:pPr>
            <w:r w:rsidRPr="00CF53DC">
              <w:rPr>
                <w:b/>
                <w:bCs/>
                <w:i/>
                <w:iCs/>
                <w:color w:val="auto"/>
                <w:sz w:val="20"/>
                <w:szCs w:val="20"/>
              </w:rPr>
              <w:t>(</w:t>
            </w:r>
            <w:r w:rsidRPr="004363BE">
              <w:rPr>
                <w:b/>
                <w:bCs/>
                <w:i/>
                <w:iCs/>
                <w:color w:val="auto"/>
                <w:sz w:val="20"/>
                <w:szCs w:val="20"/>
                <w:highlight w:val="green"/>
              </w:rPr>
              <w:t>c) any plastic part representing less than 5% of the total weight of the whole packaging unit</w:t>
            </w:r>
            <w:r w:rsidRPr="004363BE">
              <w:rPr>
                <w:color w:val="auto"/>
                <w:sz w:val="20"/>
                <w:szCs w:val="20"/>
                <w:highlight w:val="green"/>
              </w:rPr>
              <w:t>.</w:t>
            </w:r>
            <w:r w:rsidRPr="00CF53DC">
              <w:rPr>
                <w:color w:val="auto"/>
                <w:sz w:val="20"/>
                <w:szCs w:val="20"/>
              </w:rPr>
              <w:t xml:space="preserve"> </w:t>
            </w:r>
          </w:p>
        </w:tc>
        <w:tc>
          <w:tcPr>
            <w:tcW w:w="4111" w:type="dxa"/>
            <w:shd w:val="clear" w:color="auto" w:fill="auto"/>
          </w:tcPr>
          <w:p w14:paraId="58CEF4DA" w14:textId="057D5DFF" w:rsidR="00DE3AE7" w:rsidRDefault="006034B5" w:rsidP="00CF53DC">
            <w:pPr>
              <w:autoSpaceDE w:val="0"/>
              <w:autoSpaceDN w:val="0"/>
              <w:adjustRightInd w:val="0"/>
              <w:spacing w:after="0"/>
              <w:jc w:val="center"/>
              <w:rPr>
                <w:b/>
                <w:sz w:val="20"/>
                <w:szCs w:val="20"/>
              </w:rPr>
            </w:pPr>
            <w:r w:rsidRPr="00CF53DC">
              <w:rPr>
                <w:b/>
                <w:sz w:val="20"/>
                <w:szCs w:val="20"/>
              </w:rPr>
              <w:t>Council Mandate</w:t>
            </w:r>
          </w:p>
          <w:p w14:paraId="48A5D0C3" w14:textId="77777777" w:rsidR="00CF53DC" w:rsidRPr="00CF53DC" w:rsidRDefault="00CF53DC" w:rsidP="00CF53DC">
            <w:pPr>
              <w:autoSpaceDE w:val="0"/>
              <w:autoSpaceDN w:val="0"/>
              <w:adjustRightInd w:val="0"/>
              <w:spacing w:after="0"/>
              <w:jc w:val="center"/>
              <w:rPr>
                <w:b/>
                <w:sz w:val="20"/>
                <w:szCs w:val="20"/>
              </w:rPr>
            </w:pPr>
          </w:p>
          <w:p w14:paraId="36C7AA04" w14:textId="6D9C53FE" w:rsidR="00DE3AE7" w:rsidRPr="00CF53DC" w:rsidRDefault="003E2628" w:rsidP="003E2628">
            <w:pPr>
              <w:pStyle w:val="Default"/>
              <w:jc w:val="center"/>
              <w:rPr>
                <w:rFonts w:asciiTheme="minorHAnsi" w:hAnsiTheme="minorHAnsi" w:cstheme="minorHAnsi"/>
                <w:b/>
                <w:i/>
                <w:sz w:val="20"/>
                <w:szCs w:val="20"/>
              </w:rPr>
            </w:pPr>
            <w:r w:rsidRPr="00CF53DC">
              <w:rPr>
                <w:rFonts w:asciiTheme="minorHAnsi" w:hAnsiTheme="minorHAnsi" w:cstheme="minorHAnsi"/>
                <w:b/>
                <w:i/>
                <w:sz w:val="20"/>
                <w:szCs w:val="20"/>
              </w:rPr>
              <w:t>deleted</w:t>
            </w:r>
          </w:p>
          <w:p w14:paraId="177E5933" w14:textId="77777777" w:rsidR="00DE3AE7" w:rsidRPr="00CF53DC" w:rsidRDefault="00DE3AE7" w:rsidP="001D1529">
            <w:pPr>
              <w:autoSpaceDE w:val="0"/>
              <w:autoSpaceDN w:val="0"/>
              <w:adjustRightInd w:val="0"/>
              <w:spacing w:after="0"/>
              <w:jc w:val="left"/>
              <w:rPr>
                <w:b/>
                <w:iCs/>
                <w:sz w:val="20"/>
                <w:szCs w:val="20"/>
              </w:rPr>
            </w:pPr>
          </w:p>
        </w:tc>
        <w:tc>
          <w:tcPr>
            <w:tcW w:w="3260" w:type="dxa"/>
            <w:shd w:val="clear" w:color="auto" w:fill="auto"/>
          </w:tcPr>
          <w:p w14:paraId="76E96CF0" w14:textId="77777777" w:rsidR="008A1842" w:rsidRDefault="006034B5" w:rsidP="008A1842">
            <w:pPr>
              <w:autoSpaceDE w:val="0"/>
              <w:autoSpaceDN w:val="0"/>
              <w:adjustRightInd w:val="0"/>
              <w:spacing w:after="0"/>
              <w:jc w:val="center"/>
              <w:rPr>
                <w:b/>
                <w:sz w:val="20"/>
                <w:szCs w:val="20"/>
              </w:rPr>
            </w:pPr>
            <w:r w:rsidRPr="00CF53DC">
              <w:rPr>
                <w:b/>
                <w:sz w:val="20"/>
                <w:szCs w:val="20"/>
              </w:rPr>
              <w:t>A.I.S.E. position</w:t>
            </w:r>
          </w:p>
          <w:p w14:paraId="0652264F" w14:textId="77777777" w:rsidR="008A1842" w:rsidRDefault="008A1842" w:rsidP="008A1842">
            <w:pPr>
              <w:autoSpaceDE w:val="0"/>
              <w:autoSpaceDN w:val="0"/>
              <w:adjustRightInd w:val="0"/>
              <w:spacing w:after="0"/>
              <w:rPr>
                <w:sz w:val="20"/>
                <w:szCs w:val="20"/>
                <w:u w:val="single"/>
              </w:rPr>
            </w:pPr>
          </w:p>
          <w:p w14:paraId="6C9A382F" w14:textId="21EA93A5" w:rsidR="000C36B9" w:rsidRPr="000D34F7" w:rsidRDefault="008A1842" w:rsidP="008A1842">
            <w:pPr>
              <w:autoSpaceDE w:val="0"/>
              <w:autoSpaceDN w:val="0"/>
              <w:adjustRightInd w:val="0"/>
              <w:spacing w:after="0"/>
              <w:rPr>
                <w:b/>
                <w:sz w:val="20"/>
                <w:szCs w:val="20"/>
              </w:rPr>
            </w:pPr>
            <w:r w:rsidRPr="008A1842">
              <w:rPr>
                <w:sz w:val="20"/>
                <w:szCs w:val="20"/>
                <w:u w:val="single"/>
              </w:rPr>
              <w:t>Support EP position</w:t>
            </w:r>
            <w:r>
              <w:rPr>
                <w:sz w:val="20"/>
                <w:szCs w:val="20"/>
                <w:u w:val="single"/>
              </w:rPr>
              <w:t xml:space="preserve"> </w:t>
            </w:r>
            <w:r w:rsidR="00F65030">
              <w:rPr>
                <w:sz w:val="20"/>
                <w:szCs w:val="20"/>
              </w:rPr>
              <w:t>on exempti</w:t>
            </w:r>
            <w:r w:rsidR="00F54DE2">
              <w:rPr>
                <w:sz w:val="20"/>
                <w:szCs w:val="20"/>
              </w:rPr>
              <w:t xml:space="preserve">ons from </w:t>
            </w:r>
            <w:r w:rsidR="00F15F85">
              <w:rPr>
                <w:sz w:val="20"/>
                <w:szCs w:val="20"/>
              </w:rPr>
              <w:t xml:space="preserve">targets on minimum </w:t>
            </w:r>
            <w:r w:rsidR="00C70E82">
              <w:rPr>
                <w:sz w:val="20"/>
                <w:szCs w:val="20"/>
              </w:rPr>
              <w:t>recycled</w:t>
            </w:r>
            <w:r w:rsidR="00F15F85">
              <w:rPr>
                <w:sz w:val="20"/>
                <w:szCs w:val="20"/>
              </w:rPr>
              <w:t xml:space="preserve"> content</w:t>
            </w:r>
          </w:p>
        </w:tc>
      </w:tr>
    </w:tbl>
    <w:p w14:paraId="4A753003" w14:textId="77777777" w:rsidR="00CF53DC" w:rsidRPr="00F15F85" w:rsidRDefault="00CF53DC" w:rsidP="008F6165">
      <w:pPr>
        <w:tabs>
          <w:tab w:val="num" w:pos="720"/>
        </w:tabs>
        <w:spacing w:after="0"/>
        <w:rPr>
          <w:rFonts w:eastAsia="Times New Roman"/>
          <w:b/>
          <w:bCs/>
        </w:rPr>
      </w:pPr>
    </w:p>
    <w:p w14:paraId="330128B9" w14:textId="77777777" w:rsidR="00182705" w:rsidRPr="00F15F85" w:rsidRDefault="00182705" w:rsidP="008F6165">
      <w:pPr>
        <w:tabs>
          <w:tab w:val="num" w:pos="720"/>
        </w:tabs>
        <w:spacing w:after="0"/>
        <w:rPr>
          <w:rFonts w:eastAsia="Times New Roman"/>
          <w:b/>
          <w:bCs/>
        </w:rPr>
      </w:pPr>
    </w:p>
    <w:p w14:paraId="38E9BCC1" w14:textId="77777777" w:rsidR="00182705" w:rsidRPr="00F15F85" w:rsidRDefault="00182705" w:rsidP="008F6165">
      <w:pPr>
        <w:tabs>
          <w:tab w:val="num" w:pos="720"/>
        </w:tabs>
        <w:spacing w:after="0"/>
        <w:rPr>
          <w:rFonts w:eastAsia="Times New Roman"/>
          <w:b/>
          <w:bCs/>
        </w:rPr>
      </w:pPr>
    </w:p>
    <w:p w14:paraId="2DC78804" w14:textId="77777777" w:rsidR="00182705" w:rsidRPr="00F15F85" w:rsidRDefault="00182705" w:rsidP="008F6165">
      <w:pPr>
        <w:tabs>
          <w:tab w:val="num" w:pos="720"/>
        </w:tabs>
        <w:spacing w:after="0"/>
        <w:rPr>
          <w:rFonts w:eastAsia="Times New Roman"/>
          <w:b/>
          <w:bCs/>
        </w:rPr>
      </w:pPr>
    </w:p>
    <w:p w14:paraId="244A3E83" w14:textId="77777777" w:rsidR="00182705" w:rsidRPr="00F15F85" w:rsidRDefault="00182705" w:rsidP="008F6165">
      <w:pPr>
        <w:tabs>
          <w:tab w:val="num" w:pos="720"/>
        </w:tabs>
        <w:spacing w:after="0"/>
        <w:rPr>
          <w:rFonts w:eastAsia="Times New Roman"/>
          <w:b/>
          <w:bCs/>
        </w:rPr>
      </w:pPr>
    </w:p>
    <w:p w14:paraId="52D328F8" w14:textId="77777777" w:rsidR="00182705" w:rsidRPr="00F15F85" w:rsidRDefault="00182705" w:rsidP="008F6165">
      <w:pPr>
        <w:tabs>
          <w:tab w:val="num" w:pos="720"/>
        </w:tabs>
        <w:spacing w:after="0"/>
        <w:rPr>
          <w:rFonts w:eastAsia="Times New Roman"/>
          <w:b/>
          <w:bCs/>
        </w:rPr>
      </w:pPr>
    </w:p>
    <w:p w14:paraId="710491E4" w14:textId="4CED26AC" w:rsidR="003559C7" w:rsidRPr="00784C72" w:rsidRDefault="003559C7" w:rsidP="00784C72">
      <w:pPr>
        <w:pStyle w:val="Paragraphedeliste"/>
        <w:numPr>
          <w:ilvl w:val="0"/>
          <w:numId w:val="39"/>
        </w:numPr>
        <w:spacing w:after="160" w:line="259" w:lineRule="auto"/>
        <w:jc w:val="left"/>
        <w:rPr>
          <w:rFonts w:eastAsia="Times New Roman"/>
          <w:b/>
          <w:bCs/>
          <w:color w:val="007576" w:themeColor="accent1"/>
          <w:sz w:val="32"/>
          <w:szCs w:val="32"/>
        </w:rPr>
      </w:pPr>
      <w:r w:rsidRPr="00784C72">
        <w:rPr>
          <w:rFonts w:eastAsia="Times New Roman"/>
          <w:b/>
          <w:color w:val="007576" w:themeColor="accent1"/>
          <w:sz w:val="32"/>
          <w:szCs w:val="32"/>
        </w:rPr>
        <w:t xml:space="preserve">RECYCLABILITY </w:t>
      </w:r>
    </w:p>
    <w:tbl>
      <w:tblPr>
        <w:tblStyle w:val="Grilledutableau"/>
        <w:tblW w:w="15876" w:type="dxa"/>
        <w:tblInd w:w="-572" w:type="dxa"/>
        <w:shd w:val="clear" w:color="auto" w:fill="FFFFFF" w:themeFill="background1"/>
        <w:tblLook w:val="04A0" w:firstRow="1" w:lastRow="0" w:firstColumn="1" w:lastColumn="0" w:noHBand="0" w:noVBand="1"/>
      </w:tblPr>
      <w:tblGrid>
        <w:gridCol w:w="3969"/>
        <w:gridCol w:w="4536"/>
        <w:gridCol w:w="4111"/>
        <w:gridCol w:w="3260"/>
      </w:tblGrid>
      <w:tr w:rsidR="00992A68" w:rsidRPr="00DE3AE7" w14:paraId="5BEAF1DB" w14:textId="77777777" w:rsidTr="007861BC">
        <w:trPr>
          <w:trHeight w:val="337"/>
        </w:trPr>
        <w:tc>
          <w:tcPr>
            <w:tcW w:w="15876" w:type="dxa"/>
            <w:gridSpan w:val="4"/>
            <w:shd w:val="clear" w:color="auto" w:fill="auto"/>
          </w:tcPr>
          <w:p w14:paraId="79F58B39" w14:textId="77777777" w:rsidR="00992A68" w:rsidRPr="00CF53DC" w:rsidRDefault="00992A68" w:rsidP="00D70E3B">
            <w:pPr>
              <w:autoSpaceDE w:val="0"/>
              <w:autoSpaceDN w:val="0"/>
              <w:adjustRightInd w:val="0"/>
              <w:spacing w:after="0"/>
              <w:jc w:val="left"/>
              <w:rPr>
                <w:b/>
                <w:sz w:val="26"/>
                <w:szCs w:val="26"/>
              </w:rPr>
            </w:pPr>
            <w:r w:rsidRPr="00CF53DC">
              <w:rPr>
                <w:b/>
                <w:sz w:val="26"/>
                <w:szCs w:val="26"/>
              </w:rPr>
              <w:t xml:space="preserve">Article 3 para 1 (point 31 a) – Definition of ‘ </w:t>
            </w:r>
            <w:r w:rsidRPr="00CF53DC">
              <w:rPr>
                <w:b/>
                <w:i/>
                <w:sz w:val="26"/>
                <w:szCs w:val="26"/>
              </w:rPr>
              <w:t>recyclability</w:t>
            </w:r>
            <w:r w:rsidRPr="00CF53DC">
              <w:rPr>
                <w:b/>
                <w:sz w:val="26"/>
                <w:szCs w:val="26"/>
              </w:rPr>
              <w:t xml:space="preserve">’ </w:t>
            </w:r>
          </w:p>
        </w:tc>
      </w:tr>
      <w:tr w:rsidR="00992A68" w14:paraId="6A8FEE69" w14:textId="77777777" w:rsidTr="007861BC">
        <w:trPr>
          <w:trHeight w:val="597"/>
        </w:trPr>
        <w:tc>
          <w:tcPr>
            <w:tcW w:w="3969" w:type="dxa"/>
            <w:shd w:val="clear" w:color="auto" w:fill="auto"/>
          </w:tcPr>
          <w:p w14:paraId="5F4D4AFA" w14:textId="77777777" w:rsidR="00992A68" w:rsidRPr="00CF53DC" w:rsidRDefault="00992A68" w:rsidP="00D70E3B">
            <w:pPr>
              <w:autoSpaceDE w:val="0"/>
              <w:autoSpaceDN w:val="0"/>
              <w:adjustRightInd w:val="0"/>
              <w:spacing w:after="0"/>
              <w:jc w:val="center"/>
              <w:rPr>
                <w:rFonts w:cstheme="minorHAnsi"/>
                <w:b/>
                <w:sz w:val="20"/>
                <w:szCs w:val="20"/>
              </w:rPr>
            </w:pPr>
            <w:r w:rsidRPr="00CF53DC">
              <w:rPr>
                <w:rFonts w:cstheme="minorHAnsi"/>
                <w:b/>
                <w:sz w:val="20"/>
                <w:szCs w:val="20"/>
              </w:rPr>
              <w:t>COM Proposal</w:t>
            </w:r>
          </w:p>
          <w:p w14:paraId="334252A8" w14:textId="77777777" w:rsidR="00992A68" w:rsidRPr="00CF53DC" w:rsidRDefault="00992A68" w:rsidP="00D70E3B">
            <w:pPr>
              <w:autoSpaceDE w:val="0"/>
              <w:autoSpaceDN w:val="0"/>
              <w:adjustRightInd w:val="0"/>
              <w:spacing w:after="0"/>
              <w:jc w:val="center"/>
              <w:rPr>
                <w:rFonts w:cstheme="minorHAnsi"/>
                <w:b/>
                <w:sz w:val="20"/>
                <w:szCs w:val="20"/>
              </w:rPr>
            </w:pPr>
          </w:p>
          <w:p w14:paraId="1269B7D9" w14:textId="77777777" w:rsidR="00992A68" w:rsidRPr="00CF53DC" w:rsidRDefault="00992A68" w:rsidP="00D70E3B">
            <w:pPr>
              <w:autoSpaceDE w:val="0"/>
              <w:autoSpaceDN w:val="0"/>
              <w:adjustRightInd w:val="0"/>
              <w:spacing w:after="0"/>
              <w:rPr>
                <w:b/>
                <w:sz w:val="20"/>
                <w:szCs w:val="20"/>
              </w:rPr>
            </w:pPr>
          </w:p>
        </w:tc>
        <w:tc>
          <w:tcPr>
            <w:tcW w:w="4536" w:type="dxa"/>
            <w:shd w:val="clear" w:color="auto" w:fill="auto"/>
          </w:tcPr>
          <w:p w14:paraId="3BA1077C" w14:textId="666B7D71" w:rsidR="00992A68" w:rsidRPr="00CF53DC" w:rsidRDefault="00992A68" w:rsidP="00CF53DC">
            <w:pPr>
              <w:autoSpaceDE w:val="0"/>
              <w:autoSpaceDN w:val="0"/>
              <w:adjustRightInd w:val="0"/>
              <w:spacing w:after="0"/>
              <w:jc w:val="center"/>
              <w:rPr>
                <w:b/>
                <w:sz w:val="20"/>
                <w:szCs w:val="20"/>
              </w:rPr>
            </w:pPr>
            <w:r w:rsidRPr="00CF53DC">
              <w:rPr>
                <w:b/>
                <w:sz w:val="20"/>
                <w:szCs w:val="20"/>
              </w:rPr>
              <w:t>EP Mandate</w:t>
            </w:r>
          </w:p>
          <w:p w14:paraId="2BA8E44F" w14:textId="77777777" w:rsidR="00992A68" w:rsidRPr="00CF53DC" w:rsidRDefault="00992A68" w:rsidP="00D70E3B">
            <w:pPr>
              <w:pStyle w:val="Default"/>
              <w:jc w:val="both"/>
              <w:rPr>
                <w:color w:val="auto"/>
                <w:sz w:val="20"/>
                <w:szCs w:val="20"/>
              </w:rPr>
            </w:pPr>
            <w:r w:rsidRPr="00CF53DC">
              <w:rPr>
                <w:b/>
                <w:bCs/>
                <w:i/>
                <w:iCs/>
                <w:color w:val="auto"/>
                <w:sz w:val="20"/>
                <w:szCs w:val="20"/>
              </w:rPr>
              <w:t xml:space="preserve">'recyclability' means the assessment of the compatibility of packaging with the management and processing of waste by design, based on separate collection, sorting in separate streams, recycling at scale, and use of recycled materials to replace primary raw materials in new packaging; </w:t>
            </w:r>
          </w:p>
          <w:p w14:paraId="094B7063" w14:textId="77777777" w:rsidR="00992A68" w:rsidRPr="00CF53DC" w:rsidRDefault="00992A68" w:rsidP="00D70E3B">
            <w:pPr>
              <w:autoSpaceDE w:val="0"/>
              <w:autoSpaceDN w:val="0"/>
              <w:adjustRightInd w:val="0"/>
              <w:spacing w:after="0"/>
              <w:jc w:val="left"/>
              <w:rPr>
                <w:b/>
                <w:iCs/>
                <w:sz w:val="20"/>
                <w:szCs w:val="20"/>
              </w:rPr>
            </w:pPr>
          </w:p>
        </w:tc>
        <w:tc>
          <w:tcPr>
            <w:tcW w:w="4111" w:type="dxa"/>
            <w:shd w:val="clear" w:color="auto" w:fill="B1E8AA"/>
          </w:tcPr>
          <w:p w14:paraId="17F23AA4" w14:textId="24CB1E3D" w:rsidR="00992A68" w:rsidRPr="00CF53DC" w:rsidRDefault="00992A68" w:rsidP="00CF53DC">
            <w:pPr>
              <w:autoSpaceDE w:val="0"/>
              <w:autoSpaceDN w:val="0"/>
              <w:adjustRightInd w:val="0"/>
              <w:spacing w:after="0"/>
              <w:jc w:val="center"/>
              <w:rPr>
                <w:b/>
                <w:sz w:val="20"/>
                <w:szCs w:val="20"/>
              </w:rPr>
            </w:pPr>
            <w:r w:rsidRPr="00CF53DC">
              <w:rPr>
                <w:b/>
                <w:sz w:val="20"/>
                <w:szCs w:val="20"/>
              </w:rPr>
              <w:t>Council Mandate</w:t>
            </w:r>
          </w:p>
          <w:p w14:paraId="42C05BC0" w14:textId="77777777" w:rsidR="00992A68" w:rsidRPr="00CF53DC" w:rsidRDefault="00992A68" w:rsidP="00D70E3B">
            <w:pPr>
              <w:pStyle w:val="Default"/>
              <w:jc w:val="both"/>
              <w:rPr>
                <w:rFonts w:asciiTheme="minorHAnsi" w:hAnsiTheme="minorHAnsi" w:cstheme="minorHAnsi"/>
                <w:sz w:val="20"/>
                <w:szCs w:val="20"/>
              </w:rPr>
            </w:pPr>
            <w:r w:rsidRPr="00CF53DC">
              <w:rPr>
                <w:rFonts w:asciiTheme="minorHAnsi" w:hAnsiTheme="minorHAnsi" w:cstheme="minorHAnsi"/>
                <w:b/>
                <w:bCs/>
                <w:sz w:val="20"/>
                <w:szCs w:val="20"/>
              </w:rPr>
              <w:t xml:space="preserve">‘recyclability’ means the gradual suitability of any given packaging that is designed for recycling and leads to, after being recycled at scale, sufficient quality compared to the original material to substitute primary raw material. </w:t>
            </w:r>
          </w:p>
          <w:p w14:paraId="688CBB1A" w14:textId="77777777" w:rsidR="00992A68" w:rsidRPr="00CF53DC" w:rsidRDefault="00992A68" w:rsidP="00D70E3B">
            <w:pPr>
              <w:autoSpaceDE w:val="0"/>
              <w:autoSpaceDN w:val="0"/>
              <w:adjustRightInd w:val="0"/>
              <w:spacing w:after="0"/>
              <w:jc w:val="left"/>
              <w:rPr>
                <w:b/>
                <w:iCs/>
                <w:sz w:val="20"/>
                <w:szCs w:val="20"/>
              </w:rPr>
            </w:pPr>
          </w:p>
        </w:tc>
        <w:tc>
          <w:tcPr>
            <w:tcW w:w="3260" w:type="dxa"/>
            <w:shd w:val="clear" w:color="auto" w:fill="auto"/>
          </w:tcPr>
          <w:p w14:paraId="4D9427F5" w14:textId="0663AB7D" w:rsidR="00992A68" w:rsidRDefault="00992A68" w:rsidP="00D90DD7">
            <w:pPr>
              <w:autoSpaceDE w:val="0"/>
              <w:autoSpaceDN w:val="0"/>
              <w:adjustRightInd w:val="0"/>
              <w:spacing w:after="0"/>
              <w:jc w:val="center"/>
              <w:rPr>
                <w:b/>
                <w:sz w:val="20"/>
                <w:szCs w:val="20"/>
              </w:rPr>
            </w:pPr>
            <w:r w:rsidRPr="00D90DD7">
              <w:rPr>
                <w:b/>
                <w:sz w:val="20"/>
                <w:szCs w:val="20"/>
              </w:rPr>
              <w:t>A.I.S.E. position</w:t>
            </w:r>
          </w:p>
          <w:p w14:paraId="4E401135" w14:textId="77777777" w:rsidR="00D90DD7" w:rsidRPr="00D90DD7" w:rsidRDefault="00D90DD7" w:rsidP="00D90DD7">
            <w:pPr>
              <w:autoSpaceDE w:val="0"/>
              <w:autoSpaceDN w:val="0"/>
              <w:adjustRightInd w:val="0"/>
              <w:spacing w:after="0"/>
              <w:jc w:val="center"/>
              <w:rPr>
                <w:b/>
                <w:sz w:val="20"/>
                <w:szCs w:val="20"/>
              </w:rPr>
            </w:pPr>
          </w:p>
          <w:p w14:paraId="6EC7302C" w14:textId="11A5152F" w:rsidR="00D90DD7" w:rsidRPr="00D90DD7" w:rsidRDefault="00D90DD7" w:rsidP="00D70E3B">
            <w:pPr>
              <w:autoSpaceDE w:val="0"/>
              <w:autoSpaceDN w:val="0"/>
              <w:adjustRightInd w:val="0"/>
              <w:spacing w:after="0"/>
              <w:jc w:val="left"/>
              <w:rPr>
                <w:b/>
                <w:sz w:val="20"/>
                <w:szCs w:val="20"/>
              </w:rPr>
            </w:pPr>
            <w:r w:rsidRPr="00D90DD7">
              <w:rPr>
                <w:rFonts w:eastAsia="Times New Roman"/>
                <w:sz w:val="20"/>
                <w:szCs w:val="20"/>
                <w:u w:val="single"/>
              </w:rPr>
              <w:t xml:space="preserve">Support Council position </w:t>
            </w:r>
            <w:r w:rsidRPr="00D90DD7">
              <w:rPr>
                <w:rFonts w:eastAsia="Times New Roman"/>
                <w:sz w:val="20"/>
                <w:szCs w:val="20"/>
              </w:rPr>
              <w:t xml:space="preserve">on recyclability definition, ensuring </w:t>
            </w:r>
            <w:r w:rsidRPr="00D90DD7">
              <w:rPr>
                <w:rFonts w:eastAsia="Times New Roman"/>
                <w:sz w:val="20"/>
                <w:szCs w:val="20"/>
                <w:lang w:val="en-US"/>
              </w:rPr>
              <w:t>an open loop for recycling</w:t>
            </w:r>
          </w:p>
        </w:tc>
      </w:tr>
    </w:tbl>
    <w:p w14:paraId="4F472D80" w14:textId="77777777" w:rsidR="00992A68" w:rsidRPr="00D90DD7" w:rsidRDefault="00992A68" w:rsidP="008F6165">
      <w:pPr>
        <w:tabs>
          <w:tab w:val="num" w:pos="720"/>
        </w:tabs>
        <w:spacing w:after="0"/>
        <w:rPr>
          <w:rFonts w:eastAsia="Times New Roman"/>
          <w:b/>
          <w:bCs/>
        </w:rPr>
      </w:pPr>
    </w:p>
    <w:p w14:paraId="54064015" w14:textId="49447DD8" w:rsidR="009E2DF7" w:rsidRPr="003559C7" w:rsidRDefault="00AD5810" w:rsidP="00784C72">
      <w:pPr>
        <w:pStyle w:val="Paragraphedeliste"/>
        <w:numPr>
          <w:ilvl w:val="0"/>
          <w:numId w:val="39"/>
        </w:numPr>
        <w:spacing w:after="160" w:line="259" w:lineRule="auto"/>
        <w:jc w:val="left"/>
        <w:rPr>
          <w:rFonts w:eastAsia="Times New Roman"/>
          <w:b/>
          <w:bCs/>
          <w:color w:val="007576" w:themeColor="accent1"/>
          <w:sz w:val="32"/>
          <w:szCs w:val="32"/>
        </w:rPr>
      </w:pPr>
      <w:r>
        <w:rPr>
          <w:rFonts w:eastAsia="Times New Roman"/>
          <w:b/>
          <w:color w:val="007576" w:themeColor="accent1"/>
          <w:sz w:val="32"/>
          <w:szCs w:val="32"/>
        </w:rPr>
        <w:t xml:space="preserve">REQUIREMENTS FOR SUBSTANCES IN PACKAGING </w:t>
      </w:r>
      <w:r w:rsidR="009E2DF7" w:rsidRPr="00B35784">
        <w:rPr>
          <w:rFonts w:eastAsia="Times New Roman"/>
          <w:b/>
          <w:color w:val="007576" w:themeColor="accent1"/>
          <w:sz w:val="32"/>
          <w:szCs w:val="32"/>
        </w:rPr>
        <w:t xml:space="preserve"> </w:t>
      </w:r>
    </w:p>
    <w:tbl>
      <w:tblPr>
        <w:tblStyle w:val="Grilledutableau"/>
        <w:tblW w:w="15876" w:type="dxa"/>
        <w:tblInd w:w="-572" w:type="dxa"/>
        <w:shd w:val="clear" w:color="auto" w:fill="FFFFFF" w:themeFill="background1"/>
        <w:tblLook w:val="04A0" w:firstRow="1" w:lastRow="0" w:firstColumn="1" w:lastColumn="0" w:noHBand="0" w:noVBand="1"/>
      </w:tblPr>
      <w:tblGrid>
        <w:gridCol w:w="3969"/>
        <w:gridCol w:w="4536"/>
        <w:gridCol w:w="4111"/>
        <w:gridCol w:w="3260"/>
      </w:tblGrid>
      <w:tr w:rsidR="00AD5810" w:rsidRPr="00DE3AE7" w14:paraId="3E2CA8A5" w14:textId="77777777" w:rsidTr="007861BC">
        <w:trPr>
          <w:trHeight w:val="337"/>
        </w:trPr>
        <w:tc>
          <w:tcPr>
            <w:tcW w:w="15876" w:type="dxa"/>
            <w:gridSpan w:val="4"/>
            <w:shd w:val="clear" w:color="auto" w:fill="auto"/>
          </w:tcPr>
          <w:p w14:paraId="6689591D" w14:textId="54D4DD15" w:rsidR="00AD5810" w:rsidRPr="00CF53DC" w:rsidRDefault="00AD5810" w:rsidP="00D70E3B">
            <w:pPr>
              <w:autoSpaceDE w:val="0"/>
              <w:autoSpaceDN w:val="0"/>
              <w:adjustRightInd w:val="0"/>
              <w:spacing w:after="0"/>
              <w:jc w:val="left"/>
              <w:rPr>
                <w:b/>
                <w:sz w:val="26"/>
                <w:szCs w:val="26"/>
              </w:rPr>
            </w:pPr>
            <w:r w:rsidRPr="00CF53DC">
              <w:rPr>
                <w:b/>
                <w:sz w:val="26"/>
                <w:szCs w:val="26"/>
              </w:rPr>
              <w:t xml:space="preserve">Article 5 para 1 – </w:t>
            </w:r>
            <w:r w:rsidR="0073586E" w:rsidRPr="00CF53DC">
              <w:rPr>
                <w:b/>
                <w:sz w:val="26"/>
                <w:szCs w:val="26"/>
              </w:rPr>
              <w:t xml:space="preserve">inclusion of microplastics </w:t>
            </w:r>
            <w:r w:rsidR="00D744B4" w:rsidRPr="00CF53DC">
              <w:rPr>
                <w:b/>
                <w:sz w:val="26"/>
                <w:szCs w:val="26"/>
              </w:rPr>
              <w:t xml:space="preserve">impact </w:t>
            </w:r>
          </w:p>
        </w:tc>
      </w:tr>
      <w:tr w:rsidR="00AD5810" w14:paraId="373A7341" w14:textId="77777777" w:rsidTr="007861BC">
        <w:trPr>
          <w:trHeight w:val="597"/>
        </w:trPr>
        <w:tc>
          <w:tcPr>
            <w:tcW w:w="3969" w:type="dxa"/>
            <w:shd w:val="clear" w:color="auto" w:fill="auto"/>
          </w:tcPr>
          <w:p w14:paraId="297C5EB4" w14:textId="6D7DDCEA" w:rsidR="00AD5810" w:rsidRPr="00CF53DC" w:rsidRDefault="00AD5810" w:rsidP="00CF53DC">
            <w:pPr>
              <w:autoSpaceDE w:val="0"/>
              <w:autoSpaceDN w:val="0"/>
              <w:adjustRightInd w:val="0"/>
              <w:spacing w:after="0"/>
              <w:jc w:val="center"/>
              <w:rPr>
                <w:rFonts w:cstheme="minorHAnsi"/>
                <w:b/>
                <w:sz w:val="20"/>
                <w:szCs w:val="20"/>
              </w:rPr>
            </w:pPr>
            <w:r w:rsidRPr="00CF53DC">
              <w:rPr>
                <w:rFonts w:cstheme="minorHAnsi"/>
                <w:b/>
                <w:sz w:val="20"/>
                <w:szCs w:val="20"/>
              </w:rPr>
              <w:t>COM Proposal</w:t>
            </w:r>
          </w:p>
          <w:p w14:paraId="6B6BE580" w14:textId="77777777" w:rsidR="000906EE" w:rsidRPr="00CF53DC" w:rsidRDefault="000906EE" w:rsidP="000906EE">
            <w:pPr>
              <w:pStyle w:val="Default"/>
              <w:jc w:val="both"/>
              <w:rPr>
                <w:color w:val="auto"/>
                <w:sz w:val="20"/>
                <w:szCs w:val="20"/>
              </w:rPr>
            </w:pPr>
            <w:r w:rsidRPr="00CF53DC">
              <w:rPr>
                <w:color w:val="auto"/>
                <w:sz w:val="20"/>
                <w:szCs w:val="20"/>
              </w:rPr>
              <w:t xml:space="preserve">Packaging shall be so manufactured that the presence and concentration of substances of concern as constituents of the packaging material or of any of the packaging components is minimised, including with regard to their presence in emissions and any outcomes of waste management, such as secondary raw materials, ashes or other material for final disposal. </w:t>
            </w:r>
          </w:p>
          <w:p w14:paraId="2349FA81" w14:textId="77777777" w:rsidR="00AD5810" w:rsidRPr="00CF53DC" w:rsidRDefault="00AD5810" w:rsidP="00D70E3B">
            <w:pPr>
              <w:autoSpaceDE w:val="0"/>
              <w:autoSpaceDN w:val="0"/>
              <w:adjustRightInd w:val="0"/>
              <w:spacing w:after="0"/>
              <w:rPr>
                <w:b/>
                <w:iCs/>
                <w:sz w:val="20"/>
                <w:szCs w:val="20"/>
              </w:rPr>
            </w:pPr>
          </w:p>
        </w:tc>
        <w:tc>
          <w:tcPr>
            <w:tcW w:w="4536" w:type="dxa"/>
            <w:shd w:val="clear" w:color="auto" w:fill="FF9B9B"/>
          </w:tcPr>
          <w:p w14:paraId="149BD358" w14:textId="0FA88CF8" w:rsidR="00AD5810" w:rsidRPr="00CF53DC" w:rsidRDefault="00AD5810" w:rsidP="00CF53DC">
            <w:pPr>
              <w:autoSpaceDE w:val="0"/>
              <w:autoSpaceDN w:val="0"/>
              <w:adjustRightInd w:val="0"/>
              <w:spacing w:after="0"/>
              <w:jc w:val="center"/>
              <w:rPr>
                <w:b/>
                <w:sz w:val="20"/>
                <w:szCs w:val="20"/>
              </w:rPr>
            </w:pPr>
            <w:r w:rsidRPr="00CF53DC">
              <w:rPr>
                <w:b/>
                <w:sz w:val="20"/>
                <w:szCs w:val="20"/>
              </w:rPr>
              <w:t>EP Mandate</w:t>
            </w:r>
          </w:p>
          <w:p w14:paraId="441ECB61" w14:textId="77777777" w:rsidR="00775C1B" w:rsidRPr="00CF53DC" w:rsidRDefault="00775C1B" w:rsidP="00775C1B">
            <w:pPr>
              <w:pStyle w:val="Default"/>
              <w:jc w:val="both"/>
              <w:rPr>
                <w:color w:val="auto"/>
                <w:sz w:val="20"/>
                <w:szCs w:val="20"/>
              </w:rPr>
            </w:pPr>
            <w:r w:rsidRPr="00CF53DC">
              <w:rPr>
                <w:color w:val="auto"/>
                <w:sz w:val="20"/>
                <w:szCs w:val="20"/>
              </w:rPr>
              <w:t xml:space="preserve">Packaging shall be so manufactured that the presence and concentration of substances of concern as constituents of the packaging material or of any of the packaging components is minimised, including with regard to their presence in emissions and any outcomes of waste management, such as secondary raw </w:t>
            </w:r>
            <w:r w:rsidRPr="00D72832">
              <w:rPr>
                <w:color w:val="auto"/>
                <w:sz w:val="20"/>
                <w:szCs w:val="20"/>
              </w:rPr>
              <w:t>materials, ashes or other material for final disposal</w:t>
            </w:r>
            <w:r w:rsidRPr="00D72832">
              <w:rPr>
                <w:b/>
                <w:bCs/>
                <w:i/>
                <w:iCs/>
                <w:color w:val="auto"/>
                <w:sz w:val="20"/>
                <w:szCs w:val="20"/>
                <w:highlight w:val="red"/>
              </w:rPr>
              <w:t>, and the adverse impact on the environment due to micro-plastics</w:t>
            </w:r>
            <w:r w:rsidRPr="00D72832">
              <w:rPr>
                <w:color w:val="auto"/>
                <w:sz w:val="20"/>
                <w:szCs w:val="20"/>
                <w:highlight w:val="red"/>
              </w:rPr>
              <w:t>.</w:t>
            </w:r>
            <w:r w:rsidRPr="00CF53DC">
              <w:rPr>
                <w:color w:val="auto"/>
                <w:sz w:val="20"/>
                <w:szCs w:val="20"/>
              </w:rPr>
              <w:t xml:space="preserve"> </w:t>
            </w:r>
          </w:p>
          <w:p w14:paraId="708DD223" w14:textId="77777777" w:rsidR="00AD5810" w:rsidRPr="00CF53DC" w:rsidRDefault="00AD5810" w:rsidP="000906EE">
            <w:pPr>
              <w:pStyle w:val="Default"/>
              <w:jc w:val="both"/>
              <w:rPr>
                <w:b/>
                <w:iCs/>
                <w:sz w:val="20"/>
                <w:szCs w:val="20"/>
              </w:rPr>
            </w:pPr>
          </w:p>
        </w:tc>
        <w:tc>
          <w:tcPr>
            <w:tcW w:w="4111" w:type="dxa"/>
            <w:shd w:val="clear" w:color="auto" w:fill="auto"/>
          </w:tcPr>
          <w:p w14:paraId="649411B5" w14:textId="09A9A4FB" w:rsidR="00AD5810" w:rsidRPr="00CF53DC" w:rsidRDefault="00AD5810" w:rsidP="00CF53DC">
            <w:pPr>
              <w:autoSpaceDE w:val="0"/>
              <w:autoSpaceDN w:val="0"/>
              <w:adjustRightInd w:val="0"/>
              <w:spacing w:after="0"/>
              <w:jc w:val="center"/>
              <w:rPr>
                <w:b/>
                <w:sz w:val="20"/>
                <w:szCs w:val="20"/>
              </w:rPr>
            </w:pPr>
            <w:r w:rsidRPr="00CF53DC">
              <w:rPr>
                <w:b/>
                <w:sz w:val="20"/>
                <w:szCs w:val="20"/>
              </w:rPr>
              <w:t>Council Mandat</w:t>
            </w:r>
            <w:r w:rsidR="00CF53DC">
              <w:rPr>
                <w:b/>
                <w:sz w:val="20"/>
                <w:szCs w:val="20"/>
              </w:rPr>
              <w:t>e</w:t>
            </w:r>
          </w:p>
          <w:p w14:paraId="60CEF6FB" w14:textId="6D2E57C3" w:rsidR="00AD5810" w:rsidRPr="00CF53DC" w:rsidRDefault="00AD5810" w:rsidP="006B2778">
            <w:pPr>
              <w:pStyle w:val="Default"/>
              <w:jc w:val="both"/>
              <w:rPr>
                <w:rFonts w:asciiTheme="minorHAnsi" w:hAnsiTheme="minorHAnsi" w:cstheme="minorHAnsi"/>
                <w:sz w:val="20"/>
                <w:szCs w:val="20"/>
              </w:rPr>
            </w:pPr>
            <w:r w:rsidRPr="00CF53DC">
              <w:rPr>
                <w:rFonts w:asciiTheme="minorHAnsi" w:hAnsiTheme="minorHAnsi" w:cstheme="minorHAnsi"/>
                <w:b/>
                <w:bCs/>
                <w:sz w:val="20"/>
                <w:szCs w:val="20"/>
              </w:rPr>
              <w:t xml:space="preserve"> </w:t>
            </w:r>
            <w:r w:rsidR="006B2778" w:rsidRPr="00CF53DC">
              <w:rPr>
                <w:sz w:val="20"/>
                <w:szCs w:val="20"/>
              </w:rPr>
              <w:t xml:space="preserve">Packaging </w:t>
            </w:r>
            <w:r w:rsidR="006B2778" w:rsidRPr="00CF53DC">
              <w:rPr>
                <w:b/>
                <w:bCs/>
                <w:sz w:val="20"/>
                <w:szCs w:val="20"/>
              </w:rPr>
              <w:t xml:space="preserve">placed on the market </w:t>
            </w:r>
            <w:r w:rsidR="006B2778" w:rsidRPr="00CF53DC">
              <w:rPr>
                <w:sz w:val="20"/>
                <w:szCs w:val="20"/>
              </w:rPr>
              <w:t xml:space="preserve">shall be so manufactured that the presence and concentration of substances of concern as constituents of the packaging material or of any of the packaging components is minimised, including with regard to their presence in emissions and any outcomes of waste management, such as secondary raw materials, ashes or other material for final disposal. </w:t>
            </w:r>
          </w:p>
        </w:tc>
        <w:tc>
          <w:tcPr>
            <w:tcW w:w="3260" w:type="dxa"/>
            <w:shd w:val="clear" w:color="auto" w:fill="auto"/>
          </w:tcPr>
          <w:p w14:paraId="7EE5F2C4" w14:textId="77777777" w:rsidR="00AD5810" w:rsidRPr="00CF53DC" w:rsidRDefault="00AD5810" w:rsidP="00D70E3B">
            <w:pPr>
              <w:autoSpaceDE w:val="0"/>
              <w:autoSpaceDN w:val="0"/>
              <w:adjustRightInd w:val="0"/>
              <w:spacing w:after="0"/>
              <w:jc w:val="center"/>
              <w:rPr>
                <w:b/>
                <w:sz w:val="20"/>
                <w:szCs w:val="20"/>
              </w:rPr>
            </w:pPr>
            <w:r w:rsidRPr="00CF53DC">
              <w:rPr>
                <w:b/>
                <w:sz w:val="20"/>
                <w:szCs w:val="20"/>
              </w:rPr>
              <w:t>A.I.S.E. position</w:t>
            </w:r>
          </w:p>
          <w:p w14:paraId="7DA691DE" w14:textId="77777777" w:rsidR="00AD5810" w:rsidRDefault="00AD5810" w:rsidP="00D70E3B">
            <w:pPr>
              <w:autoSpaceDE w:val="0"/>
              <w:autoSpaceDN w:val="0"/>
              <w:adjustRightInd w:val="0"/>
              <w:spacing w:after="0"/>
              <w:jc w:val="left"/>
              <w:rPr>
                <w:b/>
                <w:sz w:val="20"/>
                <w:szCs w:val="20"/>
              </w:rPr>
            </w:pPr>
            <w:r w:rsidRPr="00CF53DC">
              <w:rPr>
                <w:b/>
                <w:sz w:val="20"/>
                <w:szCs w:val="20"/>
              </w:rPr>
              <w:t xml:space="preserve">  </w:t>
            </w:r>
          </w:p>
          <w:p w14:paraId="569F4582" w14:textId="6CF90274" w:rsidR="009A1D68" w:rsidRPr="00CF53DC" w:rsidRDefault="00D72832" w:rsidP="00D70E3B">
            <w:pPr>
              <w:autoSpaceDE w:val="0"/>
              <w:autoSpaceDN w:val="0"/>
              <w:adjustRightInd w:val="0"/>
              <w:spacing w:after="0"/>
              <w:jc w:val="left"/>
              <w:rPr>
                <w:b/>
                <w:sz w:val="20"/>
                <w:szCs w:val="20"/>
              </w:rPr>
            </w:pPr>
            <w:r>
              <w:rPr>
                <w:b/>
                <w:sz w:val="20"/>
                <w:szCs w:val="20"/>
              </w:rPr>
              <w:t xml:space="preserve">Against EP </w:t>
            </w:r>
            <w:r w:rsidR="0009020D">
              <w:rPr>
                <w:b/>
                <w:sz w:val="20"/>
                <w:szCs w:val="20"/>
              </w:rPr>
              <w:t xml:space="preserve">position including </w:t>
            </w:r>
            <w:r w:rsidR="00190860">
              <w:rPr>
                <w:b/>
                <w:sz w:val="20"/>
                <w:szCs w:val="20"/>
              </w:rPr>
              <w:t xml:space="preserve">minimisation of </w:t>
            </w:r>
            <w:r w:rsidR="00AA2617">
              <w:rPr>
                <w:b/>
                <w:sz w:val="20"/>
                <w:szCs w:val="20"/>
              </w:rPr>
              <w:t xml:space="preserve">substances due to </w:t>
            </w:r>
            <w:r w:rsidR="00190860">
              <w:rPr>
                <w:b/>
                <w:sz w:val="20"/>
                <w:szCs w:val="20"/>
              </w:rPr>
              <w:t xml:space="preserve">microplastics </w:t>
            </w:r>
            <w:r>
              <w:rPr>
                <w:b/>
                <w:sz w:val="20"/>
                <w:szCs w:val="20"/>
              </w:rPr>
              <w:t xml:space="preserve"> </w:t>
            </w:r>
          </w:p>
        </w:tc>
      </w:tr>
    </w:tbl>
    <w:p w14:paraId="32134FE5" w14:textId="77777777" w:rsidR="00CF53DC" w:rsidRPr="00591E8E" w:rsidRDefault="00CF53DC" w:rsidP="00591E8E">
      <w:pPr>
        <w:spacing w:after="0" w:line="259" w:lineRule="auto"/>
        <w:jc w:val="left"/>
        <w:rPr>
          <w:rFonts w:eastAsia="Times New Roman"/>
          <w:b/>
          <w:bCs/>
        </w:rPr>
      </w:pPr>
    </w:p>
    <w:p w14:paraId="7BCD1014" w14:textId="77777777" w:rsidR="00CF53DC" w:rsidRDefault="00CF53DC" w:rsidP="00CF53DC">
      <w:pPr>
        <w:pStyle w:val="Paragraphedeliste"/>
        <w:spacing w:after="0" w:line="259" w:lineRule="auto"/>
        <w:jc w:val="left"/>
        <w:rPr>
          <w:rFonts w:eastAsia="Times New Roman"/>
          <w:b/>
          <w:bCs/>
        </w:rPr>
      </w:pPr>
    </w:p>
    <w:p w14:paraId="05BA2869" w14:textId="77777777" w:rsidR="000B472F" w:rsidRDefault="000B472F" w:rsidP="00CF53DC">
      <w:pPr>
        <w:pStyle w:val="Paragraphedeliste"/>
        <w:spacing w:after="0" w:line="259" w:lineRule="auto"/>
        <w:jc w:val="left"/>
        <w:rPr>
          <w:rFonts w:eastAsia="Times New Roman"/>
          <w:b/>
          <w:bCs/>
        </w:rPr>
      </w:pPr>
    </w:p>
    <w:p w14:paraId="2EF19F39" w14:textId="77777777" w:rsidR="000F1B4E" w:rsidRDefault="000F1B4E" w:rsidP="00CF53DC">
      <w:pPr>
        <w:pStyle w:val="Paragraphedeliste"/>
        <w:spacing w:after="0" w:line="259" w:lineRule="auto"/>
        <w:jc w:val="left"/>
        <w:rPr>
          <w:rFonts w:eastAsia="Times New Roman"/>
          <w:b/>
          <w:bCs/>
        </w:rPr>
      </w:pPr>
    </w:p>
    <w:p w14:paraId="3FA7726B" w14:textId="77777777" w:rsidR="000B472F" w:rsidRPr="00CF53DC" w:rsidRDefault="000B472F" w:rsidP="00CF53DC">
      <w:pPr>
        <w:pStyle w:val="Paragraphedeliste"/>
        <w:spacing w:after="0" w:line="259" w:lineRule="auto"/>
        <w:jc w:val="left"/>
        <w:rPr>
          <w:rFonts w:eastAsia="Times New Roman"/>
          <w:b/>
          <w:bCs/>
        </w:rPr>
      </w:pPr>
    </w:p>
    <w:p w14:paraId="6891D0DE" w14:textId="178889CB" w:rsidR="0013747F" w:rsidRPr="00DF4CCD" w:rsidRDefault="00EF229C" w:rsidP="00784C72">
      <w:pPr>
        <w:pStyle w:val="Paragraphedeliste"/>
        <w:numPr>
          <w:ilvl w:val="0"/>
          <w:numId w:val="39"/>
        </w:numPr>
        <w:tabs>
          <w:tab w:val="num" w:pos="720"/>
        </w:tabs>
        <w:spacing w:after="0" w:line="259" w:lineRule="auto"/>
        <w:jc w:val="left"/>
        <w:rPr>
          <w:rFonts w:eastAsia="Times New Roman"/>
          <w:b/>
          <w:bCs/>
        </w:rPr>
      </w:pPr>
      <w:r w:rsidRPr="00EF229C">
        <w:rPr>
          <w:rFonts w:eastAsia="Times New Roman"/>
          <w:b/>
          <w:color w:val="007576" w:themeColor="accent1"/>
          <w:sz w:val="32"/>
          <w:szCs w:val="32"/>
        </w:rPr>
        <w:t>RECYCLABIL</w:t>
      </w:r>
      <w:r w:rsidR="006A17F3">
        <w:rPr>
          <w:rFonts w:eastAsia="Times New Roman"/>
          <w:b/>
          <w:color w:val="007576" w:themeColor="accent1"/>
          <w:sz w:val="32"/>
          <w:szCs w:val="32"/>
        </w:rPr>
        <w:t xml:space="preserve">E </w:t>
      </w:r>
      <w:r w:rsidRPr="00EF229C">
        <w:rPr>
          <w:rFonts w:eastAsia="Times New Roman"/>
          <w:b/>
          <w:color w:val="007576" w:themeColor="accent1"/>
          <w:sz w:val="32"/>
          <w:szCs w:val="32"/>
        </w:rPr>
        <w:t xml:space="preserve">PACKAGING </w:t>
      </w:r>
    </w:p>
    <w:tbl>
      <w:tblPr>
        <w:tblStyle w:val="Grilledutableau"/>
        <w:tblW w:w="15876" w:type="dxa"/>
        <w:tblInd w:w="-572" w:type="dxa"/>
        <w:shd w:val="clear" w:color="auto" w:fill="FFFFFF" w:themeFill="background1"/>
        <w:tblLook w:val="04A0" w:firstRow="1" w:lastRow="0" w:firstColumn="1" w:lastColumn="0" w:noHBand="0" w:noVBand="1"/>
      </w:tblPr>
      <w:tblGrid>
        <w:gridCol w:w="3969"/>
        <w:gridCol w:w="4536"/>
        <w:gridCol w:w="4111"/>
        <w:gridCol w:w="3260"/>
      </w:tblGrid>
      <w:tr w:rsidR="0013747F" w:rsidRPr="00DE3AE7" w14:paraId="1578588B" w14:textId="77777777" w:rsidTr="007861BC">
        <w:trPr>
          <w:trHeight w:val="337"/>
        </w:trPr>
        <w:tc>
          <w:tcPr>
            <w:tcW w:w="15876" w:type="dxa"/>
            <w:gridSpan w:val="4"/>
            <w:shd w:val="clear" w:color="auto" w:fill="auto"/>
          </w:tcPr>
          <w:p w14:paraId="6E8C3FCC" w14:textId="0B127B41" w:rsidR="0013747F" w:rsidRPr="00CF53DC" w:rsidRDefault="0013747F" w:rsidP="00D70E3B">
            <w:pPr>
              <w:autoSpaceDE w:val="0"/>
              <w:autoSpaceDN w:val="0"/>
              <w:adjustRightInd w:val="0"/>
              <w:spacing w:after="0"/>
              <w:jc w:val="left"/>
              <w:rPr>
                <w:b/>
                <w:sz w:val="26"/>
                <w:szCs w:val="26"/>
              </w:rPr>
            </w:pPr>
            <w:r w:rsidRPr="00CF53DC">
              <w:rPr>
                <w:b/>
                <w:sz w:val="26"/>
                <w:szCs w:val="26"/>
              </w:rPr>
              <w:t xml:space="preserve">Article </w:t>
            </w:r>
            <w:r w:rsidR="00106F7C" w:rsidRPr="00CF53DC">
              <w:rPr>
                <w:b/>
                <w:sz w:val="26"/>
                <w:szCs w:val="26"/>
              </w:rPr>
              <w:t xml:space="preserve">6 para 2 </w:t>
            </w:r>
            <w:r w:rsidR="00DA3EB0" w:rsidRPr="00CF53DC">
              <w:rPr>
                <w:b/>
                <w:sz w:val="26"/>
                <w:szCs w:val="26"/>
              </w:rPr>
              <w:t xml:space="preserve">sub 2 </w:t>
            </w:r>
            <w:r w:rsidRPr="00CF53DC">
              <w:rPr>
                <w:b/>
                <w:sz w:val="26"/>
                <w:szCs w:val="26"/>
              </w:rPr>
              <w:t xml:space="preserve">– </w:t>
            </w:r>
            <w:r w:rsidR="00797A43" w:rsidRPr="00CF53DC">
              <w:rPr>
                <w:b/>
                <w:sz w:val="26"/>
                <w:szCs w:val="26"/>
              </w:rPr>
              <w:t xml:space="preserve">timeline of </w:t>
            </w:r>
            <w:r w:rsidR="006A17F3" w:rsidRPr="00CF53DC">
              <w:rPr>
                <w:b/>
                <w:sz w:val="26"/>
                <w:szCs w:val="26"/>
              </w:rPr>
              <w:t>recy</w:t>
            </w:r>
            <w:r w:rsidR="00272F22" w:rsidRPr="00CF53DC">
              <w:rPr>
                <w:b/>
                <w:sz w:val="26"/>
                <w:szCs w:val="26"/>
              </w:rPr>
              <w:t xml:space="preserve">cling and recyclability at scale </w:t>
            </w:r>
            <w:r w:rsidR="00797A43" w:rsidRPr="00CF53DC">
              <w:rPr>
                <w:b/>
                <w:sz w:val="26"/>
                <w:szCs w:val="26"/>
              </w:rPr>
              <w:t>criteria</w:t>
            </w:r>
          </w:p>
        </w:tc>
      </w:tr>
      <w:tr w:rsidR="0013747F" w14:paraId="07B57D50" w14:textId="77777777" w:rsidTr="007861BC">
        <w:trPr>
          <w:trHeight w:val="597"/>
        </w:trPr>
        <w:tc>
          <w:tcPr>
            <w:tcW w:w="3969" w:type="dxa"/>
            <w:shd w:val="clear" w:color="auto" w:fill="auto"/>
          </w:tcPr>
          <w:p w14:paraId="4D18C28B" w14:textId="5E63EFB2" w:rsidR="0013747F" w:rsidRPr="00CF53DC" w:rsidRDefault="0013747F" w:rsidP="00CF53DC">
            <w:pPr>
              <w:autoSpaceDE w:val="0"/>
              <w:autoSpaceDN w:val="0"/>
              <w:adjustRightInd w:val="0"/>
              <w:spacing w:after="0"/>
              <w:jc w:val="center"/>
              <w:rPr>
                <w:rFonts w:cstheme="minorHAnsi"/>
                <w:b/>
                <w:sz w:val="20"/>
                <w:szCs w:val="20"/>
              </w:rPr>
            </w:pPr>
            <w:r w:rsidRPr="00CF53DC">
              <w:rPr>
                <w:rFonts w:cstheme="minorHAnsi"/>
                <w:b/>
                <w:sz w:val="20"/>
                <w:szCs w:val="20"/>
              </w:rPr>
              <w:t>COM Proposal</w:t>
            </w:r>
          </w:p>
          <w:p w14:paraId="21122706" w14:textId="08E88AD8" w:rsidR="004C207A" w:rsidRPr="00CF53DC" w:rsidRDefault="004C207A" w:rsidP="004C207A">
            <w:pPr>
              <w:pStyle w:val="Default"/>
              <w:jc w:val="both"/>
              <w:rPr>
                <w:sz w:val="20"/>
                <w:szCs w:val="20"/>
              </w:rPr>
            </w:pPr>
            <w:r w:rsidRPr="00CF53DC">
              <w:rPr>
                <w:sz w:val="20"/>
                <w:szCs w:val="20"/>
              </w:rPr>
              <w:t>Point (a) shall apply from 1 January 2030 and point (e) shall apply from 1 January 2035</w:t>
            </w:r>
            <w:r w:rsidR="00605D21" w:rsidRPr="00CF53DC">
              <w:rPr>
                <w:rStyle w:val="Appelnotedebasdep"/>
                <w:sz w:val="20"/>
                <w:szCs w:val="20"/>
              </w:rPr>
              <w:footnoteReference w:id="4"/>
            </w:r>
            <w:r w:rsidRPr="00CF53DC">
              <w:rPr>
                <w:sz w:val="20"/>
                <w:szCs w:val="20"/>
              </w:rPr>
              <w:t xml:space="preserve">. </w:t>
            </w:r>
          </w:p>
          <w:p w14:paraId="02E88786" w14:textId="77777777" w:rsidR="0013747F" w:rsidRPr="00CF53DC" w:rsidRDefault="0013747F" w:rsidP="00797A43">
            <w:pPr>
              <w:pStyle w:val="Default"/>
              <w:jc w:val="both"/>
              <w:rPr>
                <w:b/>
                <w:iCs/>
                <w:sz w:val="20"/>
                <w:szCs w:val="20"/>
              </w:rPr>
            </w:pPr>
          </w:p>
        </w:tc>
        <w:tc>
          <w:tcPr>
            <w:tcW w:w="4536" w:type="dxa"/>
            <w:shd w:val="clear" w:color="auto" w:fill="auto"/>
          </w:tcPr>
          <w:p w14:paraId="77C8946E" w14:textId="3BF8F709" w:rsidR="00380434" w:rsidRPr="00CF53DC" w:rsidRDefault="0013747F" w:rsidP="00CF53DC">
            <w:pPr>
              <w:autoSpaceDE w:val="0"/>
              <w:autoSpaceDN w:val="0"/>
              <w:adjustRightInd w:val="0"/>
              <w:spacing w:after="0"/>
              <w:jc w:val="center"/>
              <w:rPr>
                <w:b/>
                <w:sz w:val="20"/>
                <w:szCs w:val="20"/>
              </w:rPr>
            </w:pPr>
            <w:r w:rsidRPr="00CF53DC">
              <w:rPr>
                <w:b/>
                <w:sz w:val="20"/>
                <w:szCs w:val="20"/>
              </w:rPr>
              <w:t>EP Mandate</w:t>
            </w:r>
          </w:p>
          <w:p w14:paraId="2171D0F5" w14:textId="2BB52220" w:rsidR="00380434" w:rsidRPr="00CF53DC" w:rsidRDefault="00380434" w:rsidP="00380434">
            <w:pPr>
              <w:pStyle w:val="Default"/>
              <w:jc w:val="both"/>
              <w:rPr>
                <w:color w:val="auto"/>
                <w:sz w:val="20"/>
                <w:szCs w:val="20"/>
              </w:rPr>
            </w:pPr>
            <w:r w:rsidRPr="00CF53DC">
              <w:rPr>
                <w:i/>
                <w:iCs/>
                <w:strike/>
                <w:color w:val="auto"/>
                <w:sz w:val="20"/>
                <w:szCs w:val="20"/>
              </w:rPr>
              <w:t>Point (a)</w:t>
            </w:r>
            <w:r w:rsidRPr="00CF53DC">
              <w:rPr>
                <w:i/>
                <w:iCs/>
                <w:color w:val="auto"/>
                <w:sz w:val="20"/>
                <w:szCs w:val="20"/>
              </w:rPr>
              <w:t xml:space="preserve"> </w:t>
            </w:r>
            <w:r w:rsidRPr="00CF53DC">
              <w:rPr>
                <w:b/>
                <w:bCs/>
                <w:i/>
                <w:iCs/>
                <w:color w:val="auto"/>
                <w:sz w:val="20"/>
                <w:szCs w:val="20"/>
              </w:rPr>
              <w:t xml:space="preserve">Points (a) to (d) </w:t>
            </w:r>
            <w:r w:rsidRPr="00CF53DC">
              <w:rPr>
                <w:color w:val="auto"/>
                <w:sz w:val="20"/>
                <w:szCs w:val="20"/>
              </w:rPr>
              <w:t xml:space="preserve">shall apply from </w:t>
            </w:r>
            <w:r w:rsidRPr="00CF53DC">
              <w:rPr>
                <w:i/>
                <w:iCs/>
                <w:strike/>
                <w:color w:val="auto"/>
                <w:sz w:val="20"/>
                <w:szCs w:val="20"/>
              </w:rPr>
              <w:t>1 January 2030</w:t>
            </w:r>
            <w:r w:rsidR="00B371AF" w:rsidRPr="00CF53DC">
              <w:rPr>
                <w:i/>
                <w:strike/>
                <w:color w:val="auto"/>
                <w:sz w:val="20"/>
                <w:szCs w:val="20"/>
              </w:rPr>
              <w:t xml:space="preserve"> </w:t>
            </w:r>
            <w:r w:rsidRPr="00CF53DC">
              <w:rPr>
                <w:b/>
                <w:bCs/>
                <w:i/>
                <w:iCs/>
                <w:color w:val="auto"/>
                <w:sz w:val="20"/>
                <w:szCs w:val="20"/>
              </w:rPr>
              <w:t xml:space="preserve">36 months after the date of publication of the delegated acts referred to in paragraph 4 </w:t>
            </w:r>
            <w:r w:rsidRPr="00CF53DC">
              <w:rPr>
                <w:color w:val="auto"/>
                <w:sz w:val="20"/>
                <w:szCs w:val="20"/>
              </w:rPr>
              <w:t xml:space="preserve">and point (e) shall apply from </w:t>
            </w:r>
            <w:r w:rsidRPr="00CF53DC">
              <w:rPr>
                <w:i/>
                <w:iCs/>
                <w:strike/>
                <w:color w:val="auto"/>
                <w:sz w:val="20"/>
                <w:szCs w:val="20"/>
              </w:rPr>
              <w:t>1 January 2035</w:t>
            </w:r>
            <w:r w:rsidR="00B371AF" w:rsidRPr="00CF53DC">
              <w:rPr>
                <w:i/>
                <w:strike/>
                <w:color w:val="auto"/>
                <w:sz w:val="20"/>
                <w:szCs w:val="20"/>
              </w:rPr>
              <w:t xml:space="preserve"> </w:t>
            </w:r>
            <w:r w:rsidRPr="00CF53DC">
              <w:rPr>
                <w:b/>
                <w:bCs/>
                <w:i/>
                <w:iCs/>
                <w:color w:val="auto"/>
                <w:sz w:val="20"/>
                <w:szCs w:val="20"/>
              </w:rPr>
              <w:t>36 months after the date of publication of the delegated acts referred to in paragraph 6</w:t>
            </w:r>
            <w:r w:rsidRPr="00CF53DC">
              <w:rPr>
                <w:color w:val="auto"/>
                <w:sz w:val="20"/>
                <w:szCs w:val="20"/>
              </w:rPr>
              <w:t xml:space="preserve">. </w:t>
            </w:r>
          </w:p>
          <w:p w14:paraId="4DC17E97" w14:textId="5E0210E2" w:rsidR="0013747F" w:rsidRPr="00CF53DC" w:rsidRDefault="0013747F" w:rsidP="00106326">
            <w:pPr>
              <w:pStyle w:val="Default"/>
              <w:jc w:val="both"/>
              <w:rPr>
                <w:b/>
                <w:iCs/>
                <w:sz w:val="20"/>
                <w:szCs w:val="20"/>
              </w:rPr>
            </w:pPr>
          </w:p>
        </w:tc>
        <w:tc>
          <w:tcPr>
            <w:tcW w:w="4111" w:type="dxa"/>
            <w:shd w:val="clear" w:color="auto" w:fill="B1E8AA"/>
          </w:tcPr>
          <w:p w14:paraId="04CB3157" w14:textId="5E5F5921" w:rsidR="00106326" w:rsidRPr="00CF53DC" w:rsidRDefault="0013747F" w:rsidP="00CF53DC">
            <w:pPr>
              <w:autoSpaceDE w:val="0"/>
              <w:autoSpaceDN w:val="0"/>
              <w:adjustRightInd w:val="0"/>
              <w:spacing w:after="0"/>
              <w:jc w:val="center"/>
              <w:rPr>
                <w:b/>
                <w:sz w:val="20"/>
                <w:szCs w:val="20"/>
              </w:rPr>
            </w:pPr>
            <w:r w:rsidRPr="00CF53DC">
              <w:rPr>
                <w:b/>
                <w:sz w:val="20"/>
                <w:szCs w:val="20"/>
              </w:rPr>
              <w:t>Council Mandate</w:t>
            </w:r>
          </w:p>
          <w:p w14:paraId="575E934F" w14:textId="336CFC56" w:rsidR="0024704D" w:rsidRPr="00CF53DC" w:rsidRDefault="0013747F" w:rsidP="0024704D">
            <w:pPr>
              <w:pStyle w:val="Default"/>
              <w:jc w:val="both"/>
              <w:rPr>
                <w:rFonts w:asciiTheme="minorHAnsi" w:hAnsiTheme="minorHAnsi" w:cstheme="minorHAnsi"/>
                <w:sz w:val="20"/>
                <w:szCs w:val="20"/>
              </w:rPr>
            </w:pPr>
            <w:r w:rsidRPr="00CF53DC">
              <w:rPr>
                <w:sz w:val="20"/>
                <w:szCs w:val="20"/>
              </w:rPr>
              <w:t xml:space="preserve"> </w:t>
            </w:r>
            <w:r w:rsidR="00FD722B" w:rsidRPr="00CF53DC">
              <w:rPr>
                <w:b/>
                <w:sz w:val="20"/>
                <w:szCs w:val="20"/>
              </w:rPr>
              <w:t>2</w:t>
            </w:r>
            <w:r w:rsidR="003360D4" w:rsidRPr="00CF53DC">
              <w:rPr>
                <w:b/>
                <w:sz w:val="20"/>
                <w:szCs w:val="20"/>
              </w:rPr>
              <w:t>a</w:t>
            </w:r>
            <w:r w:rsidR="003360D4" w:rsidRPr="00CF53DC">
              <w:rPr>
                <w:sz w:val="20"/>
                <w:szCs w:val="20"/>
              </w:rPr>
              <w:t xml:space="preserve">. </w:t>
            </w:r>
            <w:r w:rsidR="0024704D" w:rsidRPr="00CF53DC">
              <w:rPr>
                <w:b/>
                <w:bCs/>
                <w:sz w:val="20"/>
                <w:szCs w:val="20"/>
              </w:rPr>
              <w:t xml:space="preserve">Paragraph 2, </w:t>
            </w:r>
            <w:r w:rsidR="0024704D" w:rsidRPr="00CF53DC">
              <w:rPr>
                <w:sz w:val="20"/>
                <w:szCs w:val="20"/>
              </w:rPr>
              <w:t>point (a)</w:t>
            </w:r>
            <w:r w:rsidR="0024704D" w:rsidRPr="00CF53DC">
              <w:rPr>
                <w:b/>
                <w:bCs/>
                <w:sz w:val="20"/>
                <w:szCs w:val="20"/>
              </w:rPr>
              <w:t xml:space="preserve">, </w:t>
            </w:r>
            <w:r w:rsidR="0024704D" w:rsidRPr="00CF53DC">
              <w:rPr>
                <w:sz w:val="20"/>
                <w:szCs w:val="20"/>
              </w:rPr>
              <w:t xml:space="preserve">shall apply from 1 January 2030 </w:t>
            </w:r>
            <w:r w:rsidR="0024704D" w:rsidRPr="00CF53DC">
              <w:rPr>
                <w:strike/>
                <w:sz w:val="20"/>
                <w:szCs w:val="20"/>
              </w:rPr>
              <w:t>and</w:t>
            </w:r>
            <w:r w:rsidR="00F34445" w:rsidRPr="00CF53DC">
              <w:rPr>
                <w:b/>
                <w:sz w:val="20"/>
                <w:szCs w:val="20"/>
              </w:rPr>
              <w:t xml:space="preserve"> </w:t>
            </w:r>
            <w:r w:rsidR="0024704D" w:rsidRPr="00CF53DC">
              <w:rPr>
                <w:b/>
                <w:bCs/>
                <w:sz w:val="20"/>
                <w:szCs w:val="20"/>
              </w:rPr>
              <w:t xml:space="preserve">or two years after the date entry into force of the implementing act referred to in paragraph 4, whichever is the latest. </w:t>
            </w:r>
          </w:p>
          <w:p w14:paraId="429F5D5F" w14:textId="19A5D20D" w:rsidR="0013747F" w:rsidRPr="00CF53DC" w:rsidRDefault="0024704D" w:rsidP="0024704D">
            <w:pPr>
              <w:pStyle w:val="Default"/>
              <w:jc w:val="both"/>
              <w:rPr>
                <w:rFonts w:asciiTheme="minorHAnsi" w:hAnsiTheme="minorHAnsi" w:cstheme="minorHAnsi"/>
                <w:sz w:val="20"/>
                <w:szCs w:val="20"/>
              </w:rPr>
            </w:pPr>
            <w:r w:rsidRPr="00CF53DC">
              <w:rPr>
                <w:b/>
                <w:bCs/>
                <w:sz w:val="20"/>
                <w:szCs w:val="20"/>
              </w:rPr>
              <w:t xml:space="preserve">Paragraph 2, </w:t>
            </w:r>
            <w:r w:rsidRPr="00CF53DC">
              <w:rPr>
                <w:sz w:val="20"/>
                <w:szCs w:val="20"/>
              </w:rPr>
              <w:t xml:space="preserve">point </w:t>
            </w:r>
            <w:r w:rsidRPr="00CF53DC">
              <w:rPr>
                <w:strike/>
                <w:sz w:val="20"/>
                <w:szCs w:val="20"/>
              </w:rPr>
              <w:t>(e)</w:t>
            </w:r>
            <w:r w:rsidRPr="00CF53DC">
              <w:rPr>
                <w:b/>
                <w:bCs/>
                <w:strike/>
                <w:sz w:val="20"/>
                <w:szCs w:val="20"/>
              </w:rPr>
              <w:t>(</w:t>
            </w:r>
            <w:r w:rsidRPr="00CF53DC">
              <w:rPr>
                <w:b/>
                <w:bCs/>
                <w:sz w:val="20"/>
                <w:szCs w:val="20"/>
              </w:rPr>
              <w:t>b)</w:t>
            </w:r>
            <w:r w:rsidR="00F34FB8" w:rsidRPr="00CF53DC">
              <w:rPr>
                <w:rStyle w:val="Appelnotedebasdep"/>
                <w:b/>
                <w:bCs/>
                <w:sz w:val="20"/>
                <w:szCs w:val="20"/>
              </w:rPr>
              <w:footnoteReference w:id="5"/>
            </w:r>
            <w:r w:rsidRPr="00CF53DC">
              <w:rPr>
                <w:b/>
                <w:bCs/>
                <w:sz w:val="20"/>
                <w:szCs w:val="20"/>
              </w:rPr>
              <w:t xml:space="preserve">, </w:t>
            </w:r>
            <w:r w:rsidRPr="00CF53DC">
              <w:rPr>
                <w:sz w:val="20"/>
                <w:szCs w:val="20"/>
              </w:rPr>
              <w:t xml:space="preserve">shall apply from 1 January 2035 </w:t>
            </w:r>
            <w:r w:rsidRPr="00CF53DC">
              <w:rPr>
                <w:b/>
                <w:bCs/>
                <w:sz w:val="20"/>
                <w:szCs w:val="20"/>
              </w:rPr>
              <w:t>or five years after the date entry into force of the implementing act referred to in paragraph 6, whichever is the latest</w:t>
            </w:r>
            <w:r w:rsidRPr="00CF53DC">
              <w:rPr>
                <w:sz w:val="20"/>
                <w:szCs w:val="20"/>
              </w:rPr>
              <w:t xml:space="preserve">. </w:t>
            </w:r>
          </w:p>
        </w:tc>
        <w:tc>
          <w:tcPr>
            <w:tcW w:w="3260" w:type="dxa"/>
            <w:shd w:val="clear" w:color="auto" w:fill="auto"/>
          </w:tcPr>
          <w:p w14:paraId="76CDD3F5" w14:textId="77777777" w:rsidR="0013747F" w:rsidRDefault="0013747F" w:rsidP="00D70E3B">
            <w:pPr>
              <w:autoSpaceDE w:val="0"/>
              <w:autoSpaceDN w:val="0"/>
              <w:adjustRightInd w:val="0"/>
              <w:spacing w:after="0"/>
              <w:jc w:val="center"/>
              <w:rPr>
                <w:b/>
              </w:rPr>
            </w:pPr>
            <w:r>
              <w:rPr>
                <w:b/>
              </w:rPr>
              <w:t>A.I.S.E. position</w:t>
            </w:r>
          </w:p>
          <w:p w14:paraId="1FF80788" w14:textId="77777777" w:rsidR="001714BC" w:rsidRDefault="001714BC" w:rsidP="00D70E3B">
            <w:pPr>
              <w:autoSpaceDE w:val="0"/>
              <w:autoSpaceDN w:val="0"/>
              <w:adjustRightInd w:val="0"/>
              <w:spacing w:after="0"/>
              <w:jc w:val="left"/>
              <w:rPr>
                <w:sz w:val="20"/>
                <w:szCs w:val="20"/>
                <w:u w:val="single"/>
              </w:rPr>
            </w:pPr>
          </w:p>
          <w:p w14:paraId="51496506" w14:textId="7008E2F7" w:rsidR="00E92AE5" w:rsidRPr="001714BC" w:rsidRDefault="001714BC" w:rsidP="001714BC">
            <w:pPr>
              <w:autoSpaceDE w:val="0"/>
              <w:autoSpaceDN w:val="0"/>
              <w:adjustRightInd w:val="0"/>
              <w:spacing w:after="0"/>
              <w:rPr>
                <w:b/>
                <w:sz w:val="20"/>
                <w:szCs w:val="20"/>
              </w:rPr>
            </w:pPr>
            <w:r w:rsidRPr="001714BC">
              <w:rPr>
                <w:sz w:val="20"/>
                <w:szCs w:val="20"/>
                <w:u w:val="single"/>
              </w:rPr>
              <w:t>Support Council positio</w:t>
            </w:r>
            <w:r w:rsidRPr="001714BC">
              <w:rPr>
                <w:sz w:val="20"/>
                <w:szCs w:val="20"/>
              </w:rPr>
              <w:t>n on the timeline setting design of recycling criteria by 2030 and recyclability at scale criteria by 2035</w:t>
            </w:r>
          </w:p>
        </w:tc>
      </w:tr>
      <w:tr w:rsidR="00D2618F" w14:paraId="35E79B4D" w14:textId="77777777" w:rsidTr="007861BC">
        <w:trPr>
          <w:trHeight w:val="163"/>
        </w:trPr>
        <w:tc>
          <w:tcPr>
            <w:tcW w:w="15876" w:type="dxa"/>
            <w:gridSpan w:val="4"/>
            <w:shd w:val="clear" w:color="auto" w:fill="auto"/>
          </w:tcPr>
          <w:p w14:paraId="5B53B8DB" w14:textId="72D418B2" w:rsidR="00D2618F" w:rsidRPr="00CF53DC" w:rsidRDefault="00D2618F" w:rsidP="00D2618F">
            <w:pPr>
              <w:autoSpaceDE w:val="0"/>
              <w:autoSpaceDN w:val="0"/>
              <w:adjustRightInd w:val="0"/>
              <w:spacing w:after="0"/>
              <w:jc w:val="left"/>
              <w:rPr>
                <w:b/>
                <w:sz w:val="26"/>
                <w:szCs w:val="26"/>
              </w:rPr>
            </w:pPr>
            <w:r w:rsidRPr="00CF53DC">
              <w:rPr>
                <w:b/>
                <w:sz w:val="26"/>
                <w:szCs w:val="26"/>
              </w:rPr>
              <w:t xml:space="preserve">Article 6 para 7 </w:t>
            </w:r>
            <w:r w:rsidR="00E93DFC" w:rsidRPr="00CF53DC">
              <w:rPr>
                <w:b/>
                <w:sz w:val="26"/>
                <w:szCs w:val="26"/>
              </w:rPr>
              <w:t xml:space="preserve">a </w:t>
            </w:r>
            <w:r w:rsidR="005246F4" w:rsidRPr="00CF53DC">
              <w:rPr>
                <w:b/>
                <w:sz w:val="26"/>
                <w:szCs w:val="26"/>
              </w:rPr>
              <w:t>–</w:t>
            </w:r>
            <w:r w:rsidR="00E93DFC" w:rsidRPr="00CF53DC">
              <w:rPr>
                <w:b/>
                <w:sz w:val="26"/>
                <w:szCs w:val="26"/>
              </w:rPr>
              <w:t xml:space="preserve"> </w:t>
            </w:r>
            <w:r w:rsidR="005246F4" w:rsidRPr="00CF53DC">
              <w:rPr>
                <w:b/>
                <w:sz w:val="26"/>
                <w:szCs w:val="26"/>
              </w:rPr>
              <w:t xml:space="preserve">closed loop recycling system </w:t>
            </w:r>
          </w:p>
        </w:tc>
      </w:tr>
      <w:tr w:rsidR="005246F4" w14:paraId="69680F11" w14:textId="77777777" w:rsidTr="007861BC">
        <w:trPr>
          <w:trHeight w:val="597"/>
        </w:trPr>
        <w:tc>
          <w:tcPr>
            <w:tcW w:w="3969" w:type="dxa"/>
            <w:shd w:val="clear" w:color="auto" w:fill="auto"/>
          </w:tcPr>
          <w:p w14:paraId="3B12A350" w14:textId="77777777" w:rsidR="005246F4" w:rsidRPr="00CF53DC" w:rsidRDefault="005246F4" w:rsidP="005246F4">
            <w:pPr>
              <w:autoSpaceDE w:val="0"/>
              <w:autoSpaceDN w:val="0"/>
              <w:adjustRightInd w:val="0"/>
              <w:spacing w:after="0"/>
              <w:jc w:val="center"/>
              <w:rPr>
                <w:rFonts w:cstheme="minorHAnsi"/>
                <w:b/>
                <w:sz w:val="20"/>
                <w:szCs w:val="20"/>
              </w:rPr>
            </w:pPr>
            <w:r w:rsidRPr="00CF53DC">
              <w:rPr>
                <w:rFonts w:cstheme="minorHAnsi"/>
                <w:b/>
                <w:sz w:val="20"/>
                <w:szCs w:val="20"/>
              </w:rPr>
              <w:t>COM Proposal</w:t>
            </w:r>
          </w:p>
          <w:p w14:paraId="1B6522B1" w14:textId="77777777" w:rsidR="005246F4" w:rsidRPr="00CF53DC" w:rsidRDefault="005246F4" w:rsidP="00D2618F">
            <w:pPr>
              <w:autoSpaceDE w:val="0"/>
              <w:autoSpaceDN w:val="0"/>
              <w:adjustRightInd w:val="0"/>
              <w:spacing w:after="0"/>
              <w:jc w:val="left"/>
              <w:rPr>
                <w:b/>
                <w:sz w:val="20"/>
                <w:szCs w:val="20"/>
              </w:rPr>
            </w:pPr>
          </w:p>
          <w:p w14:paraId="133EB578" w14:textId="77777777" w:rsidR="008D784E" w:rsidRDefault="008D784E" w:rsidP="00D2618F">
            <w:pPr>
              <w:autoSpaceDE w:val="0"/>
              <w:autoSpaceDN w:val="0"/>
              <w:adjustRightInd w:val="0"/>
              <w:spacing w:after="0"/>
              <w:jc w:val="left"/>
              <w:rPr>
                <w:b/>
                <w:sz w:val="20"/>
                <w:szCs w:val="20"/>
              </w:rPr>
            </w:pPr>
          </w:p>
          <w:p w14:paraId="236F6DD4" w14:textId="06AF8346" w:rsidR="008D784E" w:rsidRPr="00CF53DC" w:rsidRDefault="008D784E" w:rsidP="008D784E">
            <w:pPr>
              <w:autoSpaceDE w:val="0"/>
              <w:autoSpaceDN w:val="0"/>
              <w:adjustRightInd w:val="0"/>
              <w:spacing w:after="0"/>
              <w:rPr>
                <w:b/>
                <w:sz w:val="20"/>
                <w:szCs w:val="20"/>
              </w:rPr>
            </w:pPr>
          </w:p>
        </w:tc>
        <w:tc>
          <w:tcPr>
            <w:tcW w:w="4536" w:type="dxa"/>
            <w:shd w:val="clear" w:color="auto" w:fill="FF9B9B"/>
          </w:tcPr>
          <w:p w14:paraId="2CDA75A1" w14:textId="7791ADFB" w:rsidR="00DF4CCD" w:rsidRPr="00CF53DC" w:rsidRDefault="005246F4" w:rsidP="00DF4CCD">
            <w:pPr>
              <w:autoSpaceDE w:val="0"/>
              <w:autoSpaceDN w:val="0"/>
              <w:adjustRightInd w:val="0"/>
              <w:spacing w:after="0"/>
              <w:jc w:val="center"/>
              <w:rPr>
                <w:b/>
                <w:sz w:val="20"/>
                <w:szCs w:val="20"/>
              </w:rPr>
            </w:pPr>
            <w:r w:rsidRPr="00CF53DC">
              <w:rPr>
                <w:b/>
                <w:sz w:val="20"/>
                <w:szCs w:val="20"/>
              </w:rPr>
              <w:t>EP Mandate</w:t>
            </w:r>
          </w:p>
          <w:p w14:paraId="04D52C52" w14:textId="0BB13F5E" w:rsidR="005246F4" w:rsidRPr="00CF53DC" w:rsidRDefault="00DF4CCD" w:rsidP="00DF4CCD">
            <w:pPr>
              <w:pStyle w:val="Default"/>
              <w:jc w:val="both"/>
              <w:rPr>
                <w:color w:val="auto"/>
                <w:sz w:val="20"/>
                <w:szCs w:val="20"/>
              </w:rPr>
            </w:pPr>
            <w:r w:rsidRPr="00CF53DC">
              <w:rPr>
                <w:b/>
                <w:bCs/>
                <w:i/>
                <w:iCs/>
                <w:color w:val="auto"/>
                <w:sz w:val="20"/>
                <w:szCs w:val="20"/>
              </w:rPr>
              <w:t xml:space="preserve">a. Where proven to be environmentally beneficial and technically feasible, Member States may, especially through design of schemes established in compliance with Article 44, prioritise recycling of packaging so that it can be subsequently recycled and used in the same way or for a similar application, with minimal loss of quantity, quality or function, </w:t>
            </w:r>
            <w:r w:rsidRPr="007E1E42">
              <w:rPr>
                <w:b/>
                <w:bCs/>
                <w:i/>
                <w:iCs/>
                <w:color w:val="auto"/>
                <w:sz w:val="20"/>
                <w:szCs w:val="20"/>
                <w:highlight w:val="red"/>
              </w:rPr>
              <w:t>whereby producers obliged to meet recycled content targets can benefit from fair access to the material derived from the recycled packaging.</w:t>
            </w:r>
            <w:r w:rsidRPr="00CF53DC">
              <w:rPr>
                <w:b/>
                <w:bCs/>
                <w:i/>
                <w:iCs/>
                <w:color w:val="auto"/>
                <w:sz w:val="20"/>
                <w:szCs w:val="20"/>
              </w:rPr>
              <w:t xml:space="preserve"> </w:t>
            </w:r>
          </w:p>
        </w:tc>
        <w:tc>
          <w:tcPr>
            <w:tcW w:w="4111" w:type="dxa"/>
            <w:shd w:val="clear" w:color="auto" w:fill="auto"/>
          </w:tcPr>
          <w:p w14:paraId="11C8DD6A" w14:textId="77777777" w:rsidR="005246F4" w:rsidRPr="00CF53DC" w:rsidRDefault="005246F4" w:rsidP="005246F4">
            <w:pPr>
              <w:autoSpaceDE w:val="0"/>
              <w:autoSpaceDN w:val="0"/>
              <w:adjustRightInd w:val="0"/>
              <w:spacing w:after="0"/>
              <w:jc w:val="center"/>
              <w:rPr>
                <w:b/>
                <w:sz w:val="20"/>
                <w:szCs w:val="20"/>
              </w:rPr>
            </w:pPr>
            <w:r w:rsidRPr="00CF53DC">
              <w:rPr>
                <w:b/>
                <w:sz w:val="20"/>
                <w:szCs w:val="20"/>
              </w:rPr>
              <w:t>Council Mandate</w:t>
            </w:r>
          </w:p>
          <w:p w14:paraId="7B62C0F2" w14:textId="77777777" w:rsidR="005246F4" w:rsidRDefault="005246F4" w:rsidP="00D2618F">
            <w:pPr>
              <w:autoSpaceDE w:val="0"/>
              <w:autoSpaceDN w:val="0"/>
              <w:adjustRightInd w:val="0"/>
              <w:spacing w:after="0"/>
              <w:jc w:val="left"/>
              <w:rPr>
                <w:b/>
                <w:sz w:val="20"/>
                <w:szCs w:val="20"/>
              </w:rPr>
            </w:pPr>
          </w:p>
          <w:p w14:paraId="5568D86F" w14:textId="77777777" w:rsidR="00037209" w:rsidRDefault="00037209" w:rsidP="00D2618F">
            <w:pPr>
              <w:autoSpaceDE w:val="0"/>
              <w:autoSpaceDN w:val="0"/>
              <w:adjustRightInd w:val="0"/>
              <w:spacing w:after="0"/>
              <w:jc w:val="left"/>
              <w:rPr>
                <w:b/>
                <w:sz w:val="20"/>
                <w:szCs w:val="20"/>
              </w:rPr>
            </w:pPr>
          </w:p>
          <w:p w14:paraId="173E7B0C" w14:textId="77777777" w:rsidR="00037209" w:rsidRPr="00037209" w:rsidRDefault="00037209" w:rsidP="00037209">
            <w:pPr>
              <w:autoSpaceDE w:val="0"/>
              <w:autoSpaceDN w:val="0"/>
              <w:adjustRightInd w:val="0"/>
              <w:spacing w:after="0"/>
              <w:jc w:val="center"/>
              <w:rPr>
                <w:sz w:val="20"/>
                <w:szCs w:val="20"/>
              </w:rPr>
            </w:pPr>
            <w:r w:rsidRPr="00037209">
              <w:rPr>
                <w:sz w:val="20"/>
                <w:szCs w:val="20"/>
              </w:rPr>
              <w:t xml:space="preserve">No proposal on closed loop </w:t>
            </w:r>
          </w:p>
          <w:p w14:paraId="0111F227" w14:textId="46968378" w:rsidR="00037209" w:rsidRPr="00CF53DC" w:rsidRDefault="00037209" w:rsidP="00037209">
            <w:pPr>
              <w:autoSpaceDE w:val="0"/>
              <w:autoSpaceDN w:val="0"/>
              <w:adjustRightInd w:val="0"/>
              <w:spacing w:after="0"/>
              <w:jc w:val="center"/>
              <w:rPr>
                <w:b/>
                <w:sz w:val="20"/>
                <w:szCs w:val="20"/>
              </w:rPr>
            </w:pPr>
            <w:r w:rsidRPr="00037209">
              <w:rPr>
                <w:sz w:val="20"/>
                <w:szCs w:val="20"/>
              </w:rPr>
              <w:t>recycling system</w:t>
            </w:r>
          </w:p>
        </w:tc>
        <w:tc>
          <w:tcPr>
            <w:tcW w:w="3260" w:type="dxa"/>
            <w:shd w:val="clear" w:color="auto" w:fill="auto"/>
          </w:tcPr>
          <w:p w14:paraId="521A7E2C" w14:textId="77777777" w:rsidR="005246F4" w:rsidRPr="00CF53DC" w:rsidRDefault="005246F4" w:rsidP="005246F4">
            <w:pPr>
              <w:autoSpaceDE w:val="0"/>
              <w:autoSpaceDN w:val="0"/>
              <w:adjustRightInd w:val="0"/>
              <w:spacing w:after="0"/>
              <w:jc w:val="center"/>
              <w:rPr>
                <w:b/>
                <w:sz w:val="20"/>
                <w:szCs w:val="20"/>
              </w:rPr>
            </w:pPr>
            <w:r w:rsidRPr="00CF53DC">
              <w:rPr>
                <w:b/>
                <w:sz w:val="20"/>
                <w:szCs w:val="20"/>
              </w:rPr>
              <w:t>A.I.S.E. position</w:t>
            </w:r>
          </w:p>
          <w:p w14:paraId="4F5C8722" w14:textId="77777777" w:rsidR="005246F4" w:rsidRDefault="005246F4" w:rsidP="00D2618F">
            <w:pPr>
              <w:autoSpaceDE w:val="0"/>
              <w:autoSpaceDN w:val="0"/>
              <w:adjustRightInd w:val="0"/>
              <w:spacing w:after="0"/>
              <w:jc w:val="left"/>
              <w:rPr>
                <w:b/>
                <w:sz w:val="20"/>
                <w:szCs w:val="20"/>
              </w:rPr>
            </w:pPr>
          </w:p>
          <w:p w14:paraId="364133A2" w14:textId="77777777" w:rsidR="00927D73" w:rsidRPr="00927D73" w:rsidRDefault="002A1374" w:rsidP="00D2618F">
            <w:pPr>
              <w:autoSpaceDE w:val="0"/>
              <w:autoSpaceDN w:val="0"/>
              <w:adjustRightInd w:val="0"/>
              <w:spacing w:after="0"/>
              <w:jc w:val="left"/>
              <w:rPr>
                <w:sz w:val="20"/>
                <w:szCs w:val="20"/>
              </w:rPr>
            </w:pPr>
            <w:r w:rsidRPr="00927D73">
              <w:rPr>
                <w:sz w:val="20"/>
                <w:szCs w:val="20"/>
              </w:rPr>
              <w:t>Against having a closed loop recycling-system as</w:t>
            </w:r>
          </w:p>
          <w:p w14:paraId="02614A32" w14:textId="3696121A" w:rsidR="002A1374" w:rsidRPr="00CF53DC" w:rsidRDefault="002A1374" w:rsidP="00D2618F">
            <w:pPr>
              <w:autoSpaceDE w:val="0"/>
              <w:autoSpaceDN w:val="0"/>
              <w:adjustRightInd w:val="0"/>
              <w:spacing w:after="0"/>
              <w:jc w:val="left"/>
              <w:rPr>
                <w:b/>
                <w:sz w:val="20"/>
                <w:szCs w:val="20"/>
              </w:rPr>
            </w:pPr>
            <w:r w:rsidRPr="00927D73">
              <w:rPr>
                <w:sz w:val="20"/>
                <w:szCs w:val="20"/>
              </w:rPr>
              <w:t xml:space="preserve"> </w:t>
            </w:r>
            <w:r w:rsidR="00927D73" w:rsidRPr="00927D73">
              <w:rPr>
                <w:sz w:val="20"/>
                <w:szCs w:val="20"/>
              </w:rPr>
              <w:t>(only in the EP text)</w:t>
            </w:r>
          </w:p>
        </w:tc>
      </w:tr>
    </w:tbl>
    <w:p w14:paraId="17EDCED1" w14:textId="77777777" w:rsidR="00CF53DC" w:rsidRDefault="00CF53DC" w:rsidP="00CF53DC">
      <w:pPr>
        <w:tabs>
          <w:tab w:val="num" w:pos="720"/>
        </w:tabs>
        <w:spacing w:after="0" w:line="259" w:lineRule="auto"/>
        <w:jc w:val="left"/>
        <w:rPr>
          <w:rFonts w:eastAsia="Times New Roman"/>
          <w:b/>
          <w:bCs/>
        </w:rPr>
      </w:pPr>
    </w:p>
    <w:p w14:paraId="1883C98D" w14:textId="77777777" w:rsidR="00CF53DC" w:rsidRDefault="00CF53DC" w:rsidP="00CF53DC">
      <w:pPr>
        <w:tabs>
          <w:tab w:val="num" w:pos="720"/>
        </w:tabs>
        <w:spacing w:after="0" w:line="259" w:lineRule="auto"/>
        <w:jc w:val="left"/>
        <w:rPr>
          <w:rFonts w:eastAsia="Times New Roman"/>
          <w:b/>
          <w:bCs/>
        </w:rPr>
      </w:pPr>
    </w:p>
    <w:p w14:paraId="1FB011C9" w14:textId="77777777" w:rsidR="00974F35" w:rsidRDefault="00974F35" w:rsidP="00CF53DC">
      <w:pPr>
        <w:tabs>
          <w:tab w:val="num" w:pos="720"/>
        </w:tabs>
        <w:spacing w:after="0" w:line="259" w:lineRule="auto"/>
        <w:jc w:val="left"/>
        <w:rPr>
          <w:rFonts w:eastAsia="Times New Roman"/>
          <w:b/>
          <w:bCs/>
        </w:rPr>
      </w:pPr>
    </w:p>
    <w:p w14:paraId="15AC7E7F" w14:textId="77777777" w:rsidR="000B472F" w:rsidRPr="00CF53DC" w:rsidRDefault="000B472F" w:rsidP="00CF53DC">
      <w:pPr>
        <w:tabs>
          <w:tab w:val="num" w:pos="720"/>
        </w:tabs>
        <w:spacing w:after="0" w:line="259" w:lineRule="auto"/>
        <w:jc w:val="left"/>
        <w:rPr>
          <w:rFonts w:eastAsia="Times New Roman"/>
          <w:b/>
          <w:bCs/>
        </w:rPr>
      </w:pPr>
    </w:p>
    <w:p w14:paraId="7831233B" w14:textId="6AA6B154" w:rsidR="0063286E" w:rsidRPr="0063286E" w:rsidRDefault="0063286E" w:rsidP="00784C72">
      <w:pPr>
        <w:pStyle w:val="Paragraphedeliste"/>
        <w:numPr>
          <w:ilvl w:val="0"/>
          <w:numId w:val="39"/>
        </w:numPr>
        <w:spacing w:after="0" w:line="259" w:lineRule="auto"/>
        <w:ind w:left="360"/>
        <w:jc w:val="left"/>
        <w:rPr>
          <w:rFonts w:eastAsia="Times New Roman"/>
          <w:b/>
          <w:bCs/>
        </w:rPr>
      </w:pPr>
      <w:r w:rsidRPr="0063286E">
        <w:rPr>
          <w:rFonts w:eastAsia="Times New Roman"/>
          <w:b/>
          <w:color w:val="007576" w:themeColor="accent1"/>
          <w:sz w:val="32"/>
          <w:szCs w:val="32"/>
        </w:rPr>
        <w:t xml:space="preserve">MINUMUM RECYLCED CONTENT IN PLASTIC PACKAGING </w:t>
      </w:r>
    </w:p>
    <w:tbl>
      <w:tblPr>
        <w:tblStyle w:val="Grilledutableau"/>
        <w:tblW w:w="15876" w:type="dxa"/>
        <w:tblInd w:w="-572" w:type="dxa"/>
        <w:shd w:val="clear" w:color="auto" w:fill="FFFFFF" w:themeFill="background1"/>
        <w:tblLook w:val="04A0" w:firstRow="1" w:lastRow="0" w:firstColumn="1" w:lastColumn="0" w:noHBand="0" w:noVBand="1"/>
      </w:tblPr>
      <w:tblGrid>
        <w:gridCol w:w="3969"/>
        <w:gridCol w:w="4536"/>
        <w:gridCol w:w="4111"/>
        <w:gridCol w:w="3260"/>
      </w:tblGrid>
      <w:tr w:rsidR="0063286E" w:rsidRPr="00DE3AE7" w14:paraId="218C48AC" w14:textId="77777777" w:rsidTr="007861BC">
        <w:trPr>
          <w:trHeight w:val="337"/>
        </w:trPr>
        <w:tc>
          <w:tcPr>
            <w:tcW w:w="15876" w:type="dxa"/>
            <w:gridSpan w:val="4"/>
            <w:shd w:val="clear" w:color="auto" w:fill="auto"/>
          </w:tcPr>
          <w:p w14:paraId="1548B674" w14:textId="7459D9B2" w:rsidR="0063286E" w:rsidRPr="00CF53DC" w:rsidRDefault="0063286E" w:rsidP="00D70E3B">
            <w:pPr>
              <w:autoSpaceDE w:val="0"/>
              <w:autoSpaceDN w:val="0"/>
              <w:adjustRightInd w:val="0"/>
              <w:spacing w:after="0"/>
              <w:jc w:val="left"/>
              <w:rPr>
                <w:b/>
                <w:sz w:val="26"/>
                <w:szCs w:val="26"/>
              </w:rPr>
            </w:pPr>
            <w:r w:rsidRPr="00CF53DC">
              <w:rPr>
                <w:b/>
                <w:sz w:val="26"/>
                <w:szCs w:val="26"/>
              </w:rPr>
              <w:t xml:space="preserve">Article 7 para 1 </w:t>
            </w:r>
            <w:r w:rsidR="00297807" w:rsidRPr="00CF53DC">
              <w:rPr>
                <w:b/>
                <w:sz w:val="26"/>
                <w:szCs w:val="26"/>
              </w:rPr>
              <w:t>–</w:t>
            </w:r>
            <w:r w:rsidR="00774FED" w:rsidRPr="00CF53DC">
              <w:rPr>
                <w:b/>
                <w:sz w:val="26"/>
                <w:szCs w:val="26"/>
              </w:rPr>
              <w:t xml:space="preserve"> </w:t>
            </w:r>
            <w:r w:rsidR="004B2C2B">
              <w:rPr>
                <w:b/>
                <w:sz w:val="26"/>
                <w:szCs w:val="26"/>
              </w:rPr>
              <w:t>composite packaging/plastics parts in packaging</w:t>
            </w:r>
          </w:p>
        </w:tc>
      </w:tr>
      <w:tr w:rsidR="0063286E" w14:paraId="6CAB4214" w14:textId="77777777" w:rsidTr="007861BC">
        <w:trPr>
          <w:trHeight w:val="597"/>
        </w:trPr>
        <w:tc>
          <w:tcPr>
            <w:tcW w:w="3969" w:type="dxa"/>
            <w:shd w:val="clear" w:color="auto" w:fill="auto"/>
          </w:tcPr>
          <w:p w14:paraId="65F769F8" w14:textId="4ACA8F4C" w:rsidR="00297807" w:rsidRPr="00CF53DC" w:rsidRDefault="0063286E" w:rsidP="00CF53DC">
            <w:pPr>
              <w:autoSpaceDE w:val="0"/>
              <w:autoSpaceDN w:val="0"/>
              <w:adjustRightInd w:val="0"/>
              <w:spacing w:after="0"/>
              <w:jc w:val="center"/>
              <w:rPr>
                <w:rFonts w:cstheme="minorHAnsi"/>
                <w:b/>
                <w:sz w:val="20"/>
                <w:szCs w:val="20"/>
              </w:rPr>
            </w:pPr>
            <w:r w:rsidRPr="00CF53DC">
              <w:rPr>
                <w:rFonts w:cstheme="minorHAnsi"/>
                <w:b/>
                <w:sz w:val="20"/>
                <w:szCs w:val="20"/>
              </w:rPr>
              <w:t>COM Proposal</w:t>
            </w:r>
          </w:p>
          <w:p w14:paraId="59378282" w14:textId="51A90EF6" w:rsidR="00297807" w:rsidRPr="00CF53DC" w:rsidRDefault="00297807" w:rsidP="00297807">
            <w:pPr>
              <w:pStyle w:val="Default"/>
              <w:jc w:val="both"/>
              <w:rPr>
                <w:color w:val="auto"/>
                <w:sz w:val="20"/>
                <w:szCs w:val="20"/>
              </w:rPr>
            </w:pPr>
            <w:r w:rsidRPr="00CF53DC">
              <w:rPr>
                <w:color w:val="auto"/>
                <w:sz w:val="20"/>
                <w:szCs w:val="20"/>
              </w:rPr>
              <w:t xml:space="preserve">From 1 January 2030, the plastic part in packaging shall contain the following minimum percentage of recycled content recovered from post-consumer plastic waste, per unit of packaging: </w:t>
            </w:r>
          </w:p>
          <w:p w14:paraId="183BB6AB" w14:textId="680E518F" w:rsidR="0063286E" w:rsidRPr="00CF53DC" w:rsidRDefault="0063286E" w:rsidP="00D70E3B">
            <w:pPr>
              <w:pStyle w:val="Default"/>
              <w:jc w:val="both"/>
              <w:rPr>
                <w:color w:val="auto"/>
                <w:sz w:val="20"/>
                <w:szCs w:val="20"/>
              </w:rPr>
            </w:pPr>
          </w:p>
          <w:p w14:paraId="45DB6B61" w14:textId="77777777" w:rsidR="0063286E" w:rsidRPr="00CF53DC" w:rsidRDefault="0063286E" w:rsidP="00D70E3B">
            <w:pPr>
              <w:autoSpaceDE w:val="0"/>
              <w:autoSpaceDN w:val="0"/>
              <w:adjustRightInd w:val="0"/>
              <w:spacing w:after="0"/>
              <w:rPr>
                <w:b/>
                <w:iCs/>
                <w:sz w:val="20"/>
                <w:szCs w:val="20"/>
              </w:rPr>
            </w:pPr>
          </w:p>
        </w:tc>
        <w:tc>
          <w:tcPr>
            <w:tcW w:w="4536" w:type="dxa"/>
            <w:shd w:val="clear" w:color="auto" w:fill="B1E8AA"/>
          </w:tcPr>
          <w:p w14:paraId="06E76174" w14:textId="4D40C652" w:rsidR="00331124" w:rsidRPr="00CF53DC" w:rsidRDefault="0063286E" w:rsidP="00CF53DC">
            <w:pPr>
              <w:autoSpaceDE w:val="0"/>
              <w:autoSpaceDN w:val="0"/>
              <w:adjustRightInd w:val="0"/>
              <w:spacing w:after="0"/>
              <w:jc w:val="center"/>
              <w:rPr>
                <w:b/>
                <w:sz w:val="20"/>
                <w:szCs w:val="20"/>
              </w:rPr>
            </w:pPr>
            <w:r w:rsidRPr="00CF53DC">
              <w:rPr>
                <w:b/>
                <w:sz w:val="20"/>
                <w:szCs w:val="20"/>
              </w:rPr>
              <w:t>EP Mandate</w:t>
            </w:r>
          </w:p>
          <w:p w14:paraId="3CA90491" w14:textId="7562E418" w:rsidR="00331124" w:rsidRPr="00CF53DC" w:rsidRDefault="00331124" w:rsidP="00331124">
            <w:pPr>
              <w:pStyle w:val="Default"/>
              <w:jc w:val="both"/>
              <w:rPr>
                <w:color w:val="auto"/>
                <w:sz w:val="20"/>
                <w:szCs w:val="20"/>
              </w:rPr>
            </w:pPr>
            <w:r w:rsidRPr="00CF53DC">
              <w:rPr>
                <w:color w:val="auto"/>
                <w:sz w:val="20"/>
                <w:szCs w:val="20"/>
              </w:rPr>
              <w:t xml:space="preserve">From 1 January 2030, the plastic part in packaging </w:t>
            </w:r>
            <w:r w:rsidRPr="00CF53DC">
              <w:rPr>
                <w:b/>
                <w:bCs/>
                <w:i/>
                <w:iCs/>
                <w:color w:val="auto"/>
                <w:sz w:val="20"/>
                <w:szCs w:val="20"/>
              </w:rPr>
              <w:t xml:space="preserve">placed on the market </w:t>
            </w:r>
            <w:r w:rsidRPr="00CF53DC">
              <w:rPr>
                <w:color w:val="auto"/>
                <w:sz w:val="20"/>
                <w:szCs w:val="20"/>
              </w:rPr>
              <w:t>shall</w:t>
            </w:r>
            <w:r w:rsidRPr="00CF53DC">
              <w:rPr>
                <w:b/>
                <w:bCs/>
                <w:i/>
                <w:iCs/>
                <w:color w:val="auto"/>
                <w:sz w:val="20"/>
                <w:szCs w:val="20"/>
              </w:rPr>
              <w:t xml:space="preserve">, unless this results in non-compliance with food safety requirements laid down at Union level, </w:t>
            </w:r>
            <w:r w:rsidRPr="00CF53DC">
              <w:rPr>
                <w:color w:val="auto"/>
                <w:sz w:val="20"/>
                <w:szCs w:val="20"/>
              </w:rPr>
              <w:t xml:space="preserve">contain the following minimum percentage of recycled content recovered from post-consumer plastic waste, </w:t>
            </w:r>
            <w:r w:rsidRPr="00CF53DC">
              <w:rPr>
                <w:strike/>
                <w:color w:val="auto"/>
                <w:sz w:val="20"/>
                <w:szCs w:val="20"/>
              </w:rPr>
              <w:t xml:space="preserve">per </w:t>
            </w:r>
            <w:r w:rsidRPr="00CF53DC">
              <w:rPr>
                <w:i/>
                <w:iCs/>
                <w:strike/>
                <w:color w:val="auto"/>
                <w:sz w:val="20"/>
                <w:szCs w:val="20"/>
              </w:rPr>
              <w:t>unit of packaging</w:t>
            </w:r>
            <w:r w:rsidRPr="00CF53DC">
              <w:rPr>
                <w:b/>
                <w:i/>
                <w:color w:val="auto"/>
                <w:sz w:val="20"/>
                <w:szCs w:val="20"/>
              </w:rPr>
              <w:t xml:space="preserve"> </w:t>
            </w:r>
            <w:r w:rsidRPr="00CF53DC">
              <w:rPr>
                <w:b/>
                <w:bCs/>
                <w:i/>
                <w:iCs/>
                <w:color w:val="auto"/>
                <w:sz w:val="20"/>
                <w:szCs w:val="20"/>
              </w:rPr>
              <w:t>packaging format as referred to in Table 1 of Annex II, calculated as an average per manufacturing plant, per year</w:t>
            </w:r>
            <w:r w:rsidRPr="00CF53DC">
              <w:rPr>
                <w:color w:val="auto"/>
                <w:sz w:val="20"/>
                <w:szCs w:val="20"/>
              </w:rPr>
              <w:t xml:space="preserve">: </w:t>
            </w:r>
          </w:p>
          <w:p w14:paraId="24AAC7FC" w14:textId="77777777" w:rsidR="00297807" w:rsidRPr="00CF53DC" w:rsidRDefault="00297807" w:rsidP="00297807">
            <w:pPr>
              <w:pStyle w:val="Default"/>
              <w:jc w:val="both"/>
              <w:rPr>
                <w:b/>
                <w:iCs/>
                <w:sz w:val="20"/>
                <w:szCs w:val="20"/>
              </w:rPr>
            </w:pPr>
          </w:p>
        </w:tc>
        <w:tc>
          <w:tcPr>
            <w:tcW w:w="4111" w:type="dxa"/>
            <w:shd w:val="clear" w:color="auto" w:fill="auto"/>
          </w:tcPr>
          <w:p w14:paraId="5350235E" w14:textId="2699213D" w:rsidR="0063286E" w:rsidRPr="00CF53DC" w:rsidRDefault="0063286E" w:rsidP="00CF53DC">
            <w:pPr>
              <w:autoSpaceDE w:val="0"/>
              <w:autoSpaceDN w:val="0"/>
              <w:adjustRightInd w:val="0"/>
              <w:spacing w:after="0"/>
              <w:jc w:val="center"/>
              <w:rPr>
                <w:b/>
                <w:sz w:val="20"/>
                <w:szCs w:val="20"/>
              </w:rPr>
            </w:pPr>
            <w:r w:rsidRPr="00CF53DC">
              <w:rPr>
                <w:b/>
                <w:sz w:val="20"/>
                <w:szCs w:val="20"/>
              </w:rPr>
              <w:t>Council Mandate</w:t>
            </w:r>
          </w:p>
          <w:p w14:paraId="4469A557" w14:textId="57D5789B" w:rsidR="0063286E" w:rsidRPr="00CF53DC" w:rsidRDefault="00F5576C" w:rsidP="00D70E3B">
            <w:pPr>
              <w:pStyle w:val="Default"/>
              <w:jc w:val="both"/>
              <w:rPr>
                <w:sz w:val="20"/>
                <w:szCs w:val="20"/>
              </w:rPr>
            </w:pPr>
            <w:r w:rsidRPr="00CF53DC">
              <w:rPr>
                <w:strike/>
                <w:sz w:val="20"/>
                <w:szCs w:val="20"/>
              </w:rPr>
              <w:t>From</w:t>
            </w:r>
            <w:r w:rsidR="00767431" w:rsidRPr="00CF53DC">
              <w:rPr>
                <w:sz w:val="20"/>
                <w:szCs w:val="20"/>
              </w:rPr>
              <w:t xml:space="preserve"> </w:t>
            </w:r>
            <w:r w:rsidRPr="00CF53DC">
              <w:rPr>
                <w:b/>
                <w:bCs/>
                <w:sz w:val="20"/>
                <w:szCs w:val="20"/>
              </w:rPr>
              <w:t xml:space="preserve">By </w:t>
            </w:r>
            <w:r w:rsidRPr="00CF53DC">
              <w:rPr>
                <w:sz w:val="20"/>
                <w:szCs w:val="20"/>
              </w:rPr>
              <w:t xml:space="preserve">1 January 2030 </w:t>
            </w:r>
            <w:r w:rsidRPr="00CF53DC">
              <w:rPr>
                <w:b/>
                <w:bCs/>
                <w:sz w:val="20"/>
                <w:szCs w:val="20"/>
              </w:rPr>
              <w:t>or three years after the date into force of the implementing act referred to in paragraph 7</w:t>
            </w:r>
            <w:r w:rsidRPr="00CF53DC">
              <w:rPr>
                <w:sz w:val="20"/>
                <w:szCs w:val="20"/>
              </w:rPr>
              <w:t xml:space="preserve">, </w:t>
            </w:r>
            <w:r w:rsidRPr="00CF53DC">
              <w:rPr>
                <w:b/>
                <w:bCs/>
                <w:sz w:val="20"/>
                <w:szCs w:val="20"/>
              </w:rPr>
              <w:t>whichever is the latest,</w:t>
            </w:r>
            <w:r w:rsidR="00AE4E30" w:rsidRPr="00CF53DC">
              <w:rPr>
                <w:b/>
                <w:sz w:val="20"/>
                <w:szCs w:val="20"/>
              </w:rPr>
              <w:t xml:space="preserve"> </w:t>
            </w:r>
            <w:r w:rsidRPr="00CF53DC">
              <w:rPr>
                <w:b/>
                <w:bCs/>
                <w:sz w:val="20"/>
                <w:szCs w:val="20"/>
              </w:rPr>
              <w:t xml:space="preserve">any </w:t>
            </w:r>
            <w:r w:rsidRPr="00CF53DC">
              <w:rPr>
                <w:strike/>
                <w:sz w:val="20"/>
                <w:szCs w:val="20"/>
              </w:rPr>
              <w:t>the</w:t>
            </w:r>
            <w:r w:rsidRPr="00CF53DC">
              <w:rPr>
                <w:sz w:val="20"/>
                <w:szCs w:val="20"/>
              </w:rPr>
              <w:t xml:space="preserve"> plastic part </w:t>
            </w:r>
            <w:r w:rsidRPr="00CF53DC">
              <w:rPr>
                <w:strike/>
                <w:sz w:val="20"/>
                <w:szCs w:val="20"/>
              </w:rPr>
              <w:t>in</w:t>
            </w:r>
            <w:r w:rsidR="00AE4E30" w:rsidRPr="00CF53DC">
              <w:rPr>
                <w:strike/>
                <w:sz w:val="20"/>
                <w:szCs w:val="20"/>
              </w:rPr>
              <w:t xml:space="preserve"> </w:t>
            </w:r>
            <w:r w:rsidRPr="00CF53DC">
              <w:rPr>
                <w:b/>
                <w:bCs/>
                <w:sz w:val="20"/>
                <w:szCs w:val="20"/>
              </w:rPr>
              <w:t xml:space="preserve">of </w:t>
            </w:r>
            <w:r w:rsidRPr="00CF53DC">
              <w:rPr>
                <w:sz w:val="20"/>
                <w:szCs w:val="20"/>
              </w:rPr>
              <w:t xml:space="preserve">packaging </w:t>
            </w:r>
            <w:r w:rsidRPr="00CF53DC">
              <w:rPr>
                <w:b/>
                <w:bCs/>
                <w:sz w:val="20"/>
                <w:szCs w:val="20"/>
              </w:rPr>
              <w:t xml:space="preserve">placed on the market, </w:t>
            </w:r>
            <w:r w:rsidRPr="00CF53DC">
              <w:rPr>
                <w:sz w:val="20"/>
                <w:szCs w:val="20"/>
              </w:rPr>
              <w:t>shall contain the following minimum percentage of recycled content recovered from post-consumer plastic waste, per</w:t>
            </w:r>
            <w:r w:rsidRPr="00CF53DC">
              <w:rPr>
                <w:strike/>
                <w:sz w:val="20"/>
                <w:szCs w:val="20"/>
              </w:rPr>
              <w:t xml:space="preserve"> unit of packaging</w:t>
            </w:r>
            <w:r w:rsidRPr="00CF53DC">
              <w:rPr>
                <w:sz w:val="20"/>
                <w:szCs w:val="20"/>
              </w:rPr>
              <w:t xml:space="preserve"> </w:t>
            </w:r>
            <w:r w:rsidRPr="00CF53DC">
              <w:rPr>
                <w:b/>
                <w:bCs/>
                <w:sz w:val="20"/>
                <w:szCs w:val="20"/>
              </w:rPr>
              <w:t>packaging type and format as referred to in Table 1 of Annex II, manufacturing plant and year</w:t>
            </w:r>
            <w:r w:rsidR="00767431" w:rsidRPr="00CF53DC">
              <w:rPr>
                <w:b/>
                <w:sz w:val="20"/>
                <w:szCs w:val="20"/>
              </w:rPr>
              <w:t xml:space="preserve">: </w:t>
            </w:r>
          </w:p>
        </w:tc>
        <w:tc>
          <w:tcPr>
            <w:tcW w:w="3260" w:type="dxa"/>
            <w:shd w:val="clear" w:color="auto" w:fill="auto"/>
          </w:tcPr>
          <w:p w14:paraId="7094E3FF" w14:textId="28734D73" w:rsidR="003E2367" w:rsidRDefault="0063286E" w:rsidP="003E2367">
            <w:pPr>
              <w:autoSpaceDE w:val="0"/>
              <w:autoSpaceDN w:val="0"/>
              <w:adjustRightInd w:val="0"/>
              <w:spacing w:after="0"/>
              <w:jc w:val="center"/>
              <w:rPr>
                <w:b/>
                <w:sz w:val="20"/>
                <w:szCs w:val="20"/>
              </w:rPr>
            </w:pPr>
            <w:r w:rsidRPr="00CF53DC">
              <w:rPr>
                <w:b/>
                <w:sz w:val="20"/>
                <w:szCs w:val="20"/>
              </w:rPr>
              <w:t>A.I.S.E. position</w:t>
            </w:r>
          </w:p>
          <w:p w14:paraId="41121AC3" w14:textId="77777777" w:rsidR="003E2367" w:rsidRPr="003E2367" w:rsidRDefault="003E2367" w:rsidP="003E2367">
            <w:pPr>
              <w:autoSpaceDE w:val="0"/>
              <w:autoSpaceDN w:val="0"/>
              <w:adjustRightInd w:val="0"/>
              <w:spacing w:after="0"/>
              <w:jc w:val="center"/>
              <w:rPr>
                <w:b/>
                <w:sz w:val="20"/>
                <w:szCs w:val="20"/>
              </w:rPr>
            </w:pPr>
          </w:p>
          <w:p w14:paraId="17DC68C0" w14:textId="61D1EE1E" w:rsidR="003E2367" w:rsidRPr="003E2367" w:rsidRDefault="003E2367" w:rsidP="003E2367">
            <w:pPr>
              <w:rPr>
                <w:sz w:val="20"/>
                <w:szCs w:val="20"/>
                <w:u w:val="single"/>
              </w:rPr>
            </w:pPr>
            <w:r w:rsidRPr="003E2367">
              <w:rPr>
                <w:sz w:val="20"/>
                <w:szCs w:val="20"/>
                <w:u w:val="single"/>
              </w:rPr>
              <w:t>Support EP position on</w:t>
            </w:r>
            <w:r>
              <w:rPr>
                <w:sz w:val="20"/>
                <w:szCs w:val="20"/>
                <w:u w:val="single"/>
              </w:rPr>
              <w:t xml:space="preserve"> </w:t>
            </w:r>
            <w:r w:rsidRPr="003E2367">
              <w:rPr>
                <w:sz w:val="20"/>
                <w:szCs w:val="20"/>
              </w:rPr>
              <w:t>ensuring</w:t>
            </w:r>
            <w:r>
              <w:rPr>
                <w:sz w:val="20"/>
                <w:szCs w:val="20"/>
              </w:rPr>
              <w:t xml:space="preserve"> </w:t>
            </w:r>
            <w:r w:rsidRPr="003E2367">
              <w:rPr>
                <w:sz w:val="20"/>
                <w:szCs w:val="20"/>
              </w:rPr>
              <w:t>minimum recycled content to the packaging should apply to the packaging as a whole and not to each individual part</w:t>
            </w:r>
          </w:p>
          <w:p w14:paraId="1AC758ED" w14:textId="72806289" w:rsidR="005942CB" w:rsidRPr="003E2367" w:rsidRDefault="005942CB" w:rsidP="005942CB">
            <w:pPr>
              <w:autoSpaceDE w:val="0"/>
              <w:autoSpaceDN w:val="0"/>
              <w:adjustRightInd w:val="0"/>
              <w:spacing w:after="0"/>
              <w:rPr>
                <w:b/>
                <w:iCs/>
                <w:sz w:val="20"/>
                <w:szCs w:val="20"/>
              </w:rPr>
            </w:pPr>
          </w:p>
        </w:tc>
      </w:tr>
      <w:tr w:rsidR="00B84A29" w:rsidRPr="00EC4233" w14:paraId="046009A6" w14:textId="77777777" w:rsidTr="007861BC">
        <w:trPr>
          <w:trHeight w:val="259"/>
        </w:trPr>
        <w:tc>
          <w:tcPr>
            <w:tcW w:w="15876" w:type="dxa"/>
            <w:gridSpan w:val="4"/>
            <w:shd w:val="clear" w:color="auto" w:fill="auto"/>
          </w:tcPr>
          <w:p w14:paraId="60FDD1A1" w14:textId="22AFC6E5" w:rsidR="00B84A29" w:rsidRPr="00CF53DC" w:rsidRDefault="00554CC9" w:rsidP="00B84A29">
            <w:pPr>
              <w:autoSpaceDE w:val="0"/>
              <w:autoSpaceDN w:val="0"/>
              <w:adjustRightInd w:val="0"/>
              <w:spacing w:after="0"/>
              <w:jc w:val="left"/>
              <w:rPr>
                <w:b/>
                <w:iCs/>
                <w:sz w:val="26"/>
                <w:szCs w:val="26"/>
                <w:lang w:val="fr-FR"/>
              </w:rPr>
            </w:pPr>
            <w:r w:rsidRPr="00CB6EF4">
              <w:rPr>
                <w:b/>
                <w:sz w:val="26"/>
                <w:szCs w:val="26"/>
                <w:lang w:val="fr-FR"/>
              </w:rPr>
              <w:t>Article 7</w:t>
            </w:r>
            <w:r w:rsidR="00D324B0" w:rsidRPr="00CB6EF4">
              <w:rPr>
                <w:b/>
                <w:sz w:val="26"/>
                <w:szCs w:val="26"/>
                <w:lang w:val="fr-FR"/>
              </w:rPr>
              <w:t xml:space="preserve"> para 7</w:t>
            </w:r>
            <w:r w:rsidRPr="00CB6EF4">
              <w:rPr>
                <w:b/>
                <w:sz w:val="26"/>
                <w:szCs w:val="26"/>
                <w:lang w:val="fr-FR"/>
              </w:rPr>
              <w:t xml:space="preserve"> – PCR content </w:t>
            </w:r>
            <w:r w:rsidR="00F55DB7" w:rsidRPr="00CB6EF4">
              <w:rPr>
                <w:b/>
                <w:sz w:val="26"/>
                <w:szCs w:val="26"/>
                <w:lang w:val="fr-FR"/>
              </w:rPr>
              <w:t>requirement</w:t>
            </w:r>
          </w:p>
        </w:tc>
      </w:tr>
      <w:tr w:rsidR="00F55DB7" w14:paraId="3A16CA90" w14:textId="77777777" w:rsidTr="007861BC">
        <w:trPr>
          <w:trHeight w:val="259"/>
        </w:trPr>
        <w:tc>
          <w:tcPr>
            <w:tcW w:w="3969" w:type="dxa"/>
            <w:shd w:val="clear" w:color="auto" w:fill="auto"/>
          </w:tcPr>
          <w:p w14:paraId="5DA1A46D" w14:textId="59DB714F" w:rsidR="00CF53DC" w:rsidRPr="00CF53DC" w:rsidRDefault="00CF53DC" w:rsidP="00CF53DC">
            <w:pPr>
              <w:autoSpaceDE w:val="0"/>
              <w:autoSpaceDN w:val="0"/>
              <w:adjustRightInd w:val="0"/>
              <w:spacing w:after="0"/>
              <w:jc w:val="center"/>
              <w:rPr>
                <w:rFonts w:cstheme="minorHAnsi"/>
                <w:b/>
                <w:sz w:val="20"/>
                <w:szCs w:val="20"/>
              </w:rPr>
            </w:pPr>
            <w:r w:rsidRPr="00CF53DC">
              <w:rPr>
                <w:rFonts w:cstheme="minorHAnsi"/>
                <w:b/>
                <w:sz w:val="20"/>
                <w:szCs w:val="20"/>
              </w:rPr>
              <w:t>COM Proposal</w:t>
            </w:r>
          </w:p>
          <w:p w14:paraId="25C6BE00" w14:textId="67AFC83C" w:rsidR="00F55DB7" w:rsidRPr="00CF53DC" w:rsidRDefault="00431120" w:rsidP="00431120">
            <w:pPr>
              <w:autoSpaceDE w:val="0"/>
              <w:autoSpaceDN w:val="0"/>
              <w:adjustRightInd w:val="0"/>
              <w:spacing w:after="0"/>
              <w:rPr>
                <w:b/>
                <w:sz w:val="20"/>
                <w:szCs w:val="20"/>
              </w:rPr>
            </w:pPr>
            <w:r w:rsidRPr="00CF53DC">
              <w:rPr>
                <w:sz w:val="20"/>
                <w:szCs w:val="20"/>
              </w:rPr>
              <w:t>By 31 December 2026, the Commission is empowered to adopt implementing acts establishing the methodology for the calculation and verification of the percentage of recycled content recovered from post-consumer plastic waste, per unit of plastic packaging, and the format for the technical documentation referred to in Annex VII. Those implementing acts shall be adopted in accordance with the examination procedure referred to in Article 59(3).</w:t>
            </w:r>
          </w:p>
        </w:tc>
        <w:tc>
          <w:tcPr>
            <w:tcW w:w="4536" w:type="dxa"/>
            <w:shd w:val="clear" w:color="auto" w:fill="auto"/>
          </w:tcPr>
          <w:p w14:paraId="3D43DFE3" w14:textId="2EE79DA4" w:rsidR="00CF53DC" w:rsidRPr="00CF53DC" w:rsidRDefault="00CF53DC" w:rsidP="00CF53DC">
            <w:pPr>
              <w:autoSpaceDE w:val="0"/>
              <w:autoSpaceDN w:val="0"/>
              <w:adjustRightInd w:val="0"/>
              <w:spacing w:after="0"/>
              <w:jc w:val="center"/>
              <w:rPr>
                <w:b/>
                <w:sz w:val="20"/>
                <w:szCs w:val="20"/>
              </w:rPr>
            </w:pPr>
            <w:r w:rsidRPr="00CF53DC">
              <w:rPr>
                <w:b/>
                <w:sz w:val="20"/>
                <w:szCs w:val="20"/>
              </w:rPr>
              <w:t>EP Mandate</w:t>
            </w:r>
          </w:p>
          <w:p w14:paraId="5473D1C0" w14:textId="2FB7E7C9" w:rsidR="00F55DB7" w:rsidRPr="00CF53DC" w:rsidRDefault="00EC1598" w:rsidP="0071462A">
            <w:pPr>
              <w:autoSpaceDE w:val="0"/>
              <w:autoSpaceDN w:val="0"/>
              <w:adjustRightInd w:val="0"/>
              <w:spacing w:after="0"/>
              <w:rPr>
                <w:sz w:val="20"/>
                <w:szCs w:val="20"/>
              </w:rPr>
            </w:pPr>
            <w:r w:rsidRPr="00CF53DC">
              <w:rPr>
                <w:sz w:val="20"/>
                <w:szCs w:val="20"/>
              </w:rPr>
              <w:t xml:space="preserve">By 31 December 2026, </w:t>
            </w:r>
            <w:r w:rsidRPr="003871AF">
              <w:rPr>
                <w:sz w:val="20"/>
                <w:szCs w:val="20"/>
                <w:highlight w:val="green"/>
              </w:rPr>
              <w:t xml:space="preserve">the Commission </w:t>
            </w:r>
            <w:r w:rsidR="00CE6200" w:rsidRPr="003871AF">
              <w:rPr>
                <w:i/>
                <w:iCs/>
                <w:strike/>
                <w:sz w:val="20"/>
                <w:szCs w:val="20"/>
                <w:highlight w:val="green"/>
              </w:rPr>
              <w:t>is empowered to adopt implementing acts</w:t>
            </w:r>
            <w:r w:rsidR="00CE6200" w:rsidRPr="003871AF">
              <w:rPr>
                <w:i/>
                <w:sz w:val="20"/>
                <w:szCs w:val="20"/>
                <w:highlight w:val="green"/>
              </w:rPr>
              <w:t xml:space="preserve"> </w:t>
            </w:r>
            <w:r w:rsidR="00CE6200" w:rsidRPr="003871AF">
              <w:rPr>
                <w:b/>
                <w:bCs/>
                <w:i/>
                <w:iCs/>
                <w:sz w:val="20"/>
                <w:szCs w:val="20"/>
                <w:highlight w:val="green"/>
              </w:rPr>
              <w:t xml:space="preserve">shall adopt delegated acts in accordance with Article 58 in order to supplement this Regulation by </w:t>
            </w:r>
            <w:r w:rsidR="00CE6200" w:rsidRPr="003871AF">
              <w:rPr>
                <w:sz w:val="20"/>
                <w:szCs w:val="20"/>
                <w:highlight w:val="green"/>
              </w:rPr>
              <w:t>establishing the methodology for the calculation and verification of the percentage of recycled content recovered from post-consumer plastic waste</w:t>
            </w:r>
            <w:r w:rsidR="00CE6200" w:rsidRPr="00CF53DC">
              <w:rPr>
                <w:i/>
                <w:iCs/>
                <w:sz w:val="20"/>
                <w:szCs w:val="20"/>
              </w:rPr>
              <w:t xml:space="preserve">, </w:t>
            </w:r>
            <w:r w:rsidR="00CE6200" w:rsidRPr="00CF53DC">
              <w:rPr>
                <w:i/>
                <w:iCs/>
                <w:strike/>
                <w:sz w:val="20"/>
                <w:szCs w:val="20"/>
              </w:rPr>
              <w:t>per unit of plastic packaging</w:t>
            </w:r>
            <w:r w:rsidR="00CE6200" w:rsidRPr="00CF53DC">
              <w:rPr>
                <w:i/>
                <w:iCs/>
                <w:sz w:val="20"/>
                <w:szCs w:val="20"/>
              </w:rPr>
              <w:t xml:space="preserve">, </w:t>
            </w:r>
            <w:r w:rsidR="00CE6200" w:rsidRPr="00CF53DC">
              <w:rPr>
                <w:sz w:val="20"/>
                <w:szCs w:val="20"/>
              </w:rPr>
              <w:t xml:space="preserve">and the format for the technical documentation referred to in Annex VII. Those </w:t>
            </w:r>
            <w:r w:rsidR="0071462A" w:rsidRPr="00CF53DC">
              <w:rPr>
                <w:i/>
                <w:iCs/>
                <w:strike/>
                <w:sz w:val="20"/>
                <w:szCs w:val="20"/>
              </w:rPr>
              <w:t>implementing</w:t>
            </w:r>
            <w:r w:rsidR="0071462A" w:rsidRPr="00CF53DC">
              <w:rPr>
                <w:i/>
                <w:sz w:val="20"/>
                <w:szCs w:val="20"/>
              </w:rPr>
              <w:t xml:space="preserve"> </w:t>
            </w:r>
            <w:r w:rsidR="0071462A" w:rsidRPr="00CF53DC">
              <w:rPr>
                <w:i/>
                <w:iCs/>
                <w:sz w:val="20"/>
                <w:szCs w:val="20"/>
              </w:rPr>
              <w:t>delegated</w:t>
            </w:r>
            <w:r w:rsidR="00CE6200" w:rsidRPr="00CF53DC">
              <w:rPr>
                <w:i/>
                <w:iCs/>
                <w:sz w:val="20"/>
                <w:szCs w:val="20"/>
              </w:rPr>
              <w:t xml:space="preserve"> </w:t>
            </w:r>
            <w:r w:rsidR="00CE6200" w:rsidRPr="00CF53DC">
              <w:rPr>
                <w:sz w:val="20"/>
                <w:szCs w:val="20"/>
              </w:rPr>
              <w:t xml:space="preserve">acts shall </w:t>
            </w:r>
            <w:r w:rsidR="00CE6200" w:rsidRPr="00CF53DC">
              <w:rPr>
                <w:i/>
                <w:iCs/>
                <w:strike/>
                <w:sz w:val="20"/>
                <w:szCs w:val="20"/>
              </w:rPr>
              <w:t xml:space="preserve">be adopted in accordance with the examination procedure </w:t>
            </w:r>
            <w:r w:rsidR="00CE6200" w:rsidRPr="00CF53DC">
              <w:rPr>
                <w:i/>
                <w:iCs/>
                <w:strike/>
                <w:sz w:val="20"/>
                <w:szCs w:val="20"/>
              </w:rPr>
              <w:lastRenderedPageBreak/>
              <w:t>referred to in Article 59(3)</w:t>
            </w:r>
            <w:r w:rsidR="0071462A" w:rsidRPr="00CF53DC">
              <w:rPr>
                <w:i/>
                <w:strike/>
                <w:sz w:val="20"/>
                <w:szCs w:val="20"/>
              </w:rPr>
              <w:t xml:space="preserve"> </w:t>
            </w:r>
            <w:r w:rsidR="00CE6200" w:rsidRPr="00CF53DC">
              <w:rPr>
                <w:b/>
                <w:bCs/>
                <w:i/>
                <w:iCs/>
                <w:sz w:val="20"/>
                <w:szCs w:val="20"/>
              </w:rPr>
              <w:t>take into account the environmen</w:t>
            </w:r>
            <w:r w:rsidR="00CE6200" w:rsidRPr="00CF53DC">
              <w:rPr>
                <w:b/>
                <w:i/>
                <w:sz w:val="20"/>
                <w:szCs w:val="20"/>
              </w:rPr>
              <w:t>tal impact of the recycling process</w:t>
            </w:r>
            <w:r w:rsidR="00D26694" w:rsidRPr="00CF53DC">
              <w:rPr>
                <w:b/>
                <w:i/>
                <w:sz w:val="20"/>
                <w:szCs w:val="20"/>
              </w:rPr>
              <w:t>.</w:t>
            </w:r>
          </w:p>
        </w:tc>
        <w:tc>
          <w:tcPr>
            <w:tcW w:w="4111" w:type="dxa"/>
            <w:shd w:val="clear" w:color="auto" w:fill="auto"/>
          </w:tcPr>
          <w:p w14:paraId="77066DD2" w14:textId="33CE743C" w:rsidR="00CF53DC" w:rsidRPr="00CF53DC" w:rsidRDefault="00CF53DC" w:rsidP="00CF53DC">
            <w:pPr>
              <w:autoSpaceDE w:val="0"/>
              <w:autoSpaceDN w:val="0"/>
              <w:adjustRightInd w:val="0"/>
              <w:spacing w:after="0"/>
              <w:jc w:val="center"/>
              <w:rPr>
                <w:b/>
                <w:sz w:val="20"/>
                <w:szCs w:val="20"/>
              </w:rPr>
            </w:pPr>
            <w:r w:rsidRPr="00CF53DC">
              <w:rPr>
                <w:b/>
                <w:sz w:val="20"/>
                <w:szCs w:val="20"/>
              </w:rPr>
              <w:lastRenderedPageBreak/>
              <w:t>Council Mandate</w:t>
            </w:r>
          </w:p>
          <w:p w14:paraId="7A42A516" w14:textId="0697578D" w:rsidR="00F55DB7" w:rsidRPr="00CF53DC" w:rsidRDefault="00D26694" w:rsidP="00255EE4">
            <w:pPr>
              <w:autoSpaceDE w:val="0"/>
              <w:autoSpaceDN w:val="0"/>
              <w:adjustRightInd w:val="0"/>
              <w:spacing w:after="0"/>
              <w:rPr>
                <w:b/>
                <w:sz w:val="20"/>
                <w:szCs w:val="20"/>
              </w:rPr>
            </w:pPr>
            <w:r w:rsidRPr="00CF53DC">
              <w:rPr>
                <w:sz w:val="20"/>
                <w:szCs w:val="20"/>
              </w:rPr>
              <w:t xml:space="preserve">By 31 December 2026, </w:t>
            </w:r>
            <w:r w:rsidRPr="003871AF">
              <w:rPr>
                <w:sz w:val="20"/>
                <w:szCs w:val="20"/>
                <w:highlight w:val="green"/>
              </w:rPr>
              <w:t xml:space="preserve">the Commission </w:t>
            </w:r>
            <w:r w:rsidR="00BE2042" w:rsidRPr="003871AF">
              <w:rPr>
                <w:sz w:val="20"/>
                <w:szCs w:val="20"/>
                <w:highlight w:val="green"/>
              </w:rPr>
              <w:t xml:space="preserve"> </w:t>
            </w:r>
            <w:r w:rsidR="00BE2042" w:rsidRPr="003871AF">
              <w:rPr>
                <w:strike/>
                <w:sz w:val="20"/>
                <w:szCs w:val="20"/>
                <w:highlight w:val="green"/>
              </w:rPr>
              <w:t>is empowered to</w:t>
            </w:r>
            <w:r w:rsidR="00BE2042" w:rsidRPr="003871AF">
              <w:rPr>
                <w:sz w:val="20"/>
                <w:szCs w:val="20"/>
                <w:highlight w:val="green"/>
              </w:rPr>
              <w:t xml:space="preserve"> </w:t>
            </w:r>
            <w:r w:rsidR="00BE2042" w:rsidRPr="003871AF">
              <w:rPr>
                <w:b/>
                <w:bCs/>
                <w:sz w:val="20"/>
                <w:szCs w:val="20"/>
                <w:highlight w:val="green"/>
              </w:rPr>
              <w:t xml:space="preserve">shall </w:t>
            </w:r>
            <w:r w:rsidR="00BE2042" w:rsidRPr="003871AF">
              <w:rPr>
                <w:sz w:val="20"/>
                <w:szCs w:val="20"/>
                <w:highlight w:val="green"/>
              </w:rPr>
              <w:t>adopt implementing acts establishing the methodology for the calculation and verification of the percentage of recycled content</w:t>
            </w:r>
            <w:r w:rsidR="00BE2042" w:rsidRPr="00CF53DC">
              <w:rPr>
                <w:sz w:val="20"/>
                <w:szCs w:val="20"/>
              </w:rPr>
              <w:t xml:space="preserve"> </w:t>
            </w:r>
            <w:r w:rsidR="00BE2042" w:rsidRPr="00CF53DC">
              <w:rPr>
                <w:strike/>
                <w:sz w:val="20"/>
                <w:szCs w:val="20"/>
              </w:rPr>
              <w:t>recovered from post-consumer plastic waste, per unit of plastic packaging</w:t>
            </w:r>
            <w:r w:rsidR="00BE2042" w:rsidRPr="00CF53DC">
              <w:rPr>
                <w:sz w:val="20"/>
                <w:szCs w:val="20"/>
              </w:rPr>
              <w:t xml:space="preserve"> </w:t>
            </w:r>
            <w:r w:rsidR="00BE2042" w:rsidRPr="00CF53DC">
              <w:rPr>
                <w:b/>
                <w:bCs/>
                <w:sz w:val="20"/>
                <w:szCs w:val="20"/>
              </w:rPr>
              <w:t>referred to in paragraphs 1 and 2 of this Article</w:t>
            </w:r>
            <w:r w:rsidR="00BE2042" w:rsidRPr="00CF53DC">
              <w:rPr>
                <w:sz w:val="20"/>
                <w:szCs w:val="20"/>
              </w:rPr>
              <w:t>, and the format for the technical documentation referred to in Annex VII</w:t>
            </w:r>
            <w:r w:rsidR="00BE2042" w:rsidRPr="00CF53DC">
              <w:rPr>
                <w:b/>
                <w:bCs/>
                <w:sz w:val="20"/>
                <w:szCs w:val="20"/>
              </w:rPr>
              <w:t xml:space="preserve">. When adopting the implementing acts, the Commission shall assess, in view of the available recycling </w:t>
            </w:r>
            <w:r w:rsidR="00BE2042" w:rsidRPr="00CF53DC">
              <w:rPr>
                <w:b/>
                <w:bCs/>
                <w:sz w:val="20"/>
                <w:szCs w:val="20"/>
              </w:rPr>
              <w:lastRenderedPageBreak/>
              <w:t>technologies, their economic and environmental</w:t>
            </w:r>
            <w:r w:rsidR="00BE2042" w:rsidRPr="00CF53DC">
              <w:rPr>
                <w:b/>
                <w:sz w:val="20"/>
                <w:szCs w:val="20"/>
              </w:rPr>
              <w:t xml:space="preserve"> </w:t>
            </w:r>
            <w:r w:rsidR="00BE2042" w:rsidRPr="00CF53DC">
              <w:rPr>
                <w:b/>
                <w:bCs/>
                <w:sz w:val="20"/>
                <w:szCs w:val="20"/>
              </w:rPr>
              <w:t>performance, including the quality of the output, the availability of the waste, the energy needed and greenhouse gas emissions. On the basis of that assessment, the Commission may include sustainability criteria for the recycling technologies in the methodology established in the implementing act under the previous subparagraph</w:t>
            </w:r>
            <w:r w:rsidR="00BE2042" w:rsidRPr="00CF53DC">
              <w:rPr>
                <w:sz w:val="20"/>
                <w:szCs w:val="20"/>
              </w:rPr>
              <w:t xml:space="preserve">. Those implementing acts shall be adopted in accordance with the examination procedure referred to in Article 59(3). </w:t>
            </w:r>
          </w:p>
        </w:tc>
        <w:tc>
          <w:tcPr>
            <w:tcW w:w="3260" w:type="dxa"/>
            <w:shd w:val="clear" w:color="auto" w:fill="auto"/>
          </w:tcPr>
          <w:p w14:paraId="53935B35" w14:textId="55EF38E6" w:rsidR="00CF53DC" w:rsidRDefault="00CF53DC" w:rsidP="00CF53DC">
            <w:pPr>
              <w:autoSpaceDE w:val="0"/>
              <w:autoSpaceDN w:val="0"/>
              <w:adjustRightInd w:val="0"/>
              <w:spacing w:after="0"/>
              <w:jc w:val="center"/>
              <w:rPr>
                <w:b/>
                <w:sz w:val="20"/>
                <w:szCs w:val="20"/>
              </w:rPr>
            </w:pPr>
            <w:r w:rsidRPr="00CF53DC">
              <w:rPr>
                <w:b/>
                <w:sz w:val="20"/>
                <w:szCs w:val="20"/>
              </w:rPr>
              <w:lastRenderedPageBreak/>
              <w:t>A.I.S.E. position</w:t>
            </w:r>
          </w:p>
          <w:p w14:paraId="10E02BC4" w14:textId="77777777" w:rsidR="003E2367" w:rsidRDefault="003E2367" w:rsidP="00B84A29">
            <w:pPr>
              <w:autoSpaceDE w:val="0"/>
              <w:autoSpaceDN w:val="0"/>
              <w:adjustRightInd w:val="0"/>
              <w:spacing w:after="0"/>
              <w:jc w:val="left"/>
              <w:rPr>
                <w:sz w:val="20"/>
                <w:szCs w:val="20"/>
              </w:rPr>
            </w:pPr>
          </w:p>
          <w:p w14:paraId="4FDF06DA" w14:textId="6E9979BD" w:rsidR="00F55DB7" w:rsidRPr="00CF53DC" w:rsidRDefault="002D7D27" w:rsidP="00B84A29">
            <w:pPr>
              <w:autoSpaceDE w:val="0"/>
              <w:autoSpaceDN w:val="0"/>
              <w:adjustRightInd w:val="0"/>
              <w:spacing w:after="0"/>
              <w:jc w:val="left"/>
              <w:rPr>
                <w:sz w:val="20"/>
                <w:szCs w:val="20"/>
              </w:rPr>
            </w:pPr>
            <w:r w:rsidRPr="00CF53DC">
              <w:rPr>
                <w:sz w:val="20"/>
                <w:szCs w:val="20"/>
              </w:rPr>
              <w:t xml:space="preserve">In support of using a total </w:t>
            </w:r>
            <w:r w:rsidR="00CF53DC" w:rsidRPr="00CF53DC">
              <w:rPr>
                <w:sz w:val="20"/>
                <w:szCs w:val="20"/>
              </w:rPr>
              <w:t>PCR</w:t>
            </w:r>
            <w:r w:rsidRPr="00CF53DC">
              <w:rPr>
                <w:sz w:val="20"/>
                <w:szCs w:val="20"/>
              </w:rPr>
              <w:t xml:space="preserve"> calculation method where possible.</w:t>
            </w:r>
          </w:p>
        </w:tc>
      </w:tr>
    </w:tbl>
    <w:p w14:paraId="53CCA8F2" w14:textId="77777777" w:rsidR="00B176DE" w:rsidRPr="00B176DE" w:rsidRDefault="00B176DE" w:rsidP="00B176DE">
      <w:pPr>
        <w:spacing w:after="0" w:line="259" w:lineRule="auto"/>
        <w:jc w:val="left"/>
        <w:rPr>
          <w:rFonts w:eastAsia="Times New Roman"/>
          <w:b/>
          <w:bCs/>
        </w:rPr>
      </w:pPr>
    </w:p>
    <w:p w14:paraId="67B97C9E" w14:textId="45F15DA5" w:rsidR="00255EE4" w:rsidRPr="00F97BA4" w:rsidRDefault="00255EE4" w:rsidP="00784C72">
      <w:pPr>
        <w:pStyle w:val="Paragraphedeliste"/>
        <w:numPr>
          <w:ilvl w:val="0"/>
          <w:numId w:val="39"/>
        </w:numPr>
        <w:spacing w:after="0" w:line="259" w:lineRule="auto"/>
        <w:ind w:left="360"/>
        <w:jc w:val="left"/>
        <w:rPr>
          <w:rFonts w:eastAsia="Times New Roman"/>
          <w:b/>
          <w:bCs/>
        </w:rPr>
      </w:pPr>
      <w:r w:rsidRPr="00F97BA4">
        <w:rPr>
          <w:rFonts w:eastAsia="Times New Roman"/>
          <w:b/>
          <w:color w:val="007576" w:themeColor="accent1"/>
          <w:sz w:val="32"/>
          <w:szCs w:val="32"/>
        </w:rPr>
        <w:t xml:space="preserve">PACKAGING MINIMISATION </w:t>
      </w:r>
    </w:p>
    <w:tbl>
      <w:tblPr>
        <w:tblStyle w:val="Grilledutableau"/>
        <w:tblW w:w="15876" w:type="dxa"/>
        <w:tblInd w:w="-572" w:type="dxa"/>
        <w:shd w:val="clear" w:color="auto" w:fill="FFFFFF" w:themeFill="background1"/>
        <w:tblLook w:val="04A0" w:firstRow="1" w:lastRow="0" w:firstColumn="1" w:lastColumn="0" w:noHBand="0" w:noVBand="1"/>
      </w:tblPr>
      <w:tblGrid>
        <w:gridCol w:w="3969"/>
        <w:gridCol w:w="4536"/>
        <w:gridCol w:w="4111"/>
        <w:gridCol w:w="3260"/>
      </w:tblGrid>
      <w:tr w:rsidR="00255EE4" w:rsidRPr="00DE3AE7" w14:paraId="53B60BA0" w14:textId="77777777" w:rsidTr="007861BC">
        <w:trPr>
          <w:trHeight w:val="337"/>
        </w:trPr>
        <w:tc>
          <w:tcPr>
            <w:tcW w:w="15876" w:type="dxa"/>
            <w:gridSpan w:val="4"/>
            <w:shd w:val="clear" w:color="auto" w:fill="auto"/>
          </w:tcPr>
          <w:p w14:paraId="59A2C03F" w14:textId="0526E26F" w:rsidR="00255EE4" w:rsidRPr="00CF53DC" w:rsidRDefault="00255EE4" w:rsidP="00D70E3B">
            <w:pPr>
              <w:autoSpaceDE w:val="0"/>
              <w:autoSpaceDN w:val="0"/>
              <w:adjustRightInd w:val="0"/>
              <w:spacing w:after="0"/>
              <w:jc w:val="left"/>
              <w:rPr>
                <w:b/>
                <w:sz w:val="26"/>
                <w:szCs w:val="26"/>
              </w:rPr>
            </w:pPr>
            <w:r w:rsidRPr="00CF53DC">
              <w:rPr>
                <w:b/>
                <w:sz w:val="26"/>
                <w:szCs w:val="26"/>
              </w:rPr>
              <w:t xml:space="preserve">Article </w:t>
            </w:r>
            <w:r w:rsidR="005E3232" w:rsidRPr="00CF53DC">
              <w:rPr>
                <w:b/>
                <w:sz w:val="26"/>
                <w:szCs w:val="26"/>
              </w:rPr>
              <w:t xml:space="preserve">9 </w:t>
            </w:r>
            <w:r w:rsidRPr="00CF53DC">
              <w:rPr>
                <w:b/>
                <w:sz w:val="26"/>
                <w:szCs w:val="26"/>
              </w:rPr>
              <w:t xml:space="preserve">– </w:t>
            </w:r>
            <w:r w:rsidR="0054651D" w:rsidRPr="00CF53DC">
              <w:rPr>
                <w:b/>
                <w:sz w:val="26"/>
                <w:szCs w:val="26"/>
              </w:rPr>
              <w:t xml:space="preserve">packaging standardisation </w:t>
            </w:r>
          </w:p>
        </w:tc>
      </w:tr>
      <w:tr w:rsidR="00255EE4" w14:paraId="6D7DFD2E" w14:textId="77777777" w:rsidTr="007861BC">
        <w:trPr>
          <w:trHeight w:val="2405"/>
        </w:trPr>
        <w:tc>
          <w:tcPr>
            <w:tcW w:w="3969" w:type="dxa"/>
            <w:shd w:val="clear" w:color="auto" w:fill="auto"/>
          </w:tcPr>
          <w:p w14:paraId="09E8D1B2" w14:textId="77777777" w:rsidR="00255EE4" w:rsidRPr="00CF53DC" w:rsidRDefault="00255EE4" w:rsidP="00D70E3B">
            <w:pPr>
              <w:autoSpaceDE w:val="0"/>
              <w:autoSpaceDN w:val="0"/>
              <w:adjustRightInd w:val="0"/>
              <w:spacing w:after="0"/>
              <w:jc w:val="center"/>
              <w:rPr>
                <w:rFonts w:cstheme="minorHAnsi"/>
                <w:b/>
                <w:sz w:val="20"/>
                <w:szCs w:val="20"/>
              </w:rPr>
            </w:pPr>
            <w:r w:rsidRPr="00CF53DC">
              <w:rPr>
                <w:rFonts w:cstheme="minorHAnsi"/>
                <w:b/>
                <w:sz w:val="20"/>
                <w:szCs w:val="20"/>
              </w:rPr>
              <w:t>COM Proposal</w:t>
            </w:r>
          </w:p>
          <w:p w14:paraId="43C1419A" w14:textId="77777777" w:rsidR="00255EE4" w:rsidRPr="00CF53DC" w:rsidRDefault="00255EE4" w:rsidP="00AA231D">
            <w:pPr>
              <w:autoSpaceDE w:val="0"/>
              <w:autoSpaceDN w:val="0"/>
              <w:adjustRightInd w:val="0"/>
              <w:spacing w:after="0"/>
              <w:rPr>
                <w:rFonts w:cstheme="minorHAnsi"/>
                <w:b/>
                <w:sz w:val="20"/>
                <w:szCs w:val="20"/>
              </w:rPr>
            </w:pPr>
          </w:p>
          <w:p w14:paraId="576D8D1D" w14:textId="77777777" w:rsidR="00AA231D" w:rsidRPr="00CF53DC" w:rsidRDefault="00AA231D" w:rsidP="00AA231D">
            <w:pPr>
              <w:autoSpaceDE w:val="0"/>
              <w:autoSpaceDN w:val="0"/>
              <w:adjustRightInd w:val="0"/>
              <w:spacing w:after="0"/>
              <w:rPr>
                <w:rFonts w:cstheme="minorHAnsi"/>
                <w:b/>
                <w:sz w:val="20"/>
                <w:szCs w:val="20"/>
              </w:rPr>
            </w:pPr>
          </w:p>
          <w:p w14:paraId="2A0DFEFB" w14:textId="77777777" w:rsidR="00255EE4" w:rsidRPr="00CF53DC" w:rsidRDefault="00255EE4" w:rsidP="00E82337">
            <w:pPr>
              <w:pStyle w:val="Default"/>
              <w:jc w:val="both"/>
              <w:rPr>
                <w:b/>
                <w:iCs/>
                <w:sz w:val="20"/>
                <w:szCs w:val="20"/>
              </w:rPr>
            </w:pPr>
          </w:p>
        </w:tc>
        <w:tc>
          <w:tcPr>
            <w:tcW w:w="4536" w:type="dxa"/>
            <w:shd w:val="clear" w:color="auto" w:fill="FF9B9B"/>
          </w:tcPr>
          <w:p w14:paraId="3F5DC3E3" w14:textId="5DACF1B2" w:rsidR="00B802D5" w:rsidRPr="00CF53DC" w:rsidRDefault="00255EE4" w:rsidP="00CF53DC">
            <w:pPr>
              <w:autoSpaceDE w:val="0"/>
              <w:autoSpaceDN w:val="0"/>
              <w:adjustRightInd w:val="0"/>
              <w:spacing w:after="0"/>
              <w:jc w:val="center"/>
              <w:rPr>
                <w:b/>
                <w:sz w:val="20"/>
                <w:szCs w:val="20"/>
              </w:rPr>
            </w:pPr>
            <w:r w:rsidRPr="00CF53DC">
              <w:rPr>
                <w:b/>
                <w:sz w:val="20"/>
                <w:szCs w:val="20"/>
              </w:rPr>
              <w:t>EP Mandate</w:t>
            </w:r>
          </w:p>
          <w:p w14:paraId="57922C64" w14:textId="37F0CC08" w:rsidR="002A5325" w:rsidRPr="00CF53DC" w:rsidRDefault="001C7563" w:rsidP="002A5325">
            <w:pPr>
              <w:pStyle w:val="Default"/>
              <w:jc w:val="both"/>
              <w:rPr>
                <w:b/>
                <w:color w:val="auto"/>
                <w:sz w:val="20"/>
                <w:szCs w:val="20"/>
              </w:rPr>
            </w:pPr>
            <w:r w:rsidRPr="00CF53DC">
              <w:rPr>
                <w:b/>
                <w:color w:val="auto"/>
                <w:sz w:val="20"/>
                <w:szCs w:val="20"/>
              </w:rPr>
              <w:t>(Article 9 para 2 new a)</w:t>
            </w:r>
          </w:p>
          <w:p w14:paraId="70552AB4" w14:textId="45EA0470" w:rsidR="001C7563" w:rsidRPr="00CF53DC" w:rsidRDefault="001C7563" w:rsidP="001C7563">
            <w:pPr>
              <w:pStyle w:val="Default"/>
              <w:jc w:val="both"/>
              <w:rPr>
                <w:color w:val="auto"/>
                <w:sz w:val="20"/>
                <w:szCs w:val="20"/>
              </w:rPr>
            </w:pPr>
            <w:r w:rsidRPr="00CF53DC">
              <w:rPr>
                <w:b/>
                <w:bCs/>
                <w:i/>
                <w:iCs/>
                <w:color w:val="auto"/>
                <w:sz w:val="20"/>
                <w:szCs w:val="20"/>
              </w:rPr>
              <w:t xml:space="preserve">By ... [OP: Please insert the date = 36 months from the date of entry into force of this Regulation], the Commission shall request the European standardisation organisations, as appropriate, to </w:t>
            </w:r>
            <w:r w:rsidRPr="00D65E8F">
              <w:rPr>
                <w:b/>
                <w:bCs/>
                <w:i/>
                <w:iCs/>
                <w:color w:val="auto"/>
                <w:sz w:val="20"/>
                <w:szCs w:val="20"/>
                <w:highlight w:val="red"/>
              </w:rPr>
              <w:t>prepare or update harmonised standards laying down the methodology for the calculation and measurement of compliance with the requirements concerning packaging minimisation under this Regulation. For most common packaging types and formats such standards should specify maximum adequate weight and volume limits, and, if appropriate, wall thickness and maximum empty space.</w:t>
            </w:r>
            <w:r w:rsidRPr="00CF53DC">
              <w:rPr>
                <w:b/>
                <w:bCs/>
                <w:i/>
                <w:iCs/>
                <w:color w:val="auto"/>
                <w:sz w:val="20"/>
                <w:szCs w:val="20"/>
              </w:rPr>
              <w:t xml:space="preserve"> </w:t>
            </w:r>
          </w:p>
          <w:p w14:paraId="119C18D9" w14:textId="54CE2653" w:rsidR="002A5325" w:rsidRPr="00CF53DC" w:rsidRDefault="002A5325" w:rsidP="002A5325">
            <w:pPr>
              <w:pStyle w:val="Default"/>
              <w:jc w:val="both"/>
              <w:rPr>
                <w:b/>
                <w:iCs/>
                <w:color w:val="auto"/>
                <w:sz w:val="20"/>
                <w:szCs w:val="20"/>
              </w:rPr>
            </w:pPr>
          </w:p>
        </w:tc>
        <w:tc>
          <w:tcPr>
            <w:tcW w:w="4111" w:type="dxa"/>
            <w:shd w:val="clear" w:color="auto" w:fill="FF9B9B"/>
          </w:tcPr>
          <w:p w14:paraId="0EFC301E" w14:textId="4A7C89CC" w:rsidR="00B802D5" w:rsidRPr="00CF53DC" w:rsidRDefault="00255EE4" w:rsidP="00CF53DC">
            <w:pPr>
              <w:autoSpaceDE w:val="0"/>
              <w:autoSpaceDN w:val="0"/>
              <w:adjustRightInd w:val="0"/>
              <w:spacing w:after="0"/>
              <w:jc w:val="center"/>
              <w:rPr>
                <w:b/>
                <w:sz w:val="20"/>
                <w:szCs w:val="20"/>
              </w:rPr>
            </w:pPr>
            <w:r w:rsidRPr="00CF53DC">
              <w:rPr>
                <w:b/>
                <w:sz w:val="20"/>
                <w:szCs w:val="20"/>
              </w:rPr>
              <w:lastRenderedPageBreak/>
              <w:t>Council Mandate</w:t>
            </w:r>
          </w:p>
          <w:p w14:paraId="35A1A9BE" w14:textId="48371CB4" w:rsidR="001C7563" w:rsidRPr="00CF53DC" w:rsidRDefault="001C7563" w:rsidP="00CD1EF9">
            <w:pPr>
              <w:pStyle w:val="Default"/>
              <w:jc w:val="both"/>
              <w:rPr>
                <w:b/>
                <w:bCs/>
                <w:sz w:val="20"/>
                <w:szCs w:val="20"/>
              </w:rPr>
            </w:pPr>
            <w:r w:rsidRPr="00CF53DC">
              <w:rPr>
                <w:b/>
                <w:sz w:val="20"/>
                <w:szCs w:val="20"/>
              </w:rPr>
              <w:t xml:space="preserve">(Article 9 para 4 new a) </w:t>
            </w:r>
          </w:p>
          <w:p w14:paraId="2D423569" w14:textId="350FE1A8" w:rsidR="00255EE4" w:rsidRPr="00CF53DC" w:rsidRDefault="00CD1EF9" w:rsidP="00D70E3B">
            <w:pPr>
              <w:pStyle w:val="Default"/>
              <w:jc w:val="both"/>
              <w:rPr>
                <w:sz w:val="20"/>
                <w:szCs w:val="20"/>
              </w:rPr>
            </w:pPr>
            <w:r w:rsidRPr="00CF53DC">
              <w:rPr>
                <w:rFonts w:ascii="TimesNewRomanPS-BoldMT" w:hAnsi="TimesNewRomanPS-BoldMT" w:cs="TimesNewRomanPS-BoldMT"/>
                <w:b/>
                <w:bCs/>
                <w:sz w:val="20"/>
                <w:szCs w:val="20"/>
              </w:rPr>
              <w:t xml:space="preserve">By … [12 months from the entry into </w:t>
            </w:r>
            <w:r w:rsidRPr="00CF53DC">
              <w:rPr>
                <w:b/>
                <w:bCs/>
                <w:sz w:val="20"/>
                <w:szCs w:val="20"/>
              </w:rPr>
              <w:t xml:space="preserve">force of this Regulation] the Commission shall request the European standardisation organisations to prepare or update, as appropriate, </w:t>
            </w:r>
            <w:r w:rsidRPr="00D65E8F">
              <w:rPr>
                <w:b/>
                <w:bCs/>
                <w:sz w:val="20"/>
                <w:szCs w:val="20"/>
                <w:highlight w:val="red"/>
              </w:rPr>
              <w:t xml:space="preserve">harmonised standards laying down the methodology for the calculation and measurement of compliance with the requirements concerning packaging minimisation under this Regulation. For certain most common packaging types and formats the Commission shall request that those standards should specify maximum adequate weight and volume limits, and, </w:t>
            </w:r>
            <w:r w:rsidRPr="00D65E8F">
              <w:rPr>
                <w:b/>
                <w:bCs/>
                <w:sz w:val="20"/>
                <w:szCs w:val="20"/>
                <w:highlight w:val="red"/>
              </w:rPr>
              <w:lastRenderedPageBreak/>
              <w:t>if appropriate, wall thickness and maximum empty space</w:t>
            </w:r>
            <w:r w:rsidRPr="00CF53DC">
              <w:rPr>
                <w:b/>
                <w:bCs/>
                <w:sz w:val="20"/>
                <w:szCs w:val="20"/>
              </w:rPr>
              <w:t xml:space="preserve">. </w:t>
            </w:r>
          </w:p>
        </w:tc>
        <w:tc>
          <w:tcPr>
            <w:tcW w:w="3260" w:type="dxa"/>
            <w:shd w:val="clear" w:color="auto" w:fill="auto"/>
          </w:tcPr>
          <w:p w14:paraId="452D4A69" w14:textId="54BCD075" w:rsidR="00B802D5" w:rsidRPr="00CF53DC" w:rsidRDefault="00255EE4" w:rsidP="00B802D5">
            <w:pPr>
              <w:autoSpaceDE w:val="0"/>
              <w:autoSpaceDN w:val="0"/>
              <w:adjustRightInd w:val="0"/>
              <w:spacing w:after="0"/>
              <w:jc w:val="center"/>
              <w:rPr>
                <w:b/>
                <w:sz w:val="20"/>
                <w:szCs w:val="20"/>
              </w:rPr>
            </w:pPr>
            <w:r w:rsidRPr="00CF53DC">
              <w:rPr>
                <w:b/>
                <w:sz w:val="20"/>
                <w:szCs w:val="20"/>
              </w:rPr>
              <w:lastRenderedPageBreak/>
              <w:t>A.I.S.E. position</w:t>
            </w:r>
          </w:p>
          <w:p w14:paraId="1986DD37" w14:textId="77777777" w:rsidR="00B802D5" w:rsidRPr="00CF53DC" w:rsidRDefault="00B802D5" w:rsidP="00B802D5">
            <w:pPr>
              <w:autoSpaceDE w:val="0"/>
              <w:autoSpaceDN w:val="0"/>
              <w:adjustRightInd w:val="0"/>
              <w:spacing w:after="0"/>
              <w:rPr>
                <w:b/>
                <w:sz w:val="20"/>
                <w:szCs w:val="20"/>
              </w:rPr>
            </w:pPr>
          </w:p>
          <w:p w14:paraId="1AD879EC" w14:textId="29960834" w:rsidR="00B802D5" w:rsidRPr="00CF53DC" w:rsidRDefault="00B802D5" w:rsidP="00B802D5">
            <w:pPr>
              <w:autoSpaceDE w:val="0"/>
              <w:autoSpaceDN w:val="0"/>
              <w:adjustRightInd w:val="0"/>
              <w:spacing w:after="0"/>
              <w:jc w:val="left"/>
              <w:rPr>
                <w:b/>
                <w:sz w:val="20"/>
                <w:szCs w:val="20"/>
              </w:rPr>
            </w:pPr>
            <w:r w:rsidRPr="00CF53DC">
              <w:rPr>
                <w:rFonts w:eastAsia="Times New Roman"/>
                <w:sz w:val="20"/>
                <w:szCs w:val="20"/>
                <w:u w:val="single"/>
              </w:rPr>
              <w:t>Against</w:t>
            </w:r>
            <w:r w:rsidRPr="00CF53DC">
              <w:rPr>
                <w:rFonts w:eastAsia="Times New Roman"/>
                <w:sz w:val="20"/>
                <w:szCs w:val="20"/>
              </w:rPr>
              <w:t xml:space="preserve"> </w:t>
            </w:r>
            <w:r w:rsidRPr="00D65E8F">
              <w:rPr>
                <w:rFonts w:eastAsia="Times New Roman"/>
                <w:sz w:val="20"/>
                <w:szCs w:val="20"/>
                <w:u w:val="single"/>
              </w:rPr>
              <w:t>any</w:t>
            </w:r>
            <w:r w:rsidRPr="00CF53DC">
              <w:rPr>
                <w:rFonts w:eastAsia="Times New Roman"/>
                <w:sz w:val="20"/>
                <w:szCs w:val="20"/>
              </w:rPr>
              <w:t xml:space="preserve"> provisions on packaging standardization </w:t>
            </w:r>
          </w:p>
          <w:p w14:paraId="2725BADA" w14:textId="77777777" w:rsidR="00B802D5" w:rsidRPr="00CF53DC" w:rsidRDefault="00B802D5" w:rsidP="00D70E3B">
            <w:pPr>
              <w:autoSpaceDE w:val="0"/>
              <w:autoSpaceDN w:val="0"/>
              <w:adjustRightInd w:val="0"/>
              <w:spacing w:after="0"/>
              <w:jc w:val="left"/>
              <w:rPr>
                <w:b/>
                <w:iCs/>
                <w:sz w:val="20"/>
                <w:szCs w:val="20"/>
              </w:rPr>
            </w:pPr>
          </w:p>
        </w:tc>
      </w:tr>
    </w:tbl>
    <w:p w14:paraId="2E6EF8CA" w14:textId="77777777" w:rsidR="00B176DE" w:rsidRDefault="00B176DE" w:rsidP="0063286E">
      <w:pPr>
        <w:tabs>
          <w:tab w:val="num" w:pos="720"/>
        </w:tabs>
        <w:spacing w:after="0" w:line="259" w:lineRule="auto"/>
        <w:jc w:val="left"/>
        <w:rPr>
          <w:rFonts w:eastAsia="Times New Roman"/>
          <w:b/>
          <w:bCs/>
        </w:rPr>
      </w:pPr>
    </w:p>
    <w:p w14:paraId="709ACE14" w14:textId="3A70F0FC" w:rsidR="00B802D5" w:rsidRPr="00CF53DC" w:rsidRDefault="00562151" w:rsidP="00784C72">
      <w:pPr>
        <w:pStyle w:val="Paragraphedeliste"/>
        <w:numPr>
          <w:ilvl w:val="0"/>
          <w:numId w:val="39"/>
        </w:numPr>
        <w:tabs>
          <w:tab w:val="num" w:pos="720"/>
        </w:tabs>
        <w:spacing w:after="0" w:line="259" w:lineRule="auto"/>
        <w:ind w:left="360"/>
        <w:jc w:val="left"/>
        <w:rPr>
          <w:rFonts w:eastAsia="Times New Roman"/>
          <w:b/>
          <w:bCs/>
        </w:rPr>
      </w:pPr>
      <w:r>
        <w:rPr>
          <w:rFonts w:eastAsia="Times New Roman"/>
          <w:b/>
          <w:color w:val="007576" w:themeColor="accent1"/>
          <w:sz w:val="32"/>
          <w:szCs w:val="32"/>
        </w:rPr>
        <w:t xml:space="preserve">OBLIGATION RELATED TO EXCESSIVE PACKAGING </w:t>
      </w:r>
    </w:p>
    <w:tbl>
      <w:tblPr>
        <w:tblStyle w:val="Grilledutableau"/>
        <w:tblW w:w="15876" w:type="dxa"/>
        <w:tblInd w:w="-572" w:type="dxa"/>
        <w:shd w:val="clear" w:color="auto" w:fill="FFFFFF" w:themeFill="background1"/>
        <w:tblLook w:val="04A0" w:firstRow="1" w:lastRow="0" w:firstColumn="1" w:lastColumn="0" w:noHBand="0" w:noVBand="1"/>
      </w:tblPr>
      <w:tblGrid>
        <w:gridCol w:w="3969"/>
        <w:gridCol w:w="4536"/>
        <w:gridCol w:w="4111"/>
        <w:gridCol w:w="3260"/>
      </w:tblGrid>
      <w:tr w:rsidR="00851458" w:rsidRPr="00DE3AE7" w14:paraId="61DDA0AE" w14:textId="77777777" w:rsidTr="007861BC">
        <w:trPr>
          <w:trHeight w:val="337"/>
        </w:trPr>
        <w:tc>
          <w:tcPr>
            <w:tcW w:w="15876" w:type="dxa"/>
            <w:gridSpan w:val="4"/>
            <w:shd w:val="clear" w:color="auto" w:fill="auto"/>
          </w:tcPr>
          <w:p w14:paraId="5FBFF317" w14:textId="16197386" w:rsidR="00851458" w:rsidRPr="00CF53DC" w:rsidRDefault="00851458" w:rsidP="00D70E3B">
            <w:pPr>
              <w:autoSpaceDE w:val="0"/>
              <w:autoSpaceDN w:val="0"/>
              <w:adjustRightInd w:val="0"/>
              <w:spacing w:after="0"/>
              <w:jc w:val="left"/>
              <w:rPr>
                <w:b/>
                <w:sz w:val="26"/>
                <w:szCs w:val="26"/>
              </w:rPr>
            </w:pPr>
            <w:r w:rsidRPr="00CF53DC">
              <w:rPr>
                <w:b/>
                <w:sz w:val="26"/>
                <w:szCs w:val="26"/>
              </w:rPr>
              <w:t xml:space="preserve">Article 21 </w:t>
            </w:r>
            <w:r w:rsidR="001355D8" w:rsidRPr="00CF53DC">
              <w:rPr>
                <w:b/>
                <w:sz w:val="26"/>
                <w:szCs w:val="26"/>
              </w:rPr>
              <w:t>para 1 – empty space ratio</w:t>
            </w:r>
          </w:p>
        </w:tc>
      </w:tr>
      <w:tr w:rsidR="00851458" w14:paraId="129D2103" w14:textId="77777777" w:rsidTr="007861BC">
        <w:trPr>
          <w:trHeight w:val="902"/>
        </w:trPr>
        <w:tc>
          <w:tcPr>
            <w:tcW w:w="3969" w:type="dxa"/>
            <w:shd w:val="clear" w:color="auto" w:fill="auto"/>
          </w:tcPr>
          <w:p w14:paraId="06C2774E" w14:textId="16A722D5" w:rsidR="000C1EB1" w:rsidRPr="00CF53DC" w:rsidRDefault="00851458" w:rsidP="00CF53DC">
            <w:pPr>
              <w:autoSpaceDE w:val="0"/>
              <w:autoSpaceDN w:val="0"/>
              <w:adjustRightInd w:val="0"/>
              <w:spacing w:after="0"/>
              <w:jc w:val="center"/>
              <w:rPr>
                <w:rFonts w:cstheme="minorHAnsi"/>
                <w:b/>
                <w:sz w:val="20"/>
                <w:szCs w:val="20"/>
              </w:rPr>
            </w:pPr>
            <w:r w:rsidRPr="00CF53DC">
              <w:rPr>
                <w:rFonts w:cstheme="minorHAnsi"/>
                <w:b/>
                <w:sz w:val="20"/>
                <w:szCs w:val="20"/>
              </w:rPr>
              <w:t>COM Proposal</w:t>
            </w:r>
          </w:p>
          <w:p w14:paraId="2E358A70" w14:textId="77777777" w:rsidR="001355D8" w:rsidRPr="00CF53DC" w:rsidRDefault="001355D8" w:rsidP="001355D8">
            <w:pPr>
              <w:pStyle w:val="Default"/>
              <w:jc w:val="both"/>
              <w:rPr>
                <w:color w:val="auto"/>
                <w:sz w:val="20"/>
                <w:szCs w:val="20"/>
              </w:rPr>
            </w:pPr>
            <w:r w:rsidRPr="00CF53DC">
              <w:rPr>
                <w:color w:val="auto"/>
                <w:sz w:val="20"/>
                <w:szCs w:val="20"/>
              </w:rPr>
              <w:t xml:space="preserve">Economic operators who supply products to a final distributor or an end user in grouped packaging, transport packaging or e-commerce packaging, shall ensure that the empty space ratio is maximum 40 %. </w:t>
            </w:r>
          </w:p>
          <w:p w14:paraId="56BAD9F9" w14:textId="77777777" w:rsidR="000C1EB1" w:rsidRPr="001355D8" w:rsidRDefault="000C1EB1" w:rsidP="00D70E3B">
            <w:pPr>
              <w:autoSpaceDE w:val="0"/>
              <w:autoSpaceDN w:val="0"/>
              <w:adjustRightInd w:val="0"/>
              <w:spacing w:after="0"/>
              <w:rPr>
                <w:rFonts w:cstheme="minorHAnsi"/>
                <w:b/>
              </w:rPr>
            </w:pPr>
          </w:p>
          <w:p w14:paraId="565E9013" w14:textId="77777777" w:rsidR="00851458" w:rsidRPr="002A5325" w:rsidRDefault="00851458" w:rsidP="00D70E3B">
            <w:pPr>
              <w:autoSpaceDE w:val="0"/>
              <w:autoSpaceDN w:val="0"/>
              <w:adjustRightInd w:val="0"/>
              <w:spacing w:after="0"/>
              <w:rPr>
                <w:rFonts w:cstheme="minorHAnsi"/>
                <w:b/>
              </w:rPr>
            </w:pPr>
          </w:p>
          <w:p w14:paraId="04CA06F1" w14:textId="77777777" w:rsidR="00851458" w:rsidRPr="002A5325" w:rsidRDefault="00851458" w:rsidP="00D70E3B">
            <w:pPr>
              <w:pStyle w:val="Default"/>
              <w:jc w:val="both"/>
              <w:rPr>
                <w:b/>
                <w:iCs/>
                <w:sz w:val="28"/>
                <w:szCs w:val="28"/>
              </w:rPr>
            </w:pPr>
          </w:p>
        </w:tc>
        <w:tc>
          <w:tcPr>
            <w:tcW w:w="4536" w:type="dxa"/>
            <w:shd w:val="clear" w:color="auto" w:fill="B1E8AA"/>
          </w:tcPr>
          <w:p w14:paraId="7F42AEAF" w14:textId="5FAA3D5B" w:rsidR="00D94DDB" w:rsidRPr="00CF53DC" w:rsidRDefault="00851458" w:rsidP="00CF53DC">
            <w:pPr>
              <w:autoSpaceDE w:val="0"/>
              <w:autoSpaceDN w:val="0"/>
              <w:adjustRightInd w:val="0"/>
              <w:spacing w:after="0"/>
              <w:jc w:val="center"/>
              <w:rPr>
                <w:b/>
                <w:sz w:val="20"/>
                <w:szCs w:val="20"/>
              </w:rPr>
            </w:pPr>
            <w:r w:rsidRPr="00CF53DC">
              <w:rPr>
                <w:b/>
                <w:sz w:val="20"/>
                <w:szCs w:val="20"/>
              </w:rPr>
              <w:t>EP Mandate</w:t>
            </w:r>
          </w:p>
          <w:p w14:paraId="14407D1C" w14:textId="1990D50A" w:rsidR="00D94DDB" w:rsidRPr="00CF53DC" w:rsidRDefault="00D94DDB" w:rsidP="00D94DDB">
            <w:pPr>
              <w:pStyle w:val="Default"/>
              <w:jc w:val="both"/>
              <w:rPr>
                <w:color w:val="auto"/>
                <w:sz w:val="22"/>
                <w:szCs w:val="22"/>
              </w:rPr>
            </w:pPr>
            <w:r w:rsidRPr="00CF53DC">
              <w:rPr>
                <w:b/>
                <w:bCs/>
                <w:i/>
                <w:iCs/>
                <w:color w:val="auto"/>
                <w:sz w:val="20"/>
                <w:szCs w:val="20"/>
              </w:rPr>
              <w:t xml:space="preserve">By 1 January 2030, </w:t>
            </w:r>
            <w:r w:rsidRPr="00CF53DC">
              <w:rPr>
                <w:color w:val="auto"/>
                <w:sz w:val="20"/>
                <w:szCs w:val="20"/>
              </w:rPr>
              <w:t xml:space="preserve">economic operators who supply products to a final distributor or an end user in grouped packaging, transport packaging or e-commerce packaging, </w:t>
            </w:r>
            <w:r w:rsidRPr="00F97BA4">
              <w:rPr>
                <w:color w:val="auto"/>
                <w:sz w:val="20"/>
                <w:szCs w:val="20"/>
                <w:highlight w:val="green"/>
              </w:rPr>
              <w:t xml:space="preserve">shall ensure that the empty space ratio is </w:t>
            </w:r>
            <w:r w:rsidRPr="00F97BA4">
              <w:rPr>
                <w:i/>
                <w:iCs/>
                <w:strike/>
                <w:color w:val="auto"/>
                <w:sz w:val="20"/>
                <w:szCs w:val="20"/>
                <w:highlight w:val="green"/>
              </w:rPr>
              <w:t>maximum 40 %</w:t>
            </w:r>
            <w:r w:rsidRPr="00F97BA4">
              <w:rPr>
                <w:i/>
                <w:color w:val="auto"/>
                <w:sz w:val="20"/>
                <w:szCs w:val="20"/>
                <w:highlight w:val="green"/>
              </w:rPr>
              <w:t xml:space="preserve"> </w:t>
            </w:r>
            <w:r w:rsidRPr="00F97BA4">
              <w:rPr>
                <w:b/>
                <w:bCs/>
                <w:i/>
                <w:iCs/>
                <w:color w:val="auto"/>
                <w:sz w:val="20"/>
                <w:szCs w:val="20"/>
                <w:highlight w:val="green"/>
              </w:rPr>
              <w:t>minimised in line with the provisions laid down in Part 1 of Annex IV</w:t>
            </w:r>
            <w:r w:rsidRPr="00CF53DC">
              <w:rPr>
                <w:b/>
                <w:bCs/>
                <w:i/>
                <w:iCs/>
                <w:color w:val="auto"/>
                <w:sz w:val="20"/>
                <w:szCs w:val="20"/>
              </w:rPr>
              <w:t xml:space="preserve">, unless it is required to protect and transport fragile goods or it would lead to an increased amount of packaging </w:t>
            </w:r>
            <w:r w:rsidRPr="00CF53DC">
              <w:rPr>
                <w:b/>
                <w:i/>
                <w:color w:val="auto"/>
                <w:sz w:val="20"/>
                <w:szCs w:val="20"/>
              </w:rPr>
              <w:t>material due to the specific shape of the product or sales packaging.</w:t>
            </w:r>
          </w:p>
          <w:p w14:paraId="59A8F5B2" w14:textId="77777777" w:rsidR="00D94DDB" w:rsidRPr="00D94DDB" w:rsidRDefault="00D94DDB" w:rsidP="00D94DDB">
            <w:pPr>
              <w:autoSpaceDE w:val="0"/>
              <w:autoSpaceDN w:val="0"/>
              <w:adjustRightInd w:val="0"/>
              <w:spacing w:after="0"/>
              <w:rPr>
                <w:b/>
                <w:iCs/>
              </w:rPr>
            </w:pPr>
          </w:p>
          <w:p w14:paraId="17E6A9AB" w14:textId="15671B0B" w:rsidR="00851458" w:rsidRPr="001355D8" w:rsidRDefault="00851458" w:rsidP="001355D8">
            <w:pPr>
              <w:pStyle w:val="Default"/>
              <w:jc w:val="both"/>
              <w:rPr>
                <w:b/>
                <w:bCs/>
                <w:i/>
                <w:iCs/>
                <w:color w:val="auto"/>
                <w:sz w:val="22"/>
                <w:szCs w:val="22"/>
              </w:rPr>
            </w:pPr>
          </w:p>
        </w:tc>
        <w:tc>
          <w:tcPr>
            <w:tcW w:w="4111" w:type="dxa"/>
            <w:shd w:val="clear" w:color="auto" w:fill="FF9B9B"/>
          </w:tcPr>
          <w:p w14:paraId="4DC8DCAF" w14:textId="5FC355F0" w:rsidR="00851458" w:rsidRPr="00CF53DC" w:rsidRDefault="00851458" w:rsidP="00CF53DC">
            <w:pPr>
              <w:autoSpaceDE w:val="0"/>
              <w:autoSpaceDN w:val="0"/>
              <w:adjustRightInd w:val="0"/>
              <w:spacing w:after="0"/>
              <w:jc w:val="center"/>
              <w:rPr>
                <w:b/>
                <w:sz w:val="20"/>
                <w:szCs w:val="20"/>
              </w:rPr>
            </w:pPr>
            <w:r w:rsidRPr="00CF53DC">
              <w:rPr>
                <w:b/>
                <w:sz w:val="20"/>
                <w:szCs w:val="20"/>
              </w:rPr>
              <w:t>Council Mandate</w:t>
            </w:r>
          </w:p>
          <w:p w14:paraId="4830F2CC" w14:textId="46F17676" w:rsidR="00B176DE" w:rsidRPr="00CE033F" w:rsidRDefault="0006340B" w:rsidP="0006340B">
            <w:pPr>
              <w:pStyle w:val="Default"/>
              <w:jc w:val="both"/>
              <w:rPr>
                <w:b/>
                <w:bCs/>
                <w:sz w:val="20"/>
                <w:szCs w:val="20"/>
              </w:rPr>
            </w:pPr>
            <w:r w:rsidRPr="00CF53DC">
              <w:rPr>
                <w:strike/>
                <w:sz w:val="20"/>
                <w:szCs w:val="20"/>
              </w:rPr>
              <w:t>Economic operators who supply products to a final distributor or an end user</w:t>
            </w:r>
            <w:r w:rsidR="00B063C1" w:rsidRPr="00CF53DC">
              <w:rPr>
                <w:sz w:val="20"/>
                <w:szCs w:val="20"/>
              </w:rPr>
              <w:t xml:space="preserve"> </w:t>
            </w:r>
            <w:r w:rsidRPr="00CF53DC">
              <w:rPr>
                <w:b/>
                <w:bCs/>
                <w:sz w:val="20"/>
                <w:szCs w:val="20"/>
              </w:rPr>
              <w:t xml:space="preserve">By 1 January 2030, or 36 months after the entry into force of the delegated acts adopted pursuant to the second sub-paragraph, whichever is the latest, economic operators who fills the packaging </w:t>
            </w:r>
            <w:r w:rsidRPr="00CF53DC">
              <w:rPr>
                <w:sz w:val="20"/>
                <w:szCs w:val="20"/>
              </w:rPr>
              <w:t xml:space="preserve">in grouped packaging, transport packaging or e-commerce packaging, </w:t>
            </w:r>
            <w:r w:rsidRPr="00F97BA4">
              <w:rPr>
                <w:sz w:val="20"/>
                <w:szCs w:val="20"/>
                <w:highlight w:val="red"/>
              </w:rPr>
              <w:t xml:space="preserve">shall ensure that the empty space ratio is maximum </w:t>
            </w:r>
            <w:r w:rsidRPr="00F97BA4">
              <w:rPr>
                <w:b/>
                <w:bCs/>
                <w:sz w:val="20"/>
                <w:szCs w:val="20"/>
                <w:highlight w:val="red"/>
              </w:rPr>
              <w:t>50 %.</w:t>
            </w:r>
            <w:r w:rsidRPr="00CF53DC">
              <w:rPr>
                <w:b/>
                <w:bCs/>
                <w:sz w:val="20"/>
                <w:szCs w:val="20"/>
              </w:rPr>
              <w:t xml:space="preserve"> </w:t>
            </w:r>
          </w:p>
          <w:p w14:paraId="49213612" w14:textId="5DCAFBF6" w:rsidR="00851458" w:rsidRPr="00CF53DC" w:rsidRDefault="008B177E" w:rsidP="00D70E3B">
            <w:pPr>
              <w:pStyle w:val="Default"/>
              <w:jc w:val="both"/>
              <w:rPr>
                <w:sz w:val="20"/>
                <w:szCs w:val="20"/>
              </w:rPr>
            </w:pPr>
            <w:r w:rsidRPr="00CF53DC">
              <w:rPr>
                <w:b/>
                <w:bCs/>
                <w:sz w:val="20"/>
                <w:szCs w:val="20"/>
              </w:rPr>
              <w:t xml:space="preserve">By 3 years after the entry into force of this Regulation, the Commission is empowered to adopt implementing acts in accordance with Article 58 to establish the methodology for the calculation of the empty space ration set out in paragraph 1.The methodology shall take into account the special characteristics of packaging which needs to be placed in an empty space large enough to comply </w:t>
            </w:r>
            <w:r w:rsidRPr="00CF53DC">
              <w:rPr>
                <w:b/>
                <w:bCs/>
                <w:sz w:val="20"/>
                <w:szCs w:val="20"/>
              </w:rPr>
              <w:lastRenderedPageBreak/>
              <w:t>with applicable legal requirements or to protect the product, in particular concerning packaged</w:t>
            </w:r>
            <w:r w:rsidRPr="00CF53DC">
              <w:rPr>
                <w:b/>
                <w:sz w:val="20"/>
                <w:szCs w:val="20"/>
              </w:rPr>
              <w:t xml:space="preserve"> </w:t>
            </w:r>
            <w:r w:rsidRPr="00CF53DC">
              <w:rPr>
                <w:b/>
                <w:bCs/>
                <w:sz w:val="20"/>
                <w:szCs w:val="20"/>
              </w:rPr>
              <w:t xml:space="preserve">products of irregular shapes, packaging containing more than one sales packaging or product, packaging containing liquid products, packaged products the content of which can easily be damaged, packaged products that can be damaged by larger products due to their small dimensions, and the minimum space on the transport packaging to enable attachment of the shipment labels </w:t>
            </w:r>
            <w:r w:rsidRPr="00CF53DC">
              <w:rPr>
                <w:strike/>
                <w:sz w:val="20"/>
                <w:szCs w:val="20"/>
              </w:rPr>
              <w:t>40 %.</w:t>
            </w:r>
            <w:r w:rsidRPr="00CF53DC">
              <w:rPr>
                <w:sz w:val="20"/>
                <w:szCs w:val="20"/>
              </w:rPr>
              <w:t xml:space="preserve"> </w:t>
            </w:r>
          </w:p>
        </w:tc>
        <w:tc>
          <w:tcPr>
            <w:tcW w:w="3260" w:type="dxa"/>
            <w:shd w:val="clear" w:color="auto" w:fill="auto"/>
          </w:tcPr>
          <w:p w14:paraId="1A243D1D" w14:textId="77777777" w:rsidR="00851458" w:rsidRPr="00CF53DC" w:rsidRDefault="00851458" w:rsidP="00D70E3B">
            <w:pPr>
              <w:autoSpaceDE w:val="0"/>
              <w:autoSpaceDN w:val="0"/>
              <w:adjustRightInd w:val="0"/>
              <w:spacing w:after="0"/>
              <w:jc w:val="center"/>
              <w:rPr>
                <w:b/>
                <w:sz w:val="20"/>
                <w:szCs w:val="20"/>
              </w:rPr>
            </w:pPr>
            <w:r w:rsidRPr="00CF53DC">
              <w:rPr>
                <w:b/>
                <w:sz w:val="20"/>
                <w:szCs w:val="20"/>
              </w:rPr>
              <w:lastRenderedPageBreak/>
              <w:t>A.I.S.E. position</w:t>
            </w:r>
          </w:p>
          <w:p w14:paraId="7B493C93" w14:textId="77777777" w:rsidR="00851458" w:rsidRPr="00CF53DC" w:rsidRDefault="00851458" w:rsidP="00D70E3B">
            <w:pPr>
              <w:autoSpaceDE w:val="0"/>
              <w:autoSpaceDN w:val="0"/>
              <w:adjustRightInd w:val="0"/>
              <w:spacing w:after="0"/>
              <w:rPr>
                <w:b/>
                <w:sz w:val="20"/>
                <w:szCs w:val="20"/>
              </w:rPr>
            </w:pPr>
          </w:p>
          <w:p w14:paraId="5A17259D" w14:textId="4E0F4332" w:rsidR="00F97BA4" w:rsidRPr="002327B9" w:rsidRDefault="00F97BA4" w:rsidP="00F97BA4">
            <w:pPr>
              <w:rPr>
                <w:rFonts w:eastAsia="Times New Roman"/>
                <w:sz w:val="20"/>
                <w:szCs w:val="20"/>
              </w:rPr>
            </w:pPr>
            <w:r w:rsidRPr="002327B9">
              <w:rPr>
                <w:rFonts w:eastAsia="Times New Roman"/>
                <w:color w:val="000000"/>
                <w:sz w:val="20"/>
                <w:szCs w:val="20"/>
                <w:u w:val="single"/>
              </w:rPr>
              <w:t>Support EP position</w:t>
            </w:r>
            <w:r w:rsidRPr="002327B9">
              <w:rPr>
                <w:rFonts w:eastAsia="Times New Roman"/>
                <w:color w:val="000000"/>
                <w:sz w:val="20"/>
                <w:szCs w:val="20"/>
              </w:rPr>
              <w:t xml:space="preserve"> on </w:t>
            </w:r>
            <w:r w:rsidRPr="002327B9">
              <w:rPr>
                <w:rFonts w:eastAsia="Times New Roman"/>
                <w:color w:val="000000"/>
                <w:sz w:val="20"/>
                <w:szCs w:val="20"/>
                <w:lang w:val="en-US"/>
              </w:rPr>
              <w:t>deletion of the empty space ratio</w:t>
            </w:r>
            <w:r w:rsidRPr="002327B9">
              <w:rPr>
                <w:rFonts w:eastAsia="Times New Roman"/>
                <w:color w:val="000000"/>
                <w:sz w:val="20"/>
                <w:szCs w:val="20"/>
              </w:rPr>
              <w:t xml:space="preserve"> </w:t>
            </w:r>
          </w:p>
          <w:p w14:paraId="4C772A43" w14:textId="77777777" w:rsidR="00851458" w:rsidRPr="00CF53DC" w:rsidRDefault="00851458" w:rsidP="00204CC0">
            <w:pPr>
              <w:autoSpaceDE w:val="0"/>
              <w:autoSpaceDN w:val="0"/>
              <w:adjustRightInd w:val="0"/>
              <w:spacing w:after="0"/>
              <w:jc w:val="left"/>
              <w:rPr>
                <w:b/>
                <w:iCs/>
                <w:sz w:val="20"/>
                <w:szCs w:val="20"/>
              </w:rPr>
            </w:pPr>
          </w:p>
        </w:tc>
      </w:tr>
    </w:tbl>
    <w:p w14:paraId="310920C7" w14:textId="77777777" w:rsidR="00B802D5" w:rsidRDefault="00B802D5" w:rsidP="0063286E">
      <w:pPr>
        <w:tabs>
          <w:tab w:val="num" w:pos="720"/>
        </w:tabs>
        <w:spacing w:after="0" w:line="259" w:lineRule="auto"/>
        <w:jc w:val="left"/>
        <w:rPr>
          <w:rFonts w:eastAsia="Times New Roman"/>
          <w:b/>
        </w:rPr>
      </w:pPr>
    </w:p>
    <w:p w14:paraId="359191CB" w14:textId="77777777" w:rsidR="00D604D9" w:rsidRDefault="00D604D9" w:rsidP="0063286E">
      <w:pPr>
        <w:tabs>
          <w:tab w:val="num" w:pos="720"/>
        </w:tabs>
        <w:spacing w:after="0" w:line="259" w:lineRule="auto"/>
        <w:jc w:val="left"/>
        <w:rPr>
          <w:rFonts w:eastAsia="Times New Roman"/>
          <w:b/>
        </w:rPr>
      </w:pPr>
    </w:p>
    <w:p w14:paraId="2AA53568" w14:textId="5CF20C29" w:rsidR="00727367" w:rsidRPr="00727367" w:rsidRDefault="00727367" w:rsidP="00784C72">
      <w:pPr>
        <w:pStyle w:val="Paragraphedeliste"/>
        <w:numPr>
          <w:ilvl w:val="0"/>
          <w:numId w:val="39"/>
        </w:numPr>
        <w:spacing w:after="0" w:line="259" w:lineRule="auto"/>
        <w:ind w:left="360"/>
        <w:jc w:val="left"/>
        <w:rPr>
          <w:rFonts w:eastAsia="Times New Roman"/>
          <w:b/>
        </w:rPr>
      </w:pPr>
      <w:r w:rsidRPr="00727367">
        <w:rPr>
          <w:rFonts w:eastAsia="Times New Roman"/>
          <w:b/>
          <w:color w:val="007576" w:themeColor="accent1"/>
          <w:sz w:val="32"/>
          <w:szCs w:val="32"/>
        </w:rPr>
        <w:t xml:space="preserve">RE-USE and REFILL TARGETS </w:t>
      </w:r>
    </w:p>
    <w:tbl>
      <w:tblPr>
        <w:tblStyle w:val="Grilledutableau"/>
        <w:tblW w:w="15876" w:type="dxa"/>
        <w:tblInd w:w="-572" w:type="dxa"/>
        <w:shd w:val="clear" w:color="auto" w:fill="FFFFFF" w:themeFill="background1"/>
        <w:tblLook w:val="04A0" w:firstRow="1" w:lastRow="0" w:firstColumn="1" w:lastColumn="0" w:noHBand="0" w:noVBand="1"/>
      </w:tblPr>
      <w:tblGrid>
        <w:gridCol w:w="3969"/>
        <w:gridCol w:w="4536"/>
        <w:gridCol w:w="4111"/>
        <w:gridCol w:w="3260"/>
      </w:tblGrid>
      <w:tr w:rsidR="00727367" w:rsidRPr="00EC4233" w14:paraId="6FD3D2B0" w14:textId="77777777" w:rsidTr="007861BC">
        <w:trPr>
          <w:trHeight w:val="337"/>
        </w:trPr>
        <w:tc>
          <w:tcPr>
            <w:tcW w:w="15876" w:type="dxa"/>
            <w:gridSpan w:val="4"/>
            <w:shd w:val="clear" w:color="auto" w:fill="auto"/>
          </w:tcPr>
          <w:p w14:paraId="4A245B6A" w14:textId="4E2E921C" w:rsidR="00727367" w:rsidRPr="007861BC" w:rsidRDefault="00727367" w:rsidP="00D70E3B">
            <w:pPr>
              <w:autoSpaceDE w:val="0"/>
              <w:autoSpaceDN w:val="0"/>
              <w:adjustRightInd w:val="0"/>
              <w:spacing w:after="0"/>
              <w:jc w:val="left"/>
              <w:rPr>
                <w:b/>
                <w:sz w:val="26"/>
                <w:szCs w:val="26"/>
                <w:lang w:val="fr-FR"/>
              </w:rPr>
            </w:pPr>
            <w:r w:rsidRPr="007861BC">
              <w:rPr>
                <w:b/>
                <w:sz w:val="26"/>
                <w:szCs w:val="26"/>
                <w:lang w:val="fr-FR"/>
              </w:rPr>
              <w:t xml:space="preserve">Article 26 </w:t>
            </w:r>
            <w:r w:rsidR="00244540" w:rsidRPr="007861BC">
              <w:rPr>
                <w:b/>
                <w:sz w:val="26"/>
                <w:szCs w:val="26"/>
                <w:lang w:val="fr-FR"/>
              </w:rPr>
              <w:t xml:space="preserve">para 12 &amp; 13 – </w:t>
            </w:r>
            <w:r w:rsidR="00526753" w:rsidRPr="007861BC">
              <w:rPr>
                <w:b/>
                <w:sz w:val="26"/>
                <w:szCs w:val="26"/>
                <w:lang w:val="fr-FR"/>
              </w:rPr>
              <w:t>reus</w:t>
            </w:r>
            <w:r w:rsidR="00DB6C18" w:rsidRPr="007861BC">
              <w:rPr>
                <w:b/>
                <w:sz w:val="26"/>
                <w:szCs w:val="26"/>
                <w:lang w:val="fr-FR"/>
              </w:rPr>
              <w:t xml:space="preserve">able transport packaging </w:t>
            </w:r>
          </w:p>
        </w:tc>
      </w:tr>
      <w:tr w:rsidR="00727367" w14:paraId="38724766" w14:textId="77777777" w:rsidTr="007861BC">
        <w:trPr>
          <w:trHeight w:val="3924"/>
        </w:trPr>
        <w:tc>
          <w:tcPr>
            <w:tcW w:w="3969" w:type="dxa"/>
            <w:shd w:val="clear" w:color="auto" w:fill="auto"/>
          </w:tcPr>
          <w:p w14:paraId="45ACA9B1" w14:textId="493541EB" w:rsidR="001F41F5" w:rsidRPr="00CF53DC" w:rsidRDefault="00727367" w:rsidP="001B00E5">
            <w:pPr>
              <w:autoSpaceDE w:val="0"/>
              <w:autoSpaceDN w:val="0"/>
              <w:adjustRightInd w:val="0"/>
              <w:spacing w:after="0"/>
              <w:jc w:val="center"/>
              <w:rPr>
                <w:rFonts w:cstheme="minorHAnsi"/>
                <w:b/>
                <w:sz w:val="20"/>
                <w:szCs w:val="20"/>
              </w:rPr>
            </w:pPr>
            <w:r w:rsidRPr="00CF53DC">
              <w:rPr>
                <w:rFonts w:cstheme="minorHAnsi"/>
                <w:b/>
                <w:sz w:val="20"/>
                <w:szCs w:val="20"/>
              </w:rPr>
              <w:t>COM Proposal</w:t>
            </w:r>
          </w:p>
          <w:p w14:paraId="026EB4C9" w14:textId="7EF57D5B" w:rsidR="001F41F5" w:rsidRPr="001F41F5" w:rsidRDefault="001F41F5" w:rsidP="001F41F5">
            <w:pPr>
              <w:pStyle w:val="Default"/>
              <w:jc w:val="both"/>
              <w:rPr>
                <w:sz w:val="22"/>
                <w:szCs w:val="22"/>
              </w:rPr>
            </w:pPr>
            <w:r w:rsidRPr="001F41F5">
              <w:rPr>
                <w:sz w:val="20"/>
                <w:szCs w:val="20"/>
              </w:rPr>
              <w:t xml:space="preserve">12. Transport packaging used by an economic operator shall be reusable where it is used for transporting products: </w:t>
            </w:r>
          </w:p>
          <w:p w14:paraId="1C409386" w14:textId="77777777" w:rsidR="00727367" w:rsidRDefault="00727367" w:rsidP="00D70E3B">
            <w:pPr>
              <w:autoSpaceDE w:val="0"/>
              <w:autoSpaceDN w:val="0"/>
              <w:adjustRightInd w:val="0"/>
              <w:spacing w:after="0"/>
              <w:rPr>
                <w:rFonts w:cstheme="minorHAnsi"/>
                <w:b/>
              </w:rPr>
            </w:pPr>
          </w:p>
          <w:p w14:paraId="45DE2C91" w14:textId="77777777" w:rsidR="004323A1" w:rsidRDefault="004323A1" w:rsidP="00D70E3B">
            <w:pPr>
              <w:autoSpaceDE w:val="0"/>
              <w:autoSpaceDN w:val="0"/>
              <w:adjustRightInd w:val="0"/>
              <w:spacing w:after="0"/>
              <w:rPr>
                <w:rFonts w:cstheme="minorHAnsi"/>
                <w:b/>
              </w:rPr>
            </w:pPr>
          </w:p>
          <w:p w14:paraId="5B38F067" w14:textId="77777777" w:rsidR="004323A1" w:rsidRDefault="004323A1" w:rsidP="00D70E3B">
            <w:pPr>
              <w:autoSpaceDE w:val="0"/>
              <w:autoSpaceDN w:val="0"/>
              <w:adjustRightInd w:val="0"/>
              <w:spacing w:after="0"/>
              <w:rPr>
                <w:rFonts w:cstheme="minorHAnsi"/>
                <w:b/>
              </w:rPr>
            </w:pPr>
          </w:p>
          <w:p w14:paraId="21BDD454" w14:textId="77777777" w:rsidR="00FA37D6" w:rsidRPr="00FA37D6" w:rsidRDefault="00FA37D6" w:rsidP="00FA37D6">
            <w:pPr>
              <w:pStyle w:val="Default"/>
              <w:jc w:val="both"/>
              <w:rPr>
                <w:sz w:val="22"/>
                <w:szCs w:val="22"/>
              </w:rPr>
            </w:pPr>
            <w:r w:rsidRPr="00FA37D6">
              <w:rPr>
                <w:sz w:val="20"/>
                <w:szCs w:val="20"/>
              </w:rPr>
              <w:t xml:space="preserve">13. Economic operators delivering products to another economic operator within the same Member State shall use only reusable transport packaging for the purpose of the transportation of such products. </w:t>
            </w:r>
          </w:p>
          <w:p w14:paraId="6C617335" w14:textId="77777777" w:rsidR="00FA37D6" w:rsidRPr="00FA37D6" w:rsidRDefault="00FA37D6" w:rsidP="00D70E3B">
            <w:pPr>
              <w:autoSpaceDE w:val="0"/>
              <w:autoSpaceDN w:val="0"/>
              <w:adjustRightInd w:val="0"/>
              <w:spacing w:after="0"/>
              <w:rPr>
                <w:rFonts w:cstheme="minorHAnsi"/>
                <w:b/>
              </w:rPr>
            </w:pPr>
          </w:p>
          <w:p w14:paraId="74682F3A" w14:textId="77777777" w:rsidR="00727367" w:rsidRPr="002A5325" w:rsidRDefault="00727367" w:rsidP="00D70E3B">
            <w:pPr>
              <w:pStyle w:val="Default"/>
              <w:jc w:val="both"/>
              <w:rPr>
                <w:b/>
                <w:iCs/>
                <w:sz w:val="28"/>
                <w:szCs w:val="28"/>
              </w:rPr>
            </w:pPr>
          </w:p>
        </w:tc>
        <w:tc>
          <w:tcPr>
            <w:tcW w:w="4536" w:type="dxa"/>
            <w:shd w:val="clear" w:color="auto" w:fill="B1E8AA"/>
          </w:tcPr>
          <w:p w14:paraId="42549774" w14:textId="12B0B597" w:rsidR="00727367" w:rsidRPr="001B00E5" w:rsidRDefault="00727367" w:rsidP="001B00E5">
            <w:pPr>
              <w:autoSpaceDE w:val="0"/>
              <w:autoSpaceDN w:val="0"/>
              <w:adjustRightInd w:val="0"/>
              <w:spacing w:after="0"/>
              <w:jc w:val="center"/>
              <w:rPr>
                <w:b/>
                <w:sz w:val="20"/>
                <w:szCs w:val="20"/>
              </w:rPr>
            </w:pPr>
            <w:r w:rsidRPr="00CF53DC">
              <w:rPr>
                <w:b/>
                <w:sz w:val="20"/>
                <w:szCs w:val="20"/>
              </w:rPr>
              <w:t>EP Mandate</w:t>
            </w:r>
          </w:p>
          <w:p w14:paraId="5589AFF4" w14:textId="77777777" w:rsidR="005F363C" w:rsidRPr="005F363C" w:rsidRDefault="005F363C" w:rsidP="005F363C">
            <w:pPr>
              <w:pStyle w:val="Default"/>
              <w:jc w:val="both"/>
              <w:rPr>
                <w:sz w:val="22"/>
                <w:szCs w:val="22"/>
              </w:rPr>
            </w:pPr>
            <w:r w:rsidRPr="00503CDF">
              <w:rPr>
                <w:sz w:val="20"/>
                <w:szCs w:val="20"/>
              </w:rPr>
              <w:t xml:space="preserve">12. </w:t>
            </w:r>
            <w:r w:rsidRPr="007975B0">
              <w:rPr>
                <w:b/>
                <w:bCs/>
                <w:i/>
                <w:iCs/>
                <w:color w:val="auto"/>
                <w:sz w:val="20"/>
                <w:szCs w:val="20"/>
                <w:highlight w:val="green"/>
              </w:rPr>
              <w:t xml:space="preserve">From 1 January 2030, 95% of the </w:t>
            </w:r>
            <w:r w:rsidRPr="007975B0">
              <w:rPr>
                <w:sz w:val="20"/>
                <w:szCs w:val="20"/>
                <w:highlight w:val="green"/>
              </w:rPr>
              <w:t>transport packaging used by an economic operator shall be reusable</w:t>
            </w:r>
            <w:r w:rsidRPr="005F363C">
              <w:rPr>
                <w:sz w:val="20"/>
                <w:szCs w:val="20"/>
              </w:rPr>
              <w:t xml:space="preserve"> where it is used for transporting products: </w:t>
            </w:r>
          </w:p>
          <w:p w14:paraId="59B3385A" w14:textId="77777777" w:rsidR="004323A1" w:rsidRDefault="004323A1" w:rsidP="00D70E3B">
            <w:pPr>
              <w:pStyle w:val="Default"/>
              <w:jc w:val="both"/>
              <w:rPr>
                <w:b/>
                <w:bCs/>
                <w:i/>
                <w:iCs/>
                <w:color w:val="auto"/>
                <w:sz w:val="22"/>
                <w:szCs w:val="22"/>
              </w:rPr>
            </w:pPr>
          </w:p>
          <w:p w14:paraId="5667EB1C" w14:textId="77777777" w:rsidR="004323A1" w:rsidRDefault="004323A1" w:rsidP="00D70E3B">
            <w:pPr>
              <w:pStyle w:val="Default"/>
              <w:jc w:val="both"/>
              <w:rPr>
                <w:b/>
                <w:bCs/>
                <w:i/>
                <w:iCs/>
                <w:color w:val="auto"/>
                <w:sz w:val="22"/>
                <w:szCs w:val="22"/>
              </w:rPr>
            </w:pPr>
          </w:p>
          <w:p w14:paraId="6625454E" w14:textId="77777777" w:rsidR="004323A1" w:rsidRDefault="004323A1" w:rsidP="00D70E3B">
            <w:pPr>
              <w:pStyle w:val="Default"/>
              <w:jc w:val="both"/>
              <w:rPr>
                <w:b/>
                <w:bCs/>
                <w:i/>
                <w:iCs/>
                <w:color w:val="auto"/>
                <w:sz w:val="22"/>
                <w:szCs w:val="22"/>
              </w:rPr>
            </w:pPr>
          </w:p>
          <w:p w14:paraId="50203014" w14:textId="77777777" w:rsidR="004323A1" w:rsidRDefault="004323A1" w:rsidP="00D70E3B">
            <w:pPr>
              <w:pStyle w:val="Default"/>
              <w:jc w:val="both"/>
              <w:rPr>
                <w:b/>
                <w:bCs/>
                <w:i/>
                <w:iCs/>
                <w:color w:val="auto"/>
                <w:sz w:val="22"/>
                <w:szCs w:val="22"/>
              </w:rPr>
            </w:pPr>
          </w:p>
          <w:p w14:paraId="1CC04891" w14:textId="77777777" w:rsidR="00E75BF6" w:rsidRPr="00402BA2" w:rsidRDefault="00E75BF6" w:rsidP="00E75BF6">
            <w:pPr>
              <w:pStyle w:val="Default"/>
              <w:jc w:val="both"/>
              <w:rPr>
                <w:color w:val="auto"/>
                <w:sz w:val="22"/>
                <w:szCs w:val="22"/>
              </w:rPr>
            </w:pPr>
            <w:r w:rsidRPr="00402BA2">
              <w:rPr>
                <w:color w:val="auto"/>
                <w:sz w:val="20"/>
                <w:szCs w:val="20"/>
              </w:rPr>
              <w:t xml:space="preserve">13. </w:t>
            </w:r>
            <w:r w:rsidRPr="007975B0">
              <w:rPr>
                <w:b/>
                <w:bCs/>
                <w:i/>
                <w:iCs/>
                <w:color w:val="auto"/>
                <w:sz w:val="20"/>
                <w:szCs w:val="20"/>
                <w:highlight w:val="green"/>
              </w:rPr>
              <w:t>From 1 January 2030,</w:t>
            </w:r>
            <w:r w:rsidRPr="00402BA2">
              <w:rPr>
                <w:b/>
                <w:bCs/>
                <w:i/>
                <w:iCs/>
                <w:color w:val="auto"/>
                <w:sz w:val="20"/>
                <w:szCs w:val="20"/>
              </w:rPr>
              <w:t xml:space="preserve"> </w:t>
            </w:r>
            <w:r w:rsidRPr="00402BA2">
              <w:rPr>
                <w:color w:val="auto"/>
                <w:sz w:val="20"/>
                <w:szCs w:val="20"/>
              </w:rPr>
              <w:t>economic operators</w:t>
            </w:r>
            <w:r w:rsidRPr="00402BA2">
              <w:rPr>
                <w:b/>
                <w:bCs/>
                <w:i/>
                <w:iCs/>
                <w:color w:val="auto"/>
                <w:sz w:val="20"/>
                <w:szCs w:val="20"/>
              </w:rPr>
              <w:t xml:space="preserve">, including online platforms, </w:t>
            </w:r>
            <w:r w:rsidRPr="00402BA2">
              <w:rPr>
                <w:color w:val="auto"/>
                <w:sz w:val="20"/>
                <w:szCs w:val="20"/>
              </w:rPr>
              <w:t xml:space="preserve">delivering products to another economic operator within the same Member State shall use only reusable transport packaging for the purpose of the transportation of such products. </w:t>
            </w:r>
          </w:p>
          <w:p w14:paraId="4243279D" w14:textId="77777777" w:rsidR="00FA37D6" w:rsidRPr="001355D8" w:rsidRDefault="00FA37D6" w:rsidP="00D70E3B">
            <w:pPr>
              <w:pStyle w:val="Default"/>
              <w:jc w:val="both"/>
              <w:rPr>
                <w:b/>
                <w:bCs/>
                <w:i/>
                <w:iCs/>
                <w:color w:val="auto"/>
                <w:sz w:val="22"/>
                <w:szCs w:val="22"/>
              </w:rPr>
            </w:pPr>
          </w:p>
        </w:tc>
        <w:tc>
          <w:tcPr>
            <w:tcW w:w="4111" w:type="dxa"/>
            <w:shd w:val="clear" w:color="auto" w:fill="FF9B9B"/>
          </w:tcPr>
          <w:p w14:paraId="52DDA66D" w14:textId="77777777" w:rsidR="00727367" w:rsidRDefault="00727367" w:rsidP="00727367">
            <w:pPr>
              <w:autoSpaceDE w:val="0"/>
              <w:autoSpaceDN w:val="0"/>
              <w:adjustRightInd w:val="0"/>
              <w:spacing w:after="0"/>
              <w:jc w:val="center"/>
              <w:rPr>
                <w:b/>
                <w:sz w:val="20"/>
                <w:szCs w:val="20"/>
              </w:rPr>
            </w:pPr>
            <w:r w:rsidRPr="00CF53DC">
              <w:rPr>
                <w:b/>
                <w:sz w:val="20"/>
                <w:szCs w:val="20"/>
              </w:rPr>
              <w:t>Council Mandate</w:t>
            </w:r>
          </w:p>
          <w:p w14:paraId="4ADCA691" w14:textId="7834CC6F" w:rsidR="001B00E5" w:rsidRDefault="001B00E5" w:rsidP="001B00E5">
            <w:pPr>
              <w:pStyle w:val="Default"/>
              <w:jc w:val="both"/>
              <w:rPr>
                <w:sz w:val="20"/>
                <w:szCs w:val="20"/>
              </w:rPr>
            </w:pPr>
            <w:r w:rsidRPr="001B00E5">
              <w:rPr>
                <w:sz w:val="20"/>
                <w:szCs w:val="20"/>
              </w:rPr>
              <w:t xml:space="preserve">12. </w:t>
            </w:r>
            <w:r w:rsidRPr="00F907C3">
              <w:rPr>
                <w:strike/>
                <w:sz w:val="20"/>
                <w:szCs w:val="20"/>
              </w:rPr>
              <w:t xml:space="preserve">Transport packaging used by an </w:t>
            </w:r>
            <w:r w:rsidRPr="001B00E5">
              <w:rPr>
                <w:sz w:val="20"/>
                <w:szCs w:val="20"/>
              </w:rPr>
              <w:t xml:space="preserve">Economic </w:t>
            </w:r>
            <w:r w:rsidRPr="00F907C3">
              <w:rPr>
                <w:strike/>
                <w:sz w:val="20"/>
                <w:szCs w:val="20"/>
              </w:rPr>
              <w:t>operator shall be reusable where it is</w:t>
            </w:r>
            <w:r w:rsidR="00F907C3">
              <w:rPr>
                <w:b/>
                <w:sz w:val="20"/>
                <w:szCs w:val="20"/>
              </w:rPr>
              <w:t xml:space="preserve"> </w:t>
            </w:r>
            <w:r w:rsidRPr="001B00E5">
              <w:rPr>
                <w:b/>
                <w:bCs/>
                <w:sz w:val="20"/>
                <w:szCs w:val="20"/>
              </w:rPr>
              <w:t xml:space="preserve">operators using transport packaging or sales packaging </w:t>
            </w:r>
            <w:r w:rsidRPr="001B00E5">
              <w:rPr>
                <w:sz w:val="20"/>
                <w:szCs w:val="20"/>
              </w:rPr>
              <w:t>used for transporting products</w:t>
            </w:r>
            <w:r w:rsidRPr="00F907C3">
              <w:rPr>
                <w:strike/>
                <w:sz w:val="20"/>
                <w:szCs w:val="20"/>
              </w:rPr>
              <w:t>:</w:t>
            </w:r>
            <w:r w:rsidRPr="001B00E5">
              <w:rPr>
                <w:sz w:val="20"/>
                <w:szCs w:val="20"/>
              </w:rPr>
              <w:t xml:space="preserve"> </w:t>
            </w:r>
          </w:p>
          <w:p w14:paraId="4492EA1C" w14:textId="77777777" w:rsidR="004323A1" w:rsidRDefault="004323A1" w:rsidP="001B00E5">
            <w:pPr>
              <w:pStyle w:val="Default"/>
              <w:jc w:val="both"/>
              <w:rPr>
                <w:sz w:val="20"/>
                <w:szCs w:val="20"/>
              </w:rPr>
            </w:pPr>
          </w:p>
          <w:p w14:paraId="4EEF227F" w14:textId="77777777" w:rsidR="004323A1" w:rsidRDefault="004323A1" w:rsidP="001B00E5">
            <w:pPr>
              <w:pStyle w:val="Default"/>
              <w:jc w:val="both"/>
              <w:rPr>
                <w:sz w:val="20"/>
                <w:szCs w:val="20"/>
              </w:rPr>
            </w:pPr>
          </w:p>
          <w:p w14:paraId="5BB3D288" w14:textId="6AD6F1DC" w:rsidR="001B00E5" w:rsidRPr="00B03EFE" w:rsidRDefault="004323A1" w:rsidP="00B03EFE">
            <w:pPr>
              <w:pStyle w:val="Default"/>
              <w:jc w:val="both"/>
              <w:rPr>
                <w:sz w:val="22"/>
                <w:szCs w:val="22"/>
              </w:rPr>
            </w:pPr>
            <w:r w:rsidRPr="004323A1">
              <w:rPr>
                <w:sz w:val="20"/>
                <w:szCs w:val="20"/>
              </w:rPr>
              <w:t xml:space="preserve">13. Economic operators </w:t>
            </w:r>
            <w:r w:rsidRPr="00881075">
              <w:rPr>
                <w:strike/>
                <w:sz w:val="20"/>
                <w:szCs w:val="20"/>
              </w:rPr>
              <w:t>delivering</w:t>
            </w:r>
            <w:r w:rsidR="00881075">
              <w:rPr>
                <w:sz w:val="20"/>
                <w:szCs w:val="20"/>
              </w:rPr>
              <w:t xml:space="preserve"> </w:t>
            </w:r>
            <w:r w:rsidRPr="004323A1">
              <w:rPr>
                <w:b/>
                <w:bCs/>
                <w:sz w:val="20"/>
                <w:szCs w:val="20"/>
              </w:rPr>
              <w:t xml:space="preserve">using transport packaging or sales packaging used for transportation to deliver </w:t>
            </w:r>
            <w:r w:rsidRPr="004323A1">
              <w:rPr>
                <w:sz w:val="20"/>
                <w:szCs w:val="20"/>
              </w:rPr>
              <w:t xml:space="preserve">products to another economic operator within the same Member State </w:t>
            </w:r>
            <w:r w:rsidRPr="00B03EFE">
              <w:rPr>
                <w:strike/>
                <w:sz w:val="20"/>
                <w:szCs w:val="20"/>
              </w:rPr>
              <w:t>shall use only reusable transport</w:t>
            </w:r>
            <w:r w:rsidR="00881075">
              <w:rPr>
                <w:sz w:val="20"/>
                <w:szCs w:val="20"/>
              </w:rPr>
              <w:t xml:space="preserve"> </w:t>
            </w:r>
            <w:r w:rsidRPr="004323A1">
              <w:rPr>
                <w:b/>
                <w:bCs/>
                <w:sz w:val="20"/>
                <w:szCs w:val="20"/>
              </w:rPr>
              <w:t xml:space="preserve">ensure that such </w:t>
            </w:r>
            <w:r w:rsidRPr="004323A1">
              <w:rPr>
                <w:sz w:val="20"/>
                <w:szCs w:val="20"/>
              </w:rPr>
              <w:t xml:space="preserve">packaging </w:t>
            </w:r>
            <w:r w:rsidRPr="00DB4A98">
              <w:rPr>
                <w:strike/>
                <w:sz w:val="20"/>
                <w:szCs w:val="20"/>
              </w:rPr>
              <w:t>for the purpose of the transportation of such products</w:t>
            </w:r>
            <w:r w:rsidR="00DB4A98">
              <w:rPr>
                <w:sz w:val="20"/>
                <w:szCs w:val="20"/>
              </w:rPr>
              <w:t xml:space="preserve"> </w:t>
            </w:r>
            <w:r w:rsidRPr="004323A1">
              <w:rPr>
                <w:b/>
                <w:bCs/>
                <w:sz w:val="20"/>
                <w:szCs w:val="20"/>
              </w:rPr>
              <w:t>is reusable within a system for re-use</w:t>
            </w:r>
            <w:r w:rsidRPr="004323A1">
              <w:rPr>
                <w:sz w:val="20"/>
                <w:szCs w:val="20"/>
              </w:rPr>
              <w:t xml:space="preserve">. </w:t>
            </w:r>
          </w:p>
        </w:tc>
        <w:tc>
          <w:tcPr>
            <w:tcW w:w="3260" w:type="dxa"/>
            <w:shd w:val="clear" w:color="auto" w:fill="auto"/>
          </w:tcPr>
          <w:p w14:paraId="46161E7D" w14:textId="253B3069" w:rsidR="00700065" w:rsidRDefault="00727367" w:rsidP="00DD0617">
            <w:pPr>
              <w:autoSpaceDE w:val="0"/>
              <w:autoSpaceDN w:val="0"/>
              <w:adjustRightInd w:val="0"/>
              <w:spacing w:after="0"/>
              <w:jc w:val="center"/>
              <w:rPr>
                <w:b/>
                <w:sz w:val="20"/>
                <w:szCs w:val="20"/>
              </w:rPr>
            </w:pPr>
            <w:r w:rsidRPr="00CF53DC">
              <w:rPr>
                <w:b/>
                <w:sz w:val="20"/>
                <w:szCs w:val="20"/>
              </w:rPr>
              <w:t>A.I.S.E. position</w:t>
            </w:r>
          </w:p>
          <w:p w14:paraId="6EACFC76" w14:textId="77777777" w:rsidR="00DD0617" w:rsidRDefault="00DD0617" w:rsidP="00DD0617">
            <w:pPr>
              <w:autoSpaceDE w:val="0"/>
              <w:autoSpaceDN w:val="0"/>
              <w:adjustRightInd w:val="0"/>
              <w:spacing w:after="0"/>
              <w:jc w:val="center"/>
              <w:rPr>
                <w:b/>
                <w:sz w:val="20"/>
                <w:szCs w:val="20"/>
              </w:rPr>
            </w:pPr>
          </w:p>
          <w:p w14:paraId="4A721D24" w14:textId="23FFCAFC" w:rsidR="00700065" w:rsidRPr="002327B9" w:rsidRDefault="00700065" w:rsidP="00700065">
            <w:pPr>
              <w:autoSpaceDE w:val="0"/>
              <w:autoSpaceDN w:val="0"/>
              <w:adjustRightInd w:val="0"/>
              <w:spacing w:after="0"/>
              <w:rPr>
                <w:b/>
                <w:sz w:val="20"/>
                <w:szCs w:val="20"/>
              </w:rPr>
            </w:pPr>
            <w:r>
              <w:rPr>
                <w:b/>
                <w:sz w:val="20"/>
                <w:szCs w:val="20"/>
              </w:rPr>
              <w:t>Support EP position:</w:t>
            </w:r>
          </w:p>
          <w:p w14:paraId="297B3CA9" w14:textId="6DA844D7" w:rsidR="002327B9" w:rsidRPr="00CA76AA" w:rsidRDefault="002327B9" w:rsidP="002327B9">
            <w:pPr>
              <w:rPr>
                <w:sz w:val="20"/>
                <w:szCs w:val="20"/>
              </w:rPr>
            </w:pPr>
            <w:r w:rsidRPr="002327B9">
              <w:rPr>
                <w:sz w:val="20"/>
                <w:szCs w:val="20"/>
                <w:u w:val="single"/>
              </w:rPr>
              <w:t>Date of application</w:t>
            </w:r>
            <w:r w:rsidRPr="002327B9">
              <w:rPr>
                <w:sz w:val="20"/>
                <w:szCs w:val="20"/>
              </w:rPr>
              <w:t xml:space="preserve">: necessary transitional period for </w:t>
            </w:r>
            <w:r w:rsidR="00CA76AA">
              <w:rPr>
                <w:sz w:val="20"/>
                <w:szCs w:val="20"/>
              </w:rPr>
              <w:t xml:space="preserve">reusable </w:t>
            </w:r>
            <w:r w:rsidRPr="002327B9">
              <w:rPr>
                <w:sz w:val="20"/>
                <w:szCs w:val="20"/>
              </w:rPr>
              <w:t xml:space="preserve">transport </w:t>
            </w:r>
            <w:r w:rsidR="00CA76AA">
              <w:rPr>
                <w:sz w:val="20"/>
                <w:szCs w:val="20"/>
              </w:rPr>
              <w:t>packaging</w:t>
            </w:r>
          </w:p>
          <w:p w14:paraId="1FF956B9" w14:textId="77777777" w:rsidR="00DD0617" w:rsidRDefault="00DD0617" w:rsidP="002327B9">
            <w:pPr>
              <w:rPr>
                <w:sz w:val="20"/>
                <w:szCs w:val="20"/>
                <w:u w:val="single"/>
              </w:rPr>
            </w:pPr>
          </w:p>
          <w:p w14:paraId="77D2EBAB" w14:textId="7D5E2689" w:rsidR="002327B9" w:rsidRDefault="002327B9" w:rsidP="002327B9">
            <w:pPr>
              <w:rPr>
                <w:sz w:val="20"/>
                <w:szCs w:val="20"/>
              </w:rPr>
            </w:pPr>
            <w:r w:rsidRPr="002327B9">
              <w:rPr>
                <w:sz w:val="20"/>
                <w:szCs w:val="20"/>
                <w:u w:val="single"/>
              </w:rPr>
              <w:t>Targets</w:t>
            </w:r>
            <w:r w:rsidRPr="002327B9">
              <w:rPr>
                <w:sz w:val="20"/>
                <w:szCs w:val="20"/>
              </w:rPr>
              <w:t xml:space="preserve">: More flexibility for reusability targets of packaging </w:t>
            </w:r>
          </w:p>
          <w:p w14:paraId="4654FA29" w14:textId="77777777" w:rsidR="002327B9" w:rsidRPr="002327B9" w:rsidRDefault="002327B9" w:rsidP="002327B9">
            <w:pPr>
              <w:rPr>
                <w:sz w:val="20"/>
                <w:szCs w:val="20"/>
              </w:rPr>
            </w:pPr>
          </w:p>
          <w:p w14:paraId="45A079ED" w14:textId="77777777" w:rsidR="00727367" w:rsidRPr="002327B9" w:rsidRDefault="00727367" w:rsidP="00D70E3B">
            <w:pPr>
              <w:autoSpaceDE w:val="0"/>
              <w:autoSpaceDN w:val="0"/>
              <w:adjustRightInd w:val="0"/>
              <w:spacing w:after="0"/>
              <w:jc w:val="left"/>
              <w:rPr>
                <w:b/>
                <w:iCs/>
                <w:sz w:val="20"/>
                <w:szCs w:val="20"/>
              </w:rPr>
            </w:pPr>
          </w:p>
        </w:tc>
      </w:tr>
    </w:tbl>
    <w:p w14:paraId="65541CD4" w14:textId="77777777" w:rsidR="00727367" w:rsidRPr="00727367" w:rsidRDefault="00727367" w:rsidP="00727367">
      <w:pPr>
        <w:tabs>
          <w:tab w:val="num" w:pos="720"/>
        </w:tabs>
        <w:spacing w:after="0" w:line="259" w:lineRule="auto"/>
        <w:jc w:val="left"/>
        <w:rPr>
          <w:rFonts w:eastAsia="Times New Roman"/>
          <w:b/>
        </w:rPr>
      </w:pPr>
    </w:p>
    <w:sectPr w:rsidR="00727367" w:rsidRPr="00727367" w:rsidSect="00DC35E9">
      <w:headerReference w:type="default" r:id="rId11"/>
      <w:footerReference w:type="default" r:id="rId12"/>
      <w:headerReference w:type="first" r:id="rId13"/>
      <w:footerReference w:type="first" r:id="rId14"/>
      <w:pgSz w:w="16838" w:h="11906" w:orient="landscape"/>
      <w:pgMar w:top="1418" w:right="2438" w:bottom="1134" w:left="1134" w:header="703"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5047" w14:textId="77777777" w:rsidR="00DC35E9" w:rsidRDefault="00DC35E9" w:rsidP="009E566B">
      <w:pPr>
        <w:spacing w:after="0" w:line="240" w:lineRule="auto"/>
      </w:pPr>
      <w:r>
        <w:separator/>
      </w:r>
    </w:p>
  </w:endnote>
  <w:endnote w:type="continuationSeparator" w:id="0">
    <w:p w14:paraId="07AA5BE0" w14:textId="77777777" w:rsidR="00DC35E9" w:rsidRDefault="00DC35E9" w:rsidP="009E566B">
      <w:pPr>
        <w:spacing w:after="0" w:line="240" w:lineRule="auto"/>
      </w:pPr>
      <w:r>
        <w:continuationSeparator/>
      </w:r>
    </w:p>
  </w:endnote>
  <w:endnote w:type="continuationNotice" w:id="1">
    <w:p w14:paraId="059D7F8C" w14:textId="77777777" w:rsidR="00DC35E9" w:rsidRDefault="00DC35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9918" w14:textId="77777777" w:rsidR="009E566B" w:rsidRDefault="00546F9D" w:rsidP="00432C42">
    <w:pPr>
      <w:pStyle w:val="Pieddepage"/>
      <w:tabs>
        <w:tab w:val="clear" w:pos="4536"/>
        <w:tab w:val="clear" w:pos="9072"/>
      </w:tabs>
      <w:ind w:left="108" w:right="-569"/>
    </w:pPr>
    <w:r>
      <w:fldChar w:fldCharType="begin"/>
    </w:r>
    <w:r>
      <w:instrText xml:space="preserve"> PAGE   \* MERGEFORMAT </w:instrText>
    </w:r>
    <w:r>
      <w:fldChar w:fldCharType="separate"/>
    </w:r>
    <w:r>
      <w:rPr>
        <w:noProof/>
      </w:rPr>
      <w:t>1</w:t>
    </w:r>
    <w:r>
      <w:rPr>
        <w:noProof/>
      </w:rPr>
      <w:fldChar w:fldCharType="end"/>
    </w:r>
    <w:r w:rsidR="00A85E68">
      <w:rPr>
        <w:noProof/>
        <w:color w:val="007576" w:themeColor="accent1"/>
        <w:lang w:val="fr-BE" w:eastAsia="fr-BE"/>
      </w:rPr>
      <w:drawing>
        <wp:anchor distT="0" distB="0" distL="114300" distR="114300" simplePos="0" relativeHeight="251658241" behindDoc="0" locked="0" layoutInCell="1" allowOverlap="1" wp14:anchorId="588450BB" wp14:editId="671A080C">
          <wp:simplePos x="0" y="0"/>
          <wp:positionH relativeFrom="page">
            <wp:posOffset>6480810</wp:posOffset>
          </wp:positionH>
          <wp:positionV relativeFrom="page">
            <wp:posOffset>10099040</wp:posOffset>
          </wp:positionV>
          <wp:extent cx="842400" cy="352800"/>
          <wp:effectExtent l="0" t="0" r="0" b="9525"/>
          <wp:wrapNone/>
          <wp:docPr id="1080902841" name="Picture 108090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_adress-web.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42400" cy="35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5ECF">
      <w:rPr>
        <w:noProof/>
        <w:lang w:val="fr-BE" w:eastAsia="fr-BE"/>
      </w:rPr>
      <w:drawing>
        <wp:anchor distT="0" distB="0" distL="114300" distR="114300" simplePos="0" relativeHeight="251658240" behindDoc="0" locked="0" layoutInCell="1" allowOverlap="1" wp14:anchorId="6CB3A6B3" wp14:editId="430F01E9">
          <wp:simplePos x="0" y="0"/>
          <wp:positionH relativeFrom="page">
            <wp:posOffset>360045</wp:posOffset>
          </wp:positionH>
          <wp:positionV relativeFrom="page">
            <wp:posOffset>9051290</wp:posOffset>
          </wp:positionV>
          <wp:extent cx="284400" cy="1278000"/>
          <wp:effectExtent l="0" t="0" r="1905" b="0"/>
          <wp:wrapNone/>
          <wp:docPr id="1807531149" name="Picture 180753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_colors_squares RGB x utilisation ecran_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4400" cy="1278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9D80" w14:textId="77777777" w:rsidR="00C52969" w:rsidRDefault="008B3CFD" w:rsidP="00432C42">
    <w:pPr>
      <w:pStyle w:val="Pieddepage"/>
      <w:tabs>
        <w:tab w:val="clear" w:pos="4536"/>
        <w:tab w:val="clear" w:pos="9072"/>
      </w:tabs>
    </w:pPr>
    <w:r w:rsidRPr="00D64C99">
      <w:rPr>
        <w:noProof/>
        <w:lang w:val="fr-BE" w:eastAsia="fr-BE"/>
      </w:rPr>
      <w:drawing>
        <wp:anchor distT="0" distB="0" distL="114300" distR="114300" simplePos="0" relativeHeight="251658243" behindDoc="0" locked="0" layoutInCell="1" allowOverlap="1" wp14:anchorId="2ABB6EE3" wp14:editId="7399D4D3">
          <wp:simplePos x="0" y="0"/>
          <wp:positionH relativeFrom="page">
            <wp:posOffset>6480810</wp:posOffset>
          </wp:positionH>
          <wp:positionV relativeFrom="page">
            <wp:posOffset>10099040</wp:posOffset>
          </wp:positionV>
          <wp:extent cx="842400" cy="352800"/>
          <wp:effectExtent l="0" t="0" r="0" b="9525"/>
          <wp:wrapNone/>
          <wp:docPr id="809250884" name="Picture 80925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_adress-web.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42400" cy="35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4C99" w:rsidRPr="00D64C99">
      <w:rPr>
        <w:noProof/>
        <w:lang w:val="fr-BE" w:eastAsia="fr-BE"/>
      </w:rPr>
      <w:drawing>
        <wp:anchor distT="0" distB="0" distL="114300" distR="114300" simplePos="0" relativeHeight="251658242" behindDoc="0" locked="0" layoutInCell="1" allowOverlap="1" wp14:anchorId="6F86A51A" wp14:editId="1B78B96E">
          <wp:simplePos x="0" y="0"/>
          <wp:positionH relativeFrom="page">
            <wp:posOffset>360045</wp:posOffset>
          </wp:positionH>
          <wp:positionV relativeFrom="page">
            <wp:posOffset>9051290</wp:posOffset>
          </wp:positionV>
          <wp:extent cx="284400" cy="1278000"/>
          <wp:effectExtent l="0" t="0" r="1905" b="0"/>
          <wp:wrapNone/>
          <wp:docPr id="1945848838" name="Picture 1945848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_colors_squares RGB x utilisation ecran_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4400" cy="1278000"/>
                  </a:xfrm>
                  <a:prstGeom prst="rect">
                    <a:avLst/>
                  </a:prstGeom>
                </pic:spPr>
              </pic:pic>
            </a:graphicData>
          </a:graphic>
          <wp14:sizeRelH relativeFrom="page">
            <wp14:pctWidth>0</wp14:pctWidth>
          </wp14:sizeRelH>
          <wp14:sizeRelV relativeFrom="page">
            <wp14:pctHeight>0</wp14:pctHeight>
          </wp14:sizeRelV>
        </wp:anchor>
      </w:drawing>
    </w:r>
    <w:r w:rsidR="009C2359">
      <w:rPr>
        <w:noProof/>
      </w:rPr>
      <w:drawing>
        <wp:anchor distT="0" distB="0" distL="114300" distR="114300" simplePos="0" relativeHeight="251658244" behindDoc="0" locked="0" layoutInCell="1" allowOverlap="1" wp14:anchorId="016E627E" wp14:editId="02C531BA">
          <wp:simplePos x="0" y="0"/>
          <wp:positionH relativeFrom="page">
            <wp:posOffset>720090</wp:posOffset>
          </wp:positionH>
          <wp:positionV relativeFrom="page">
            <wp:posOffset>9973310</wp:posOffset>
          </wp:positionV>
          <wp:extent cx="4518000" cy="468000"/>
          <wp:effectExtent l="0" t="0" r="0" b="8255"/>
          <wp:wrapTopAndBottom/>
          <wp:docPr id="215904340" name="Picture 21590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18000" cy="46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D1A8" w14:textId="77777777" w:rsidR="00DC35E9" w:rsidRDefault="00DC35E9" w:rsidP="009E566B">
      <w:pPr>
        <w:spacing w:after="0" w:line="240" w:lineRule="auto"/>
      </w:pPr>
      <w:r>
        <w:separator/>
      </w:r>
    </w:p>
  </w:footnote>
  <w:footnote w:type="continuationSeparator" w:id="0">
    <w:p w14:paraId="6D28DCE2" w14:textId="77777777" w:rsidR="00DC35E9" w:rsidRDefault="00DC35E9" w:rsidP="009E566B">
      <w:pPr>
        <w:spacing w:after="0" w:line="240" w:lineRule="auto"/>
      </w:pPr>
      <w:r>
        <w:continuationSeparator/>
      </w:r>
    </w:p>
  </w:footnote>
  <w:footnote w:type="continuationNotice" w:id="1">
    <w:p w14:paraId="723533DC" w14:textId="77777777" w:rsidR="00DC35E9" w:rsidRDefault="00DC35E9">
      <w:pPr>
        <w:spacing w:after="0" w:line="240" w:lineRule="auto"/>
      </w:pPr>
    </w:p>
  </w:footnote>
  <w:footnote w:id="2">
    <w:p w14:paraId="30D93696" w14:textId="737AA1B2" w:rsidR="00D569C1" w:rsidRPr="00D569C1" w:rsidRDefault="00D569C1">
      <w:pPr>
        <w:pStyle w:val="Notedebasdepage"/>
      </w:pPr>
    </w:p>
  </w:footnote>
  <w:footnote w:id="3">
    <w:p w14:paraId="19DCAD5D" w14:textId="554CAB2B" w:rsidR="00EF66A9" w:rsidRPr="00EF66A9" w:rsidRDefault="00EF66A9">
      <w:pPr>
        <w:pStyle w:val="Notedebasdepage"/>
      </w:pPr>
      <w:r>
        <w:rPr>
          <w:rStyle w:val="Appelnotedebasdep"/>
        </w:rPr>
        <w:footnoteRef/>
      </w:r>
      <w:r>
        <w:t xml:space="preserve"> Article </w:t>
      </w:r>
      <w:r w:rsidR="00071DB4">
        <w:t>7 para 1 and 2 set out</w:t>
      </w:r>
      <w:r w:rsidR="002A4D17">
        <w:t xml:space="preserve"> </w:t>
      </w:r>
      <w:r w:rsidR="001F74A0">
        <w:t xml:space="preserve">targets from January 2023 (Para 1) and January 2040 (Para 2) </w:t>
      </w:r>
      <w:r w:rsidR="004F639F">
        <w:t xml:space="preserve">of </w:t>
      </w:r>
      <w:r w:rsidR="002A4D17">
        <w:t>minimum</w:t>
      </w:r>
      <w:r w:rsidR="001F74A0">
        <w:t xml:space="preserve"> percentage of recycled content recovered </w:t>
      </w:r>
      <w:r w:rsidR="004F639F">
        <w:t>from post-consumer plastic waste per unit of packaging</w:t>
      </w:r>
    </w:p>
  </w:footnote>
  <w:footnote w:id="4">
    <w:p w14:paraId="5C23440D" w14:textId="6F2B91E8" w:rsidR="00605D21" w:rsidRDefault="00605D21">
      <w:pPr>
        <w:pStyle w:val="Notedebasdepage"/>
      </w:pPr>
      <w:r>
        <w:rPr>
          <w:rStyle w:val="Appelnotedebasdep"/>
        </w:rPr>
        <w:footnoteRef/>
      </w:r>
      <w:r>
        <w:t xml:space="preserve"> </w:t>
      </w:r>
      <w:r w:rsidR="00F34FB8" w:rsidRPr="00F34FB8">
        <w:rPr>
          <w:i/>
        </w:rPr>
        <w:t>EU COM original proposal</w:t>
      </w:r>
      <w:r w:rsidR="00F34FB8">
        <w:t xml:space="preserve"> - </w:t>
      </w:r>
      <w:r>
        <w:t xml:space="preserve">Point a : </w:t>
      </w:r>
      <w:r w:rsidR="00CE2297">
        <w:t>recycling criteria</w:t>
      </w:r>
      <w:r w:rsidR="003C30DA">
        <w:t xml:space="preserve"> shall apply from 1 January 2030</w:t>
      </w:r>
      <w:r w:rsidR="00CE2297">
        <w:t xml:space="preserve"> ; Point e: recyclability at scale </w:t>
      </w:r>
      <w:r w:rsidR="003C30DA">
        <w:t>shall apply from January 2035</w:t>
      </w:r>
    </w:p>
    <w:p w14:paraId="334C8562" w14:textId="77777777" w:rsidR="00F34FB8" w:rsidRPr="00605D21" w:rsidRDefault="00F34FB8">
      <w:pPr>
        <w:pStyle w:val="Notedebasdepage"/>
      </w:pPr>
    </w:p>
  </w:footnote>
  <w:footnote w:id="5">
    <w:p w14:paraId="09780136" w14:textId="772BDB9B" w:rsidR="00F34FB8" w:rsidRPr="00A62DE0" w:rsidRDefault="00F34FB8">
      <w:pPr>
        <w:pStyle w:val="Notedebasdepage"/>
      </w:pPr>
      <w:r>
        <w:rPr>
          <w:rStyle w:val="Appelnotedebasdep"/>
        </w:rPr>
        <w:footnoteRef/>
      </w:r>
      <w:r>
        <w:t xml:space="preserve"> </w:t>
      </w:r>
      <w:r w:rsidR="00A62DE0" w:rsidRPr="00A62DE0">
        <w:rPr>
          <w:i/>
        </w:rPr>
        <w:t>Council Mandate</w:t>
      </w:r>
      <w:r w:rsidR="00B52780">
        <w:t xml:space="preserve"> - Point a : recycling criteria shall apply from 1 January ; Point b: recyclability at scale shall apply from January 2035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10C1" w14:textId="77777777" w:rsidR="009E566B" w:rsidRDefault="00BD2532" w:rsidP="00BD2532">
    <w:pPr>
      <w:pStyle w:val="En-tte"/>
      <w:tabs>
        <w:tab w:val="clear" w:pos="4536"/>
        <w:tab w:val="clear" w:pos="9072"/>
      </w:tabs>
      <w:ind w:left="-851"/>
    </w:pPr>
    <w:r>
      <w:rPr>
        <w:noProof/>
      </w:rPr>
      <w:drawing>
        <wp:inline distT="0" distB="0" distL="0" distR="0" wp14:anchorId="112526BF" wp14:editId="594C2069">
          <wp:extent cx="1261745" cy="633730"/>
          <wp:effectExtent l="0" t="0" r="0" b="0"/>
          <wp:docPr id="1888631688" name="Picture 188863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633730"/>
                  </a:xfrm>
                  <a:prstGeom prst="rect">
                    <a:avLst/>
                  </a:prstGeom>
                  <a:noFill/>
                </pic:spPr>
              </pic:pic>
            </a:graphicData>
          </a:graphic>
        </wp:inline>
      </w:drawing>
    </w:r>
  </w:p>
  <w:p w14:paraId="253FBAE5" w14:textId="77777777" w:rsidR="001537C8" w:rsidRDefault="001537C8" w:rsidP="00BD2532">
    <w:pPr>
      <w:pStyle w:val="En-tte"/>
      <w:tabs>
        <w:tab w:val="clear" w:pos="4536"/>
        <w:tab w:val="clear" w:pos="9072"/>
      </w:tabs>
      <w:ind w:left="-851"/>
    </w:pPr>
  </w:p>
  <w:p w14:paraId="07648D57" w14:textId="77777777" w:rsidR="001537C8" w:rsidRDefault="001537C8" w:rsidP="00BD2532">
    <w:pPr>
      <w:pStyle w:val="En-tte"/>
      <w:tabs>
        <w:tab w:val="clear" w:pos="4536"/>
        <w:tab w:val="clear" w:pos="9072"/>
      </w:tabs>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8962" w14:textId="77777777" w:rsidR="00C52969" w:rsidRDefault="00C86718" w:rsidP="00C86718">
    <w:pPr>
      <w:pStyle w:val="En-tte"/>
      <w:tabs>
        <w:tab w:val="clear" w:pos="4536"/>
        <w:tab w:val="clear" w:pos="9072"/>
      </w:tabs>
      <w:ind w:left="-851"/>
    </w:pPr>
    <w:r>
      <w:rPr>
        <w:noProof/>
      </w:rPr>
      <w:drawing>
        <wp:inline distT="0" distB="0" distL="0" distR="0" wp14:anchorId="31C91C3D" wp14:editId="0B4D2CC6">
          <wp:extent cx="1264482" cy="633577"/>
          <wp:effectExtent l="0" t="0" r="0" b="0"/>
          <wp:docPr id="513132780" name="Picture 51313278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5553" cy="639124"/>
                  </a:xfrm>
                  <a:prstGeom prst="rect">
                    <a:avLst/>
                  </a:prstGeom>
                </pic:spPr>
              </pic:pic>
            </a:graphicData>
          </a:graphic>
        </wp:inline>
      </w:drawing>
    </w:r>
  </w:p>
  <w:p w14:paraId="37D1227D" w14:textId="77777777" w:rsidR="001537C8" w:rsidRDefault="001537C8" w:rsidP="00C86718">
    <w:pPr>
      <w:pStyle w:val="En-tte"/>
      <w:tabs>
        <w:tab w:val="clear" w:pos="4536"/>
        <w:tab w:val="clear" w:pos="9072"/>
      </w:tabs>
      <w:ind w:left="-851"/>
    </w:pPr>
  </w:p>
  <w:p w14:paraId="04BF3010" w14:textId="77777777" w:rsidR="001537C8" w:rsidRDefault="001537C8" w:rsidP="00C86718">
    <w:pPr>
      <w:pStyle w:val="En-tte"/>
      <w:tabs>
        <w:tab w:val="clear" w:pos="4536"/>
        <w:tab w:val="clear" w:pos="9072"/>
      </w:tabs>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2607"/>
    <w:multiLevelType w:val="hybridMultilevel"/>
    <w:tmpl w:val="140A170A"/>
    <w:lvl w:ilvl="0" w:tplc="F15ABB1E">
      <w:start w:val="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35786"/>
    <w:multiLevelType w:val="hybridMultilevel"/>
    <w:tmpl w:val="D988D17C"/>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505844"/>
    <w:multiLevelType w:val="hybridMultilevel"/>
    <w:tmpl w:val="C874C23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C530C"/>
    <w:multiLevelType w:val="hybridMultilevel"/>
    <w:tmpl w:val="D758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E0038"/>
    <w:multiLevelType w:val="hybridMultilevel"/>
    <w:tmpl w:val="23CA79C6"/>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40F3F"/>
    <w:multiLevelType w:val="hybridMultilevel"/>
    <w:tmpl w:val="44447A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1552E0"/>
    <w:multiLevelType w:val="hybridMultilevel"/>
    <w:tmpl w:val="CD3851F0"/>
    <w:lvl w:ilvl="0" w:tplc="0809000B">
      <w:start w:val="1"/>
      <w:numFmt w:val="bullet"/>
      <w:lvlText w:val=""/>
      <w:lvlJc w:val="left"/>
      <w:pPr>
        <w:tabs>
          <w:tab w:val="num" w:pos="1069"/>
        </w:tabs>
        <w:ind w:left="1069" w:hanging="360"/>
      </w:pPr>
      <w:rPr>
        <w:rFonts w:ascii="Wingdings" w:hAnsi="Wingdings" w:hint="default"/>
      </w:rPr>
    </w:lvl>
    <w:lvl w:ilvl="1" w:tplc="348AFFFA" w:tentative="1">
      <w:start w:val="1"/>
      <w:numFmt w:val="bullet"/>
      <w:lvlText w:val=""/>
      <w:lvlJc w:val="left"/>
      <w:pPr>
        <w:tabs>
          <w:tab w:val="num" w:pos="1789"/>
        </w:tabs>
        <w:ind w:left="1789" w:hanging="360"/>
      </w:pPr>
      <w:rPr>
        <w:rFonts w:ascii="Symbol" w:hAnsi="Symbol" w:hint="default"/>
      </w:rPr>
    </w:lvl>
    <w:lvl w:ilvl="2" w:tplc="B24CC412" w:tentative="1">
      <w:start w:val="1"/>
      <w:numFmt w:val="bullet"/>
      <w:lvlText w:val=""/>
      <w:lvlJc w:val="left"/>
      <w:pPr>
        <w:tabs>
          <w:tab w:val="num" w:pos="2509"/>
        </w:tabs>
        <w:ind w:left="2509" w:hanging="360"/>
      </w:pPr>
      <w:rPr>
        <w:rFonts w:ascii="Symbol" w:hAnsi="Symbol" w:hint="default"/>
      </w:rPr>
    </w:lvl>
    <w:lvl w:ilvl="3" w:tplc="5F2C9ECE" w:tentative="1">
      <w:start w:val="1"/>
      <w:numFmt w:val="bullet"/>
      <w:lvlText w:val=""/>
      <w:lvlJc w:val="left"/>
      <w:pPr>
        <w:tabs>
          <w:tab w:val="num" w:pos="3229"/>
        </w:tabs>
        <w:ind w:left="3229" w:hanging="360"/>
      </w:pPr>
      <w:rPr>
        <w:rFonts w:ascii="Symbol" w:hAnsi="Symbol" w:hint="default"/>
      </w:rPr>
    </w:lvl>
    <w:lvl w:ilvl="4" w:tplc="C100CCB6" w:tentative="1">
      <w:start w:val="1"/>
      <w:numFmt w:val="bullet"/>
      <w:lvlText w:val=""/>
      <w:lvlJc w:val="left"/>
      <w:pPr>
        <w:tabs>
          <w:tab w:val="num" w:pos="3949"/>
        </w:tabs>
        <w:ind w:left="3949" w:hanging="360"/>
      </w:pPr>
      <w:rPr>
        <w:rFonts w:ascii="Symbol" w:hAnsi="Symbol" w:hint="default"/>
      </w:rPr>
    </w:lvl>
    <w:lvl w:ilvl="5" w:tplc="0D4C8380" w:tentative="1">
      <w:start w:val="1"/>
      <w:numFmt w:val="bullet"/>
      <w:lvlText w:val=""/>
      <w:lvlJc w:val="left"/>
      <w:pPr>
        <w:tabs>
          <w:tab w:val="num" w:pos="4669"/>
        </w:tabs>
        <w:ind w:left="4669" w:hanging="360"/>
      </w:pPr>
      <w:rPr>
        <w:rFonts w:ascii="Symbol" w:hAnsi="Symbol" w:hint="default"/>
      </w:rPr>
    </w:lvl>
    <w:lvl w:ilvl="6" w:tplc="3EB04364" w:tentative="1">
      <w:start w:val="1"/>
      <w:numFmt w:val="bullet"/>
      <w:lvlText w:val=""/>
      <w:lvlJc w:val="left"/>
      <w:pPr>
        <w:tabs>
          <w:tab w:val="num" w:pos="5389"/>
        </w:tabs>
        <w:ind w:left="5389" w:hanging="360"/>
      </w:pPr>
      <w:rPr>
        <w:rFonts w:ascii="Symbol" w:hAnsi="Symbol" w:hint="default"/>
      </w:rPr>
    </w:lvl>
    <w:lvl w:ilvl="7" w:tplc="AE50B1A2" w:tentative="1">
      <w:start w:val="1"/>
      <w:numFmt w:val="bullet"/>
      <w:lvlText w:val=""/>
      <w:lvlJc w:val="left"/>
      <w:pPr>
        <w:tabs>
          <w:tab w:val="num" w:pos="6109"/>
        </w:tabs>
        <w:ind w:left="6109" w:hanging="360"/>
      </w:pPr>
      <w:rPr>
        <w:rFonts w:ascii="Symbol" w:hAnsi="Symbol" w:hint="default"/>
      </w:rPr>
    </w:lvl>
    <w:lvl w:ilvl="8" w:tplc="24C2A856" w:tentative="1">
      <w:start w:val="1"/>
      <w:numFmt w:val="bullet"/>
      <w:lvlText w:val=""/>
      <w:lvlJc w:val="left"/>
      <w:pPr>
        <w:tabs>
          <w:tab w:val="num" w:pos="6829"/>
        </w:tabs>
        <w:ind w:left="6829" w:hanging="360"/>
      </w:pPr>
      <w:rPr>
        <w:rFonts w:ascii="Symbol" w:hAnsi="Symbol" w:hint="default"/>
      </w:rPr>
    </w:lvl>
  </w:abstractNum>
  <w:abstractNum w:abstractNumId="7" w15:restartNumberingAfterBreak="0">
    <w:nsid w:val="13071C33"/>
    <w:multiLevelType w:val="multilevel"/>
    <w:tmpl w:val="342250C6"/>
    <w:numStyleLink w:val="AgendaList"/>
  </w:abstractNum>
  <w:abstractNum w:abstractNumId="8" w15:restartNumberingAfterBreak="0">
    <w:nsid w:val="144C6D0F"/>
    <w:multiLevelType w:val="hybridMultilevel"/>
    <w:tmpl w:val="30882F42"/>
    <w:lvl w:ilvl="0" w:tplc="6AF6BE68">
      <w:start w:val="4"/>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1EAA133B"/>
    <w:multiLevelType w:val="hybridMultilevel"/>
    <w:tmpl w:val="DFA2DAE2"/>
    <w:lvl w:ilvl="0" w:tplc="200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17F2D"/>
    <w:multiLevelType w:val="hybridMultilevel"/>
    <w:tmpl w:val="64A21C62"/>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F3490"/>
    <w:multiLevelType w:val="hybridMultilevel"/>
    <w:tmpl w:val="7C449A62"/>
    <w:lvl w:ilvl="0" w:tplc="30A80A54">
      <w:start w:val="1"/>
      <w:numFmt w:val="bullet"/>
      <w:lvlText w:val=""/>
      <w:lvlJc w:val="left"/>
      <w:pPr>
        <w:ind w:left="720" w:hanging="360"/>
      </w:pPr>
      <w:rPr>
        <w:rFonts w:ascii="Wingdings" w:hAnsi="Wingdings" w:hint="default"/>
        <w:color w:val="007576" w:themeColor="accent1"/>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92AC3"/>
    <w:multiLevelType w:val="hybridMultilevel"/>
    <w:tmpl w:val="46B612D8"/>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74F22"/>
    <w:multiLevelType w:val="hybridMultilevel"/>
    <w:tmpl w:val="1A7ECB7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62450"/>
    <w:multiLevelType w:val="hybridMultilevel"/>
    <w:tmpl w:val="B9BCDE48"/>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B4E1C"/>
    <w:multiLevelType w:val="hybridMultilevel"/>
    <w:tmpl w:val="D76CE110"/>
    <w:lvl w:ilvl="0" w:tplc="F5F0B19A">
      <w:start w:val="1"/>
      <w:numFmt w:val="decimal"/>
      <w:lvlText w:val="%1."/>
      <w:lvlJc w:val="left"/>
      <w:pPr>
        <w:ind w:left="1500" w:hanging="11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6197C"/>
    <w:multiLevelType w:val="hybridMultilevel"/>
    <w:tmpl w:val="3A02B650"/>
    <w:lvl w:ilvl="0" w:tplc="08090011">
      <w:start w:val="1"/>
      <w:numFmt w:val="decimal"/>
      <w:lvlText w:val="%1)"/>
      <w:lvlJc w:val="left"/>
      <w:pPr>
        <w:tabs>
          <w:tab w:val="num" w:pos="-720"/>
        </w:tabs>
        <w:ind w:left="-720" w:hanging="360"/>
      </w:pPr>
    </w:lvl>
    <w:lvl w:ilvl="1" w:tplc="FFFFFFFF">
      <w:numFmt w:val="bullet"/>
      <w:lvlText w:val=""/>
      <w:lvlJc w:val="left"/>
      <w:pPr>
        <w:tabs>
          <w:tab w:val="num" w:pos="0"/>
        </w:tabs>
        <w:ind w:left="0" w:hanging="360"/>
      </w:pPr>
      <w:rPr>
        <w:rFonts w:ascii="Wingdings" w:hAnsi="Wingdings" w:hint="default"/>
      </w:rPr>
    </w:lvl>
    <w:lvl w:ilvl="2" w:tplc="FFFFFFFF">
      <w:start w:val="1"/>
      <w:numFmt w:val="bullet"/>
      <w:lvlText w:val=""/>
      <w:lvlJc w:val="left"/>
      <w:pPr>
        <w:tabs>
          <w:tab w:val="num" w:pos="720"/>
        </w:tabs>
        <w:ind w:left="720" w:hanging="360"/>
      </w:pPr>
      <w:rPr>
        <w:rFonts w:ascii="Wingdings" w:hAnsi="Wingdings" w:hint="default"/>
      </w:rPr>
    </w:lvl>
    <w:lvl w:ilvl="3" w:tplc="FFFFFFFF">
      <w:start w:val="1"/>
      <w:numFmt w:val="bullet"/>
      <w:lvlText w:val=""/>
      <w:lvlJc w:val="left"/>
      <w:pPr>
        <w:tabs>
          <w:tab w:val="num" w:pos="1440"/>
        </w:tabs>
        <w:ind w:left="1440" w:hanging="360"/>
      </w:pPr>
      <w:rPr>
        <w:rFonts w:ascii="Wingdings" w:hAnsi="Wingdings" w:hint="default"/>
      </w:rPr>
    </w:lvl>
    <w:lvl w:ilvl="4" w:tplc="FFFFFFFF">
      <w:start w:val="1"/>
      <w:numFmt w:val="bullet"/>
      <w:lvlText w:val=""/>
      <w:lvlJc w:val="left"/>
      <w:pPr>
        <w:tabs>
          <w:tab w:val="num" w:pos="2160"/>
        </w:tabs>
        <w:ind w:left="2160" w:hanging="360"/>
      </w:pPr>
      <w:rPr>
        <w:rFonts w:ascii="Wingdings" w:hAnsi="Wingdings" w:hint="default"/>
      </w:rPr>
    </w:lvl>
    <w:lvl w:ilvl="5" w:tplc="FFFFFFFF">
      <w:start w:val="1"/>
      <w:numFmt w:val="bullet"/>
      <w:lvlText w:val=""/>
      <w:lvlJc w:val="left"/>
      <w:pPr>
        <w:tabs>
          <w:tab w:val="num" w:pos="2880"/>
        </w:tabs>
        <w:ind w:left="2880" w:hanging="360"/>
      </w:pPr>
      <w:rPr>
        <w:rFonts w:ascii="Wingdings" w:hAnsi="Wingdings" w:hint="default"/>
      </w:rPr>
    </w:lvl>
    <w:lvl w:ilvl="6" w:tplc="FFFFFFFF">
      <w:start w:val="1"/>
      <w:numFmt w:val="bullet"/>
      <w:lvlText w:val=""/>
      <w:lvlJc w:val="left"/>
      <w:pPr>
        <w:tabs>
          <w:tab w:val="num" w:pos="3600"/>
        </w:tabs>
        <w:ind w:left="3600" w:hanging="360"/>
      </w:pPr>
      <w:rPr>
        <w:rFonts w:ascii="Wingdings" w:hAnsi="Wingdings" w:hint="default"/>
      </w:rPr>
    </w:lvl>
    <w:lvl w:ilvl="7" w:tplc="FFFFFFFF">
      <w:start w:val="1"/>
      <w:numFmt w:val="bullet"/>
      <w:lvlText w:val=""/>
      <w:lvlJc w:val="left"/>
      <w:pPr>
        <w:tabs>
          <w:tab w:val="num" w:pos="4320"/>
        </w:tabs>
        <w:ind w:left="4320" w:hanging="360"/>
      </w:pPr>
      <w:rPr>
        <w:rFonts w:ascii="Wingdings" w:hAnsi="Wingdings" w:hint="default"/>
      </w:rPr>
    </w:lvl>
    <w:lvl w:ilvl="8" w:tplc="FFFFFFFF">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3CDE5FBE"/>
    <w:multiLevelType w:val="hybridMultilevel"/>
    <w:tmpl w:val="A606A2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23C3BD4"/>
    <w:multiLevelType w:val="hybridMultilevel"/>
    <w:tmpl w:val="C2FCD2EC"/>
    <w:lvl w:ilvl="0" w:tplc="F15ABB1E">
      <w:start w:val="2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4476D3"/>
    <w:multiLevelType w:val="hybridMultilevel"/>
    <w:tmpl w:val="9122602A"/>
    <w:lvl w:ilvl="0" w:tplc="3F5E7D0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600287C"/>
    <w:multiLevelType w:val="hybridMultilevel"/>
    <w:tmpl w:val="C71C0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BE3F48"/>
    <w:multiLevelType w:val="hybridMultilevel"/>
    <w:tmpl w:val="01D0E54E"/>
    <w:lvl w:ilvl="0" w:tplc="59CC72E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41356"/>
    <w:multiLevelType w:val="hybridMultilevel"/>
    <w:tmpl w:val="9EA21F5E"/>
    <w:lvl w:ilvl="0" w:tplc="ADC4B59C">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1777BA"/>
    <w:multiLevelType w:val="hybridMultilevel"/>
    <w:tmpl w:val="C924DFD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50C139BC"/>
    <w:multiLevelType w:val="hybridMultilevel"/>
    <w:tmpl w:val="AF920EC2"/>
    <w:lvl w:ilvl="0" w:tplc="8D4AB3DC">
      <w:start w:val="1"/>
      <w:numFmt w:val="decimal"/>
      <w:lvlText w:val="%1."/>
      <w:lvlJc w:val="left"/>
      <w:pPr>
        <w:ind w:left="1450" w:hanging="74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5" w15:restartNumberingAfterBreak="0">
    <w:nsid w:val="512969CF"/>
    <w:multiLevelType w:val="hybridMultilevel"/>
    <w:tmpl w:val="60AC1358"/>
    <w:lvl w:ilvl="0" w:tplc="BAFAB94E">
      <w:start w:val="1"/>
      <w:numFmt w:val="lowerLetter"/>
      <w:lvlText w:val="%1)"/>
      <w:lvlJc w:val="left"/>
      <w:pPr>
        <w:ind w:left="720" w:hanging="360"/>
      </w:pPr>
      <w:rPr>
        <w:rFonts w:hint="default"/>
        <w:b w:val="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873AD"/>
    <w:multiLevelType w:val="hybridMultilevel"/>
    <w:tmpl w:val="01765CFA"/>
    <w:lvl w:ilvl="0" w:tplc="2000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46445AC"/>
    <w:multiLevelType w:val="hybridMultilevel"/>
    <w:tmpl w:val="34CE1CD4"/>
    <w:lvl w:ilvl="0" w:tplc="200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73304F"/>
    <w:multiLevelType w:val="hybridMultilevel"/>
    <w:tmpl w:val="0F2A2758"/>
    <w:lvl w:ilvl="0" w:tplc="D1EA7BBC">
      <w:start w:val="1"/>
      <w:numFmt w:val="decimal"/>
      <w:lvlText w:val="%1."/>
      <w:lvlJc w:val="left"/>
      <w:pPr>
        <w:ind w:left="720" w:hanging="360"/>
      </w:pPr>
      <w:rPr>
        <w:rFonts w:hint="default"/>
        <w:color w:val="007576" w:themeColor="accent1"/>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C91679"/>
    <w:multiLevelType w:val="hybridMultilevel"/>
    <w:tmpl w:val="98100A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265765"/>
    <w:multiLevelType w:val="hybridMultilevel"/>
    <w:tmpl w:val="2B165FE2"/>
    <w:lvl w:ilvl="0" w:tplc="B6F0B1D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09A40A4"/>
    <w:multiLevelType w:val="hybridMultilevel"/>
    <w:tmpl w:val="967C7CC4"/>
    <w:lvl w:ilvl="0" w:tplc="DC680CE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00112A"/>
    <w:multiLevelType w:val="hybridMultilevel"/>
    <w:tmpl w:val="98AEF2D4"/>
    <w:lvl w:ilvl="0" w:tplc="285809A0">
      <w:start w:val="1"/>
      <w:numFmt w:val="decimal"/>
      <w:lvlText w:val="%1."/>
      <w:lvlJc w:val="left"/>
      <w:pPr>
        <w:ind w:left="1070" w:hanging="71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DA2300"/>
    <w:multiLevelType w:val="multilevel"/>
    <w:tmpl w:val="342250C6"/>
    <w:styleLink w:val="AgendaList"/>
    <w:lvl w:ilvl="0">
      <w:start w:val="1"/>
      <w:numFmt w:val="decimal"/>
      <w:lvlText w:val="%1."/>
      <w:lvlJc w:val="left"/>
      <w:pPr>
        <w:ind w:left="284" w:hanging="284"/>
      </w:pPr>
      <w:rPr>
        <w:rFonts w:ascii="Arial" w:hAnsi="Arial" w:hint="default"/>
        <w:b/>
        <w:i w:val="0"/>
        <w:caps/>
        <w:smallCaps w:val="0"/>
        <w:strike w:val="0"/>
        <w:dstrike w:val="0"/>
        <w:vanish w:val="0"/>
        <w:color w:val="007576" w:themeColor="accent1"/>
        <w:sz w:val="20"/>
        <w:vertAlign w:val="baseline"/>
      </w:rPr>
    </w:lvl>
    <w:lvl w:ilvl="1">
      <w:start w:val="1"/>
      <w:numFmt w:val="decimal"/>
      <w:lvlRestart w:val="0"/>
      <w:lvlText w:val="%1.%2"/>
      <w:lvlJc w:val="left"/>
      <w:pPr>
        <w:ind w:left="964" w:hanging="397"/>
      </w:pPr>
      <w:rPr>
        <w:rFonts w:asciiTheme="minorHAnsi" w:hAnsiTheme="minorHAnsi" w:hint="default"/>
        <w:sz w:val="20"/>
      </w:rPr>
    </w:lvl>
    <w:lvl w:ilvl="2">
      <w:start w:val="1"/>
      <w:numFmt w:val="decimal"/>
      <w:lvlRestart w:val="0"/>
      <w:lvlText w:val="%1.%2.%3"/>
      <w:lvlJc w:val="left"/>
      <w:pPr>
        <w:tabs>
          <w:tab w:val="num" w:pos="2325"/>
        </w:tabs>
        <w:ind w:left="1361" w:hanging="227"/>
      </w:pPr>
      <w:rPr>
        <w:rFonts w:asciiTheme="minorHAnsi" w:hAnsiTheme="minorHAnsi" w:hint="default"/>
        <w:sz w:val="20"/>
      </w:rPr>
    </w:lvl>
    <w:lvl w:ilvl="3">
      <w:start w:val="1"/>
      <w:numFmt w:val="decimal"/>
      <w:lvlRestart w:val="0"/>
      <w:lvlText w:val="%4.%1.%2.%3"/>
      <w:lvlJc w:val="left"/>
      <w:pPr>
        <w:ind w:left="1814" w:hanging="396"/>
      </w:pPr>
      <w:rPr>
        <w:rFonts w:asciiTheme="minorHAnsi" w:hAnsiTheme="minorHAnsi" w:hint="default"/>
        <w:sz w:val="20"/>
      </w:rPr>
    </w:lvl>
    <w:lvl w:ilvl="4">
      <w:start w:val="1"/>
      <w:numFmt w:val="none"/>
      <w:lvlText w:val="%5."/>
      <w:lvlJc w:val="left"/>
      <w:pPr>
        <w:ind w:left="9376" w:hanging="7675"/>
      </w:pPr>
      <w:rPr>
        <w:rFonts w:hint="default"/>
      </w:rPr>
    </w:lvl>
    <w:lvl w:ilvl="5">
      <w:start w:val="1"/>
      <w:numFmt w:val="none"/>
      <w:lvlText w:val="%6."/>
      <w:lvlJc w:val="right"/>
      <w:pPr>
        <w:ind w:left="10096" w:hanging="8395"/>
      </w:pPr>
      <w:rPr>
        <w:rFonts w:hint="default"/>
      </w:rPr>
    </w:lvl>
    <w:lvl w:ilvl="6">
      <w:start w:val="1"/>
      <w:numFmt w:val="none"/>
      <w:lvlText w:val="%7."/>
      <w:lvlJc w:val="left"/>
      <w:pPr>
        <w:ind w:left="10816" w:hanging="9115"/>
      </w:pPr>
      <w:rPr>
        <w:rFonts w:hint="default"/>
      </w:rPr>
    </w:lvl>
    <w:lvl w:ilvl="7">
      <w:start w:val="1"/>
      <w:numFmt w:val="none"/>
      <w:lvlText w:val="%8."/>
      <w:lvlJc w:val="left"/>
      <w:pPr>
        <w:ind w:left="11536" w:hanging="9835"/>
      </w:pPr>
      <w:rPr>
        <w:rFonts w:hint="default"/>
      </w:rPr>
    </w:lvl>
    <w:lvl w:ilvl="8">
      <w:start w:val="1"/>
      <w:numFmt w:val="none"/>
      <w:lvlText w:val="%9."/>
      <w:lvlJc w:val="right"/>
      <w:pPr>
        <w:ind w:left="12256" w:hanging="10555"/>
      </w:pPr>
      <w:rPr>
        <w:rFonts w:hint="default"/>
      </w:rPr>
    </w:lvl>
  </w:abstractNum>
  <w:abstractNum w:abstractNumId="34" w15:restartNumberingAfterBreak="0">
    <w:nsid w:val="6CE300B5"/>
    <w:multiLevelType w:val="hybridMultilevel"/>
    <w:tmpl w:val="4DF07206"/>
    <w:lvl w:ilvl="0" w:tplc="74A41B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35572D"/>
    <w:multiLevelType w:val="hybridMultilevel"/>
    <w:tmpl w:val="A0520B0C"/>
    <w:lvl w:ilvl="0" w:tplc="95FECB4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3775F8"/>
    <w:multiLevelType w:val="hybridMultilevel"/>
    <w:tmpl w:val="19B69DF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78526F"/>
    <w:multiLevelType w:val="hybridMultilevel"/>
    <w:tmpl w:val="821CF368"/>
    <w:lvl w:ilvl="0" w:tplc="F9D2B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87085F"/>
    <w:multiLevelType w:val="hybridMultilevel"/>
    <w:tmpl w:val="86C23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7673434">
    <w:abstractNumId w:val="33"/>
  </w:num>
  <w:num w:numId="2" w16cid:durableId="1050766638">
    <w:abstractNumId w:val="7"/>
  </w:num>
  <w:num w:numId="3" w16cid:durableId="2089184450">
    <w:abstractNumId w:val="16"/>
    <w:lvlOverride w:ilvl="0">
      <w:startOverride w:val="1"/>
    </w:lvlOverride>
    <w:lvlOverride w:ilvl="1"/>
    <w:lvlOverride w:ilvl="2"/>
    <w:lvlOverride w:ilvl="3"/>
    <w:lvlOverride w:ilvl="4"/>
    <w:lvlOverride w:ilvl="5"/>
    <w:lvlOverride w:ilvl="6"/>
    <w:lvlOverride w:ilvl="7"/>
    <w:lvlOverride w:ilvl="8"/>
  </w:num>
  <w:num w:numId="4" w16cid:durableId="935021928">
    <w:abstractNumId w:val="30"/>
  </w:num>
  <w:num w:numId="5" w16cid:durableId="552619641">
    <w:abstractNumId w:val="34"/>
  </w:num>
  <w:num w:numId="6" w16cid:durableId="702637004">
    <w:abstractNumId w:val="25"/>
  </w:num>
  <w:num w:numId="7" w16cid:durableId="2053311184">
    <w:abstractNumId w:val="37"/>
  </w:num>
  <w:num w:numId="8" w16cid:durableId="441338295">
    <w:abstractNumId w:val="38"/>
  </w:num>
  <w:num w:numId="9" w16cid:durableId="917061097">
    <w:abstractNumId w:val="20"/>
  </w:num>
  <w:num w:numId="10" w16cid:durableId="1178352853">
    <w:abstractNumId w:val="31"/>
  </w:num>
  <w:num w:numId="11" w16cid:durableId="578638579">
    <w:abstractNumId w:val="15"/>
  </w:num>
  <w:num w:numId="12" w16cid:durableId="1506558324">
    <w:abstractNumId w:val="6"/>
  </w:num>
  <w:num w:numId="13" w16cid:durableId="941231077">
    <w:abstractNumId w:val="16"/>
  </w:num>
  <w:num w:numId="14" w16cid:durableId="260455217">
    <w:abstractNumId w:val="19"/>
  </w:num>
  <w:num w:numId="15" w16cid:durableId="953247061">
    <w:abstractNumId w:val="17"/>
  </w:num>
  <w:num w:numId="16" w16cid:durableId="601569627">
    <w:abstractNumId w:val="16"/>
    <w:lvlOverride w:ilvl="0">
      <w:startOverride w:val="1"/>
    </w:lvlOverride>
    <w:lvlOverride w:ilvl="1"/>
    <w:lvlOverride w:ilvl="2"/>
    <w:lvlOverride w:ilvl="3"/>
    <w:lvlOverride w:ilvl="4"/>
    <w:lvlOverride w:ilvl="5"/>
    <w:lvlOverride w:ilvl="6"/>
    <w:lvlOverride w:ilvl="7"/>
    <w:lvlOverride w:ilvl="8"/>
  </w:num>
  <w:num w:numId="17" w16cid:durableId="1938756551">
    <w:abstractNumId w:val="29"/>
  </w:num>
  <w:num w:numId="18" w16cid:durableId="1695426218">
    <w:abstractNumId w:val="1"/>
  </w:num>
  <w:num w:numId="19" w16cid:durableId="900558279">
    <w:abstractNumId w:val="24"/>
  </w:num>
  <w:num w:numId="20" w16cid:durableId="184636672">
    <w:abstractNumId w:val="8"/>
  </w:num>
  <w:num w:numId="21" w16cid:durableId="1617130351">
    <w:abstractNumId w:val="13"/>
  </w:num>
  <w:num w:numId="22" w16cid:durableId="138770468">
    <w:abstractNumId w:val="26"/>
  </w:num>
  <w:num w:numId="23" w16cid:durableId="1158153200">
    <w:abstractNumId w:val="14"/>
  </w:num>
  <w:num w:numId="24" w16cid:durableId="543447860">
    <w:abstractNumId w:val="21"/>
  </w:num>
  <w:num w:numId="25" w16cid:durableId="1352142048">
    <w:abstractNumId w:val="10"/>
  </w:num>
  <w:num w:numId="26" w16cid:durableId="653031331">
    <w:abstractNumId w:val="36"/>
  </w:num>
  <w:num w:numId="27" w16cid:durableId="704410054">
    <w:abstractNumId w:val="32"/>
  </w:num>
  <w:num w:numId="28" w16cid:durableId="861895071">
    <w:abstractNumId w:val="2"/>
  </w:num>
  <w:num w:numId="29" w16cid:durableId="310601166">
    <w:abstractNumId w:val="35"/>
  </w:num>
  <w:num w:numId="30" w16cid:durableId="2007325219">
    <w:abstractNumId w:val="12"/>
  </w:num>
  <w:num w:numId="31" w16cid:durableId="259341587">
    <w:abstractNumId w:val="23"/>
  </w:num>
  <w:num w:numId="32" w16cid:durableId="594749776">
    <w:abstractNumId w:val="5"/>
  </w:num>
  <w:num w:numId="33" w16cid:durableId="1835604016">
    <w:abstractNumId w:val="3"/>
  </w:num>
  <w:num w:numId="34" w16cid:durableId="419528106">
    <w:abstractNumId w:val="11"/>
  </w:num>
  <w:num w:numId="35" w16cid:durableId="1158493218">
    <w:abstractNumId w:val="18"/>
  </w:num>
  <w:num w:numId="36" w16cid:durableId="1700274447">
    <w:abstractNumId w:val="0"/>
  </w:num>
  <w:num w:numId="37" w16cid:durableId="1592008294">
    <w:abstractNumId w:val="27"/>
  </w:num>
  <w:num w:numId="38" w16cid:durableId="20058776">
    <w:abstractNumId w:val="4"/>
  </w:num>
  <w:num w:numId="39" w16cid:durableId="1256864869">
    <w:abstractNumId w:val="28"/>
  </w:num>
  <w:num w:numId="40" w16cid:durableId="1074165437">
    <w:abstractNumId w:val="22"/>
  </w:num>
  <w:num w:numId="41" w16cid:durableId="125300400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9"/>
  <w:hyphenationZone w:val="425"/>
  <w:drawingGridHorizontalSpacing w:val="181"/>
  <w:drawingGridVerticalSpacing w:val="181"/>
  <w:displayHorizontalDrawingGridEvery w:val="3"/>
  <w:displayVerticalDrawingGridEvery w:val="3"/>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8E"/>
    <w:rsid w:val="0000115C"/>
    <w:rsid w:val="00001CF2"/>
    <w:rsid w:val="00001DD2"/>
    <w:rsid w:val="00003BFC"/>
    <w:rsid w:val="0000413B"/>
    <w:rsid w:val="0000538B"/>
    <w:rsid w:val="00007AE0"/>
    <w:rsid w:val="00010F76"/>
    <w:rsid w:val="00011C05"/>
    <w:rsid w:val="00014E3E"/>
    <w:rsid w:val="00016B22"/>
    <w:rsid w:val="0001729C"/>
    <w:rsid w:val="00020563"/>
    <w:rsid w:val="00021B07"/>
    <w:rsid w:val="00022A56"/>
    <w:rsid w:val="0002353F"/>
    <w:rsid w:val="0002558C"/>
    <w:rsid w:val="00025753"/>
    <w:rsid w:val="00025AF1"/>
    <w:rsid w:val="000277B5"/>
    <w:rsid w:val="000327E3"/>
    <w:rsid w:val="000337DC"/>
    <w:rsid w:val="00035151"/>
    <w:rsid w:val="0003599D"/>
    <w:rsid w:val="00035FA8"/>
    <w:rsid w:val="00036A7B"/>
    <w:rsid w:val="00037209"/>
    <w:rsid w:val="000404DD"/>
    <w:rsid w:val="000416EF"/>
    <w:rsid w:val="00044F4E"/>
    <w:rsid w:val="00046A82"/>
    <w:rsid w:val="0005072A"/>
    <w:rsid w:val="00050FBA"/>
    <w:rsid w:val="00055376"/>
    <w:rsid w:val="00055ECF"/>
    <w:rsid w:val="00056A42"/>
    <w:rsid w:val="00060F96"/>
    <w:rsid w:val="000631AF"/>
    <w:rsid w:val="0006340B"/>
    <w:rsid w:val="00064639"/>
    <w:rsid w:val="00065BC3"/>
    <w:rsid w:val="0006610B"/>
    <w:rsid w:val="00066771"/>
    <w:rsid w:val="00066816"/>
    <w:rsid w:val="00066B42"/>
    <w:rsid w:val="000676E0"/>
    <w:rsid w:val="00067B6A"/>
    <w:rsid w:val="00070C6D"/>
    <w:rsid w:val="00071DB4"/>
    <w:rsid w:val="00073F36"/>
    <w:rsid w:val="00074B7B"/>
    <w:rsid w:val="00074E86"/>
    <w:rsid w:val="0007501B"/>
    <w:rsid w:val="00081AFD"/>
    <w:rsid w:val="00083CF5"/>
    <w:rsid w:val="000847E9"/>
    <w:rsid w:val="000848E4"/>
    <w:rsid w:val="0008663C"/>
    <w:rsid w:val="00086D5E"/>
    <w:rsid w:val="000877CA"/>
    <w:rsid w:val="0009020D"/>
    <w:rsid w:val="000906EE"/>
    <w:rsid w:val="00090F7B"/>
    <w:rsid w:val="000915D3"/>
    <w:rsid w:val="000921A6"/>
    <w:rsid w:val="0009480A"/>
    <w:rsid w:val="00094B7F"/>
    <w:rsid w:val="00095F38"/>
    <w:rsid w:val="00095F9E"/>
    <w:rsid w:val="00096267"/>
    <w:rsid w:val="000963FD"/>
    <w:rsid w:val="000968CA"/>
    <w:rsid w:val="00096CB0"/>
    <w:rsid w:val="000974C4"/>
    <w:rsid w:val="0009772B"/>
    <w:rsid w:val="000A0D01"/>
    <w:rsid w:val="000A1D20"/>
    <w:rsid w:val="000A1F30"/>
    <w:rsid w:val="000A2BD2"/>
    <w:rsid w:val="000A3B94"/>
    <w:rsid w:val="000A3EC9"/>
    <w:rsid w:val="000A4CB7"/>
    <w:rsid w:val="000A4D96"/>
    <w:rsid w:val="000B0774"/>
    <w:rsid w:val="000B4003"/>
    <w:rsid w:val="000B472F"/>
    <w:rsid w:val="000B7FAA"/>
    <w:rsid w:val="000C1EB1"/>
    <w:rsid w:val="000C36B9"/>
    <w:rsid w:val="000C36E8"/>
    <w:rsid w:val="000C42A8"/>
    <w:rsid w:val="000C4897"/>
    <w:rsid w:val="000C5FA5"/>
    <w:rsid w:val="000C6545"/>
    <w:rsid w:val="000C6F5F"/>
    <w:rsid w:val="000C6F71"/>
    <w:rsid w:val="000C7930"/>
    <w:rsid w:val="000D0B8A"/>
    <w:rsid w:val="000D1C11"/>
    <w:rsid w:val="000D1C42"/>
    <w:rsid w:val="000D34F7"/>
    <w:rsid w:val="000D3713"/>
    <w:rsid w:val="000D46A7"/>
    <w:rsid w:val="000D6937"/>
    <w:rsid w:val="000E126F"/>
    <w:rsid w:val="000F0AF0"/>
    <w:rsid w:val="000F1B4E"/>
    <w:rsid w:val="000F2D11"/>
    <w:rsid w:val="000F5083"/>
    <w:rsid w:val="000F52CA"/>
    <w:rsid w:val="000F58C0"/>
    <w:rsid w:val="000F60AF"/>
    <w:rsid w:val="000F6CB1"/>
    <w:rsid w:val="000F71D0"/>
    <w:rsid w:val="000F79D9"/>
    <w:rsid w:val="000F7AB0"/>
    <w:rsid w:val="000F7DBC"/>
    <w:rsid w:val="00100660"/>
    <w:rsid w:val="00103A03"/>
    <w:rsid w:val="00104D83"/>
    <w:rsid w:val="00104E60"/>
    <w:rsid w:val="00106326"/>
    <w:rsid w:val="001066FE"/>
    <w:rsid w:val="0010675F"/>
    <w:rsid w:val="00106F7C"/>
    <w:rsid w:val="0010785A"/>
    <w:rsid w:val="00110611"/>
    <w:rsid w:val="00115A5A"/>
    <w:rsid w:val="00117052"/>
    <w:rsid w:val="00120ACF"/>
    <w:rsid w:val="00120F09"/>
    <w:rsid w:val="0012106A"/>
    <w:rsid w:val="00121856"/>
    <w:rsid w:val="00121E9A"/>
    <w:rsid w:val="001224B8"/>
    <w:rsid w:val="00122925"/>
    <w:rsid w:val="00122BD8"/>
    <w:rsid w:val="001231A6"/>
    <w:rsid w:val="0012336A"/>
    <w:rsid w:val="001260AF"/>
    <w:rsid w:val="001275E0"/>
    <w:rsid w:val="00127B63"/>
    <w:rsid w:val="001305D3"/>
    <w:rsid w:val="00130C07"/>
    <w:rsid w:val="00131DEB"/>
    <w:rsid w:val="00135554"/>
    <w:rsid w:val="001355D8"/>
    <w:rsid w:val="00136915"/>
    <w:rsid w:val="00136C82"/>
    <w:rsid w:val="00136EFC"/>
    <w:rsid w:val="0013747F"/>
    <w:rsid w:val="0014027D"/>
    <w:rsid w:val="001413B9"/>
    <w:rsid w:val="00141474"/>
    <w:rsid w:val="00142634"/>
    <w:rsid w:val="00143471"/>
    <w:rsid w:val="0014532D"/>
    <w:rsid w:val="00146210"/>
    <w:rsid w:val="001473C2"/>
    <w:rsid w:val="00150C75"/>
    <w:rsid w:val="00151096"/>
    <w:rsid w:val="00151CEF"/>
    <w:rsid w:val="001537C8"/>
    <w:rsid w:val="00154811"/>
    <w:rsid w:val="00154975"/>
    <w:rsid w:val="00154EDE"/>
    <w:rsid w:val="00155070"/>
    <w:rsid w:val="001550C2"/>
    <w:rsid w:val="00155B3B"/>
    <w:rsid w:val="00163032"/>
    <w:rsid w:val="00164ADA"/>
    <w:rsid w:val="00165200"/>
    <w:rsid w:val="0016583C"/>
    <w:rsid w:val="0016637F"/>
    <w:rsid w:val="00166B1E"/>
    <w:rsid w:val="00167969"/>
    <w:rsid w:val="00170249"/>
    <w:rsid w:val="001714BC"/>
    <w:rsid w:val="00173AB4"/>
    <w:rsid w:val="00174546"/>
    <w:rsid w:val="0017545B"/>
    <w:rsid w:val="00177414"/>
    <w:rsid w:val="00181499"/>
    <w:rsid w:val="001818CD"/>
    <w:rsid w:val="0018211A"/>
    <w:rsid w:val="00182705"/>
    <w:rsid w:val="001832A1"/>
    <w:rsid w:val="00185039"/>
    <w:rsid w:val="001857BF"/>
    <w:rsid w:val="00187E8A"/>
    <w:rsid w:val="00190163"/>
    <w:rsid w:val="00190860"/>
    <w:rsid w:val="00191E48"/>
    <w:rsid w:val="00192058"/>
    <w:rsid w:val="00193042"/>
    <w:rsid w:val="00196095"/>
    <w:rsid w:val="00196859"/>
    <w:rsid w:val="0019753F"/>
    <w:rsid w:val="00197CE5"/>
    <w:rsid w:val="001A0918"/>
    <w:rsid w:val="001A09C1"/>
    <w:rsid w:val="001A1898"/>
    <w:rsid w:val="001A19DA"/>
    <w:rsid w:val="001A314F"/>
    <w:rsid w:val="001A4C2F"/>
    <w:rsid w:val="001A71DB"/>
    <w:rsid w:val="001B0094"/>
    <w:rsid w:val="001B00E5"/>
    <w:rsid w:val="001B159F"/>
    <w:rsid w:val="001B284F"/>
    <w:rsid w:val="001B2F71"/>
    <w:rsid w:val="001B3883"/>
    <w:rsid w:val="001B3903"/>
    <w:rsid w:val="001B3D11"/>
    <w:rsid w:val="001B3F37"/>
    <w:rsid w:val="001B4520"/>
    <w:rsid w:val="001B688C"/>
    <w:rsid w:val="001C12F5"/>
    <w:rsid w:val="001C162B"/>
    <w:rsid w:val="001C1FE2"/>
    <w:rsid w:val="001C38C0"/>
    <w:rsid w:val="001C413F"/>
    <w:rsid w:val="001C41AF"/>
    <w:rsid w:val="001C468C"/>
    <w:rsid w:val="001C4762"/>
    <w:rsid w:val="001C6299"/>
    <w:rsid w:val="001C7563"/>
    <w:rsid w:val="001D1529"/>
    <w:rsid w:val="001D19F1"/>
    <w:rsid w:val="001D30B2"/>
    <w:rsid w:val="001D3381"/>
    <w:rsid w:val="001D54DB"/>
    <w:rsid w:val="001D5C7C"/>
    <w:rsid w:val="001D734D"/>
    <w:rsid w:val="001D7B4F"/>
    <w:rsid w:val="001E0802"/>
    <w:rsid w:val="001E1D29"/>
    <w:rsid w:val="001E3FEF"/>
    <w:rsid w:val="001E56A0"/>
    <w:rsid w:val="001E6200"/>
    <w:rsid w:val="001E714E"/>
    <w:rsid w:val="001E745C"/>
    <w:rsid w:val="001F11C9"/>
    <w:rsid w:val="001F2C2B"/>
    <w:rsid w:val="001F41F5"/>
    <w:rsid w:val="001F4E16"/>
    <w:rsid w:val="001F5DDA"/>
    <w:rsid w:val="001F74A0"/>
    <w:rsid w:val="0020003A"/>
    <w:rsid w:val="0020021E"/>
    <w:rsid w:val="002015BD"/>
    <w:rsid w:val="0020216A"/>
    <w:rsid w:val="00202BD8"/>
    <w:rsid w:val="00203C21"/>
    <w:rsid w:val="00204175"/>
    <w:rsid w:val="002047B7"/>
    <w:rsid w:val="00204CC0"/>
    <w:rsid w:val="00205143"/>
    <w:rsid w:val="0020762F"/>
    <w:rsid w:val="00207B2B"/>
    <w:rsid w:val="00207D88"/>
    <w:rsid w:val="00210088"/>
    <w:rsid w:val="0021132D"/>
    <w:rsid w:val="00211844"/>
    <w:rsid w:val="002126B7"/>
    <w:rsid w:val="00213BEB"/>
    <w:rsid w:val="00213E13"/>
    <w:rsid w:val="0021425D"/>
    <w:rsid w:val="002152C6"/>
    <w:rsid w:val="0022014C"/>
    <w:rsid w:val="0022030A"/>
    <w:rsid w:val="00221F28"/>
    <w:rsid w:val="002249EE"/>
    <w:rsid w:val="0022571E"/>
    <w:rsid w:val="00225A2E"/>
    <w:rsid w:val="002273E3"/>
    <w:rsid w:val="002300D9"/>
    <w:rsid w:val="0023150B"/>
    <w:rsid w:val="002327B9"/>
    <w:rsid w:val="002359C7"/>
    <w:rsid w:val="00235E22"/>
    <w:rsid w:val="00240485"/>
    <w:rsid w:val="002417A3"/>
    <w:rsid w:val="00242D0A"/>
    <w:rsid w:val="00242FA0"/>
    <w:rsid w:val="00243DC2"/>
    <w:rsid w:val="00243E04"/>
    <w:rsid w:val="00243E39"/>
    <w:rsid w:val="00244540"/>
    <w:rsid w:val="00245BA7"/>
    <w:rsid w:val="00246000"/>
    <w:rsid w:val="002464BA"/>
    <w:rsid w:val="0024704D"/>
    <w:rsid w:val="00247AB6"/>
    <w:rsid w:val="002515EB"/>
    <w:rsid w:val="002522A2"/>
    <w:rsid w:val="00253067"/>
    <w:rsid w:val="002536E0"/>
    <w:rsid w:val="0025584B"/>
    <w:rsid w:val="00255EE4"/>
    <w:rsid w:val="00256FCA"/>
    <w:rsid w:val="00257813"/>
    <w:rsid w:val="002578E2"/>
    <w:rsid w:val="00262B58"/>
    <w:rsid w:val="00263C22"/>
    <w:rsid w:val="00263F78"/>
    <w:rsid w:val="0026524B"/>
    <w:rsid w:val="002659BF"/>
    <w:rsid w:val="002675E2"/>
    <w:rsid w:val="0027062E"/>
    <w:rsid w:val="0027141E"/>
    <w:rsid w:val="002726D5"/>
    <w:rsid w:val="002729FD"/>
    <w:rsid w:val="00272F22"/>
    <w:rsid w:val="00273649"/>
    <w:rsid w:val="00274F50"/>
    <w:rsid w:val="002750D7"/>
    <w:rsid w:val="00275A82"/>
    <w:rsid w:val="00281E49"/>
    <w:rsid w:val="0028341C"/>
    <w:rsid w:val="0028532E"/>
    <w:rsid w:val="00285A72"/>
    <w:rsid w:val="00285AEC"/>
    <w:rsid w:val="00286B6F"/>
    <w:rsid w:val="00287EF7"/>
    <w:rsid w:val="002923BE"/>
    <w:rsid w:val="00293339"/>
    <w:rsid w:val="00293568"/>
    <w:rsid w:val="00293EB2"/>
    <w:rsid w:val="00294A17"/>
    <w:rsid w:val="00295A31"/>
    <w:rsid w:val="00297742"/>
    <w:rsid w:val="00297807"/>
    <w:rsid w:val="002A00F5"/>
    <w:rsid w:val="002A0464"/>
    <w:rsid w:val="002A0B87"/>
    <w:rsid w:val="002A1196"/>
    <w:rsid w:val="002A1374"/>
    <w:rsid w:val="002A208A"/>
    <w:rsid w:val="002A313E"/>
    <w:rsid w:val="002A367D"/>
    <w:rsid w:val="002A4D17"/>
    <w:rsid w:val="002A5325"/>
    <w:rsid w:val="002A5362"/>
    <w:rsid w:val="002A5BB6"/>
    <w:rsid w:val="002A5E37"/>
    <w:rsid w:val="002A62B0"/>
    <w:rsid w:val="002A65D0"/>
    <w:rsid w:val="002A6904"/>
    <w:rsid w:val="002A721E"/>
    <w:rsid w:val="002B1832"/>
    <w:rsid w:val="002B196E"/>
    <w:rsid w:val="002B5E55"/>
    <w:rsid w:val="002B7AB4"/>
    <w:rsid w:val="002C0AF6"/>
    <w:rsid w:val="002C0B04"/>
    <w:rsid w:val="002C1C56"/>
    <w:rsid w:val="002C1FAA"/>
    <w:rsid w:val="002C23FB"/>
    <w:rsid w:val="002C2990"/>
    <w:rsid w:val="002C3C2E"/>
    <w:rsid w:val="002C3E43"/>
    <w:rsid w:val="002C4B36"/>
    <w:rsid w:val="002C5F20"/>
    <w:rsid w:val="002C5FC6"/>
    <w:rsid w:val="002D0EB3"/>
    <w:rsid w:val="002D1045"/>
    <w:rsid w:val="002D6720"/>
    <w:rsid w:val="002D67CB"/>
    <w:rsid w:val="002D752F"/>
    <w:rsid w:val="002D7D27"/>
    <w:rsid w:val="002E07C6"/>
    <w:rsid w:val="002E0E6B"/>
    <w:rsid w:val="002E1227"/>
    <w:rsid w:val="002E50AD"/>
    <w:rsid w:val="002E7AE7"/>
    <w:rsid w:val="002F098D"/>
    <w:rsid w:val="002F1831"/>
    <w:rsid w:val="002F261D"/>
    <w:rsid w:val="002F3574"/>
    <w:rsid w:val="002F38F7"/>
    <w:rsid w:val="002F561C"/>
    <w:rsid w:val="002F5799"/>
    <w:rsid w:val="002F5C1E"/>
    <w:rsid w:val="002F6B14"/>
    <w:rsid w:val="002F77E3"/>
    <w:rsid w:val="002F7FE4"/>
    <w:rsid w:val="003005D6"/>
    <w:rsid w:val="00302182"/>
    <w:rsid w:val="00304DF5"/>
    <w:rsid w:val="00305012"/>
    <w:rsid w:val="00305691"/>
    <w:rsid w:val="00305834"/>
    <w:rsid w:val="0030662D"/>
    <w:rsid w:val="00306856"/>
    <w:rsid w:val="00306948"/>
    <w:rsid w:val="00307696"/>
    <w:rsid w:val="00310441"/>
    <w:rsid w:val="00311F61"/>
    <w:rsid w:val="00312306"/>
    <w:rsid w:val="00312AEF"/>
    <w:rsid w:val="0031485B"/>
    <w:rsid w:val="00316041"/>
    <w:rsid w:val="00316FFF"/>
    <w:rsid w:val="00317C7A"/>
    <w:rsid w:val="00322EEC"/>
    <w:rsid w:val="00323B29"/>
    <w:rsid w:val="00324380"/>
    <w:rsid w:val="00326114"/>
    <w:rsid w:val="00330407"/>
    <w:rsid w:val="00331124"/>
    <w:rsid w:val="00331703"/>
    <w:rsid w:val="003320A1"/>
    <w:rsid w:val="003334DB"/>
    <w:rsid w:val="00335592"/>
    <w:rsid w:val="003360D4"/>
    <w:rsid w:val="0034033A"/>
    <w:rsid w:val="003422EC"/>
    <w:rsid w:val="00343280"/>
    <w:rsid w:val="0034542D"/>
    <w:rsid w:val="00345A67"/>
    <w:rsid w:val="00345D91"/>
    <w:rsid w:val="00346432"/>
    <w:rsid w:val="00350051"/>
    <w:rsid w:val="00354459"/>
    <w:rsid w:val="00354877"/>
    <w:rsid w:val="00354D00"/>
    <w:rsid w:val="003559C7"/>
    <w:rsid w:val="003571FC"/>
    <w:rsid w:val="00357828"/>
    <w:rsid w:val="00360FEC"/>
    <w:rsid w:val="003629DC"/>
    <w:rsid w:val="0036361A"/>
    <w:rsid w:val="003657CE"/>
    <w:rsid w:val="00365D3B"/>
    <w:rsid w:val="00366C59"/>
    <w:rsid w:val="003704E1"/>
    <w:rsid w:val="00373F3C"/>
    <w:rsid w:val="003743CD"/>
    <w:rsid w:val="0037590F"/>
    <w:rsid w:val="00375B10"/>
    <w:rsid w:val="003761C8"/>
    <w:rsid w:val="0037671C"/>
    <w:rsid w:val="00376C9B"/>
    <w:rsid w:val="00380434"/>
    <w:rsid w:val="00380EA6"/>
    <w:rsid w:val="00381A14"/>
    <w:rsid w:val="0038436A"/>
    <w:rsid w:val="003852D0"/>
    <w:rsid w:val="003860D8"/>
    <w:rsid w:val="00386842"/>
    <w:rsid w:val="003871AF"/>
    <w:rsid w:val="0039126B"/>
    <w:rsid w:val="003947F1"/>
    <w:rsid w:val="003A29A2"/>
    <w:rsid w:val="003A4B3D"/>
    <w:rsid w:val="003A5D8E"/>
    <w:rsid w:val="003A6653"/>
    <w:rsid w:val="003A67B7"/>
    <w:rsid w:val="003A76D9"/>
    <w:rsid w:val="003B2020"/>
    <w:rsid w:val="003B2751"/>
    <w:rsid w:val="003B3BB2"/>
    <w:rsid w:val="003B4041"/>
    <w:rsid w:val="003B53FF"/>
    <w:rsid w:val="003C068A"/>
    <w:rsid w:val="003C0E24"/>
    <w:rsid w:val="003C0EC9"/>
    <w:rsid w:val="003C181D"/>
    <w:rsid w:val="003C1966"/>
    <w:rsid w:val="003C1A4F"/>
    <w:rsid w:val="003C2C48"/>
    <w:rsid w:val="003C30DA"/>
    <w:rsid w:val="003C5D91"/>
    <w:rsid w:val="003C605B"/>
    <w:rsid w:val="003C60A0"/>
    <w:rsid w:val="003C7176"/>
    <w:rsid w:val="003D3950"/>
    <w:rsid w:val="003D46DD"/>
    <w:rsid w:val="003D52AC"/>
    <w:rsid w:val="003D5520"/>
    <w:rsid w:val="003D6345"/>
    <w:rsid w:val="003D7594"/>
    <w:rsid w:val="003E10E8"/>
    <w:rsid w:val="003E2367"/>
    <w:rsid w:val="003E250E"/>
    <w:rsid w:val="003E2628"/>
    <w:rsid w:val="003E3A0A"/>
    <w:rsid w:val="003E4754"/>
    <w:rsid w:val="003E533D"/>
    <w:rsid w:val="003E66B0"/>
    <w:rsid w:val="003E6D09"/>
    <w:rsid w:val="003E7295"/>
    <w:rsid w:val="003E7DEE"/>
    <w:rsid w:val="003E7FB7"/>
    <w:rsid w:val="003F37A8"/>
    <w:rsid w:val="003F454E"/>
    <w:rsid w:val="003F5A33"/>
    <w:rsid w:val="003F63C6"/>
    <w:rsid w:val="00401982"/>
    <w:rsid w:val="00402BA2"/>
    <w:rsid w:val="00403E47"/>
    <w:rsid w:val="0040400C"/>
    <w:rsid w:val="00404D71"/>
    <w:rsid w:val="004073D0"/>
    <w:rsid w:val="00410FFD"/>
    <w:rsid w:val="00411507"/>
    <w:rsid w:val="0041257B"/>
    <w:rsid w:val="00413202"/>
    <w:rsid w:val="00414AC7"/>
    <w:rsid w:val="00415355"/>
    <w:rsid w:val="00415983"/>
    <w:rsid w:val="004169D4"/>
    <w:rsid w:val="00417EEF"/>
    <w:rsid w:val="00420454"/>
    <w:rsid w:val="00420DEE"/>
    <w:rsid w:val="004216B8"/>
    <w:rsid w:val="00421A62"/>
    <w:rsid w:val="00421A6B"/>
    <w:rsid w:val="00422E24"/>
    <w:rsid w:val="00422FB1"/>
    <w:rsid w:val="00425F02"/>
    <w:rsid w:val="00427AAC"/>
    <w:rsid w:val="00431120"/>
    <w:rsid w:val="004323A1"/>
    <w:rsid w:val="00432C42"/>
    <w:rsid w:val="00433B82"/>
    <w:rsid w:val="004353FE"/>
    <w:rsid w:val="00435C15"/>
    <w:rsid w:val="004363BE"/>
    <w:rsid w:val="004403F6"/>
    <w:rsid w:val="004426E7"/>
    <w:rsid w:val="00443EA2"/>
    <w:rsid w:val="00444226"/>
    <w:rsid w:val="00444696"/>
    <w:rsid w:val="00447049"/>
    <w:rsid w:val="004510E0"/>
    <w:rsid w:val="00452358"/>
    <w:rsid w:val="00453DED"/>
    <w:rsid w:val="004553A2"/>
    <w:rsid w:val="0045776C"/>
    <w:rsid w:val="004609E5"/>
    <w:rsid w:val="004611B2"/>
    <w:rsid w:val="004611E2"/>
    <w:rsid w:val="0046138E"/>
    <w:rsid w:val="00462A79"/>
    <w:rsid w:val="004652B4"/>
    <w:rsid w:val="00467F98"/>
    <w:rsid w:val="0047027F"/>
    <w:rsid w:val="0047077B"/>
    <w:rsid w:val="004716A0"/>
    <w:rsid w:val="00472403"/>
    <w:rsid w:val="00473D23"/>
    <w:rsid w:val="00474CFB"/>
    <w:rsid w:val="00475784"/>
    <w:rsid w:val="004758C1"/>
    <w:rsid w:val="00475AC7"/>
    <w:rsid w:val="00477FE7"/>
    <w:rsid w:val="0048075A"/>
    <w:rsid w:val="00481252"/>
    <w:rsid w:val="004817FC"/>
    <w:rsid w:val="00481DBB"/>
    <w:rsid w:val="00482067"/>
    <w:rsid w:val="004828E5"/>
    <w:rsid w:val="00482AFF"/>
    <w:rsid w:val="00485445"/>
    <w:rsid w:val="004859DE"/>
    <w:rsid w:val="00485ACC"/>
    <w:rsid w:val="00486A6B"/>
    <w:rsid w:val="00487E47"/>
    <w:rsid w:val="00491430"/>
    <w:rsid w:val="00492B24"/>
    <w:rsid w:val="004943D8"/>
    <w:rsid w:val="00496F1B"/>
    <w:rsid w:val="004974C0"/>
    <w:rsid w:val="004A01AC"/>
    <w:rsid w:val="004A0FF7"/>
    <w:rsid w:val="004A2229"/>
    <w:rsid w:val="004A2B73"/>
    <w:rsid w:val="004A3FCB"/>
    <w:rsid w:val="004A557A"/>
    <w:rsid w:val="004A606F"/>
    <w:rsid w:val="004A729A"/>
    <w:rsid w:val="004B1AA7"/>
    <w:rsid w:val="004B1BC3"/>
    <w:rsid w:val="004B2C2B"/>
    <w:rsid w:val="004B4006"/>
    <w:rsid w:val="004B4D9C"/>
    <w:rsid w:val="004B558C"/>
    <w:rsid w:val="004B5735"/>
    <w:rsid w:val="004C01FC"/>
    <w:rsid w:val="004C04E3"/>
    <w:rsid w:val="004C0A2E"/>
    <w:rsid w:val="004C207A"/>
    <w:rsid w:val="004C2714"/>
    <w:rsid w:val="004C321D"/>
    <w:rsid w:val="004C6F4C"/>
    <w:rsid w:val="004D06EB"/>
    <w:rsid w:val="004D4540"/>
    <w:rsid w:val="004D5D46"/>
    <w:rsid w:val="004E0F9A"/>
    <w:rsid w:val="004E75E4"/>
    <w:rsid w:val="004E7827"/>
    <w:rsid w:val="004F0A29"/>
    <w:rsid w:val="004F0AA2"/>
    <w:rsid w:val="004F17C0"/>
    <w:rsid w:val="004F2E26"/>
    <w:rsid w:val="004F40DE"/>
    <w:rsid w:val="004F58E6"/>
    <w:rsid w:val="004F609D"/>
    <w:rsid w:val="004F639F"/>
    <w:rsid w:val="004F7E8B"/>
    <w:rsid w:val="00500613"/>
    <w:rsid w:val="00500C8C"/>
    <w:rsid w:val="00501B18"/>
    <w:rsid w:val="00503CDF"/>
    <w:rsid w:val="005044DB"/>
    <w:rsid w:val="00504E72"/>
    <w:rsid w:val="0051085E"/>
    <w:rsid w:val="0051155C"/>
    <w:rsid w:val="00511ACC"/>
    <w:rsid w:val="00512692"/>
    <w:rsid w:val="00512C69"/>
    <w:rsid w:val="005131DF"/>
    <w:rsid w:val="00513790"/>
    <w:rsid w:val="005177A9"/>
    <w:rsid w:val="00523B1B"/>
    <w:rsid w:val="005243C8"/>
    <w:rsid w:val="005246F4"/>
    <w:rsid w:val="00524A2A"/>
    <w:rsid w:val="00524F8E"/>
    <w:rsid w:val="00525D21"/>
    <w:rsid w:val="00526753"/>
    <w:rsid w:val="005275DA"/>
    <w:rsid w:val="00527A0B"/>
    <w:rsid w:val="005301B3"/>
    <w:rsid w:val="00532325"/>
    <w:rsid w:val="005326E2"/>
    <w:rsid w:val="00534A96"/>
    <w:rsid w:val="0054533D"/>
    <w:rsid w:val="0054651D"/>
    <w:rsid w:val="00546F9D"/>
    <w:rsid w:val="00547473"/>
    <w:rsid w:val="005478F5"/>
    <w:rsid w:val="00547C64"/>
    <w:rsid w:val="00547F21"/>
    <w:rsid w:val="0055076A"/>
    <w:rsid w:val="00551551"/>
    <w:rsid w:val="00554CC9"/>
    <w:rsid w:val="00555B00"/>
    <w:rsid w:val="00561702"/>
    <w:rsid w:val="00562151"/>
    <w:rsid w:val="005665DC"/>
    <w:rsid w:val="00566CFE"/>
    <w:rsid w:val="00570715"/>
    <w:rsid w:val="005709C2"/>
    <w:rsid w:val="005724FD"/>
    <w:rsid w:val="00572F5B"/>
    <w:rsid w:val="00574EC1"/>
    <w:rsid w:val="00576879"/>
    <w:rsid w:val="005775C4"/>
    <w:rsid w:val="00582160"/>
    <w:rsid w:val="00585918"/>
    <w:rsid w:val="00586137"/>
    <w:rsid w:val="00586ED3"/>
    <w:rsid w:val="00590523"/>
    <w:rsid w:val="00591C72"/>
    <w:rsid w:val="00591E8E"/>
    <w:rsid w:val="00592E52"/>
    <w:rsid w:val="005942CB"/>
    <w:rsid w:val="00595F26"/>
    <w:rsid w:val="005961E3"/>
    <w:rsid w:val="00596D8D"/>
    <w:rsid w:val="005A0C76"/>
    <w:rsid w:val="005A179B"/>
    <w:rsid w:val="005A2CBC"/>
    <w:rsid w:val="005A3AA5"/>
    <w:rsid w:val="005A705B"/>
    <w:rsid w:val="005B1F79"/>
    <w:rsid w:val="005B1F93"/>
    <w:rsid w:val="005B29E5"/>
    <w:rsid w:val="005B3119"/>
    <w:rsid w:val="005C09C0"/>
    <w:rsid w:val="005C09F7"/>
    <w:rsid w:val="005C0A9F"/>
    <w:rsid w:val="005C1153"/>
    <w:rsid w:val="005C1550"/>
    <w:rsid w:val="005C2226"/>
    <w:rsid w:val="005D51B4"/>
    <w:rsid w:val="005D5733"/>
    <w:rsid w:val="005D6281"/>
    <w:rsid w:val="005E1E5B"/>
    <w:rsid w:val="005E2EAE"/>
    <w:rsid w:val="005E3232"/>
    <w:rsid w:val="005E61C2"/>
    <w:rsid w:val="005F1A75"/>
    <w:rsid w:val="005F1DCF"/>
    <w:rsid w:val="005F32E1"/>
    <w:rsid w:val="005F358C"/>
    <w:rsid w:val="005F363C"/>
    <w:rsid w:val="005F38EC"/>
    <w:rsid w:val="005F4B89"/>
    <w:rsid w:val="005F6296"/>
    <w:rsid w:val="005F7A56"/>
    <w:rsid w:val="005F7E00"/>
    <w:rsid w:val="00601C9F"/>
    <w:rsid w:val="006034B5"/>
    <w:rsid w:val="00603A39"/>
    <w:rsid w:val="006043B0"/>
    <w:rsid w:val="0060471D"/>
    <w:rsid w:val="00605D21"/>
    <w:rsid w:val="006103CA"/>
    <w:rsid w:val="00610C2C"/>
    <w:rsid w:val="0061103F"/>
    <w:rsid w:val="00614082"/>
    <w:rsid w:val="00621638"/>
    <w:rsid w:val="00621EF6"/>
    <w:rsid w:val="006225F3"/>
    <w:rsid w:val="00622C8C"/>
    <w:rsid w:val="0062306B"/>
    <w:rsid w:val="00624FD7"/>
    <w:rsid w:val="006255C2"/>
    <w:rsid w:val="0062600C"/>
    <w:rsid w:val="00627162"/>
    <w:rsid w:val="00630742"/>
    <w:rsid w:val="00630906"/>
    <w:rsid w:val="00630A87"/>
    <w:rsid w:val="0063286E"/>
    <w:rsid w:val="0063466E"/>
    <w:rsid w:val="00634A93"/>
    <w:rsid w:val="00636F8E"/>
    <w:rsid w:val="00637C5C"/>
    <w:rsid w:val="00637E76"/>
    <w:rsid w:val="00640230"/>
    <w:rsid w:val="0064290D"/>
    <w:rsid w:val="00642BB9"/>
    <w:rsid w:val="0064407A"/>
    <w:rsid w:val="006471DD"/>
    <w:rsid w:val="006479D2"/>
    <w:rsid w:val="00647D64"/>
    <w:rsid w:val="0065088D"/>
    <w:rsid w:val="0065093A"/>
    <w:rsid w:val="00651AF2"/>
    <w:rsid w:val="00651C98"/>
    <w:rsid w:val="00652B88"/>
    <w:rsid w:val="00653282"/>
    <w:rsid w:val="00655510"/>
    <w:rsid w:val="00656B2F"/>
    <w:rsid w:val="00656DC8"/>
    <w:rsid w:val="00656F40"/>
    <w:rsid w:val="00660612"/>
    <w:rsid w:val="006633FC"/>
    <w:rsid w:val="00663AFE"/>
    <w:rsid w:val="00664AE3"/>
    <w:rsid w:val="00665A00"/>
    <w:rsid w:val="00665CF8"/>
    <w:rsid w:val="00670611"/>
    <w:rsid w:val="00670E4B"/>
    <w:rsid w:val="006718BF"/>
    <w:rsid w:val="00673817"/>
    <w:rsid w:val="00673939"/>
    <w:rsid w:val="00675B75"/>
    <w:rsid w:val="0067607B"/>
    <w:rsid w:val="0068074A"/>
    <w:rsid w:val="00680F45"/>
    <w:rsid w:val="0068184B"/>
    <w:rsid w:val="00681B11"/>
    <w:rsid w:val="0068342B"/>
    <w:rsid w:val="00683926"/>
    <w:rsid w:val="0068407C"/>
    <w:rsid w:val="006852E2"/>
    <w:rsid w:val="00685AD6"/>
    <w:rsid w:val="00685D28"/>
    <w:rsid w:val="006866F4"/>
    <w:rsid w:val="00686D6E"/>
    <w:rsid w:val="00686DD6"/>
    <w:rsid w:val="00687830"/>
    <w:rsid w:val="00692532"/>
    <w:rsid w:val="006929A8"/>
    <w:rsid w:val="00692F74"/>
    <w:rsid w:val="006948D2"/>
    <w:rsid w:val="006967FC"/>
    <w:rsid w:val="0069680C"/>
    <w:rsid w:val="00696D73"/>
    <w:rsid w:val="00697F9C"/>
    <w:rsid w:val="00697FC2"/>
    <w:rsid w:val="006A0970"/>
    <w:rsid w:val="006A17F3"/>
    <w:rsid w:val="006A2331"/>
    <w:rsid w:val="006A3758"/>
    <w:rsid w:val="006A3F5A"/>
    <w:rsid w:val="006A5DF0"/>
    <w:rsid w:val="006A6DBF"/>
    <w:rsid w:val="006B2778"/>
    <w:rsid w:val="006B5154"/>
    <w:rsid w:val="006B6F62"/>
    <w:rsid w:val="006C18C8"/>
    <w:rsid w:val="006C2FE7"/>
    <w:rsid w:val="006C3ACD"/>
    <w:rsid w:val="006C4422"/>
    <w:rsid w:val="006C6F5C"/>
    <w:rsid w:val="006C70C9"/>
    <w:rsid w:val="006C7407"/>
    <w:rsid w:val="006D191F"/>
    <w:rsid w:val="006D34A1"/>
    <w:rsid w:val="006D3B03"/>
    <w:rsid w:val="006D3FEC"/>
    <w:rsid w:val="006D472D"/>
    <w:rsid w:val="006D6747"/>
    <w:rsid w:val="006D78B4"/>
    <w:rsid w:val="006D7934"/>
    <w:rsid w:val="006E08DC"/>
    <w:rsid w:val="006E0991"/>
    <w:rsid w:val="006E2814"/>
    <w:rsid w:val="006E2C10"/>
    <w:rsid w:val="006E5D5F"/>
    <w:rsid w:val="006E6841"/>
    <w:rsid w:val="006E6F08"/>
    <w:rsid w:val="006F0DD1"/>
    <w:rsid w:val="006F0E16"/>
    <w:rsid w:val="006F1575"/>
    <w:rsid w:val="006F3E44"/>
    <w:rsid w:val="006F4327"/>
    <w:rsid w:val="006F5AE5"/>
    <w:rsid w:val="006F6D49"/>
    <w:rsid w:val="006F79C5"/>
    <w:rsid w:val="00700065"/>
    <w:rsid w:val="00700531"/>
    <w:rsid w:val="0070053C"/>
    <w:rsid w:val="00700DAF"/>
    <w:rsid w:val="00700F88"/>
    <w:rsid w:val="007015F4"/>
    <w:rsid w:val="00704ACF"/>
    <w:rsid w:val="007068B0"/>
    <w:rsid w:val="00706C31"/>
    <w:rsid w:val="007100BD"/>
    <w:rsid w:val="007118BB"/>
    <w:rsid w:val="00713044"/>
    <w:rsid w:val="00713FFF"/>
    <w:rsid w:val="0071462A"/>
    <w:rsid w:val="007161E0"/>
    <w:rsid w:val="007173C3"/>
    <w:rsid w:val="00717960"/>
    <w:rsid w:val="0072183D"/>
    <w:rsid w:val="007226F7"/>
    <w:rsid w:val="00722890"/>
    <w:rsid w:val="00723CB0"/>
    <w:rsid w:val="00724D78"/>
    <w:rsid w:val="00725217"/>
    <w:rsid w:val="00727367"/>
    <w:rsid w:val="00730D45"/>
    <w:rsid w:val="00731C99"/>
    <w:rsid w:val="00731CAE"/>
    <w:rsid w:val="0073586E"/>
    <w:rsid w:val="00735F59"/>
    <w:rsid w:val="0073733E"/>
    <w:rsid w:val="007378FC"/>
    <w:rsid w:val="00742259"/>
    <w:rsid w:val="00743868"/>
    <w:rsid w:val="00744764"/>
    <w:rsid w:val="0074476C"/>
    <w:rsid w:val="00744A92"/>
    <w:rsid w:val="0074506B"/>
    <w:rsid w:val="007454F3"/>
    <w:rsid w:val="0074597C"/>
    <w:rsid w:val="00745B88"/>
    <w:rsid w:val="007465EA"/>
    <w:rsid w:val="0074709F"/>
    <w:rsid w:val="00747590"/>
    <w:rsid w:val="00747E0C"/>
    <w:rsid w:val="00750DBB"/>
    <w:rsid w:val="007518FF"/>
    <w:rsid w:val="00754446"/>
    <w:rsid w:val="00755FCF"/>
    <w:rsid w:val="0075681E"/>
    <w:rsid w:val="007575D7"/>
    <w:rsid w:val="007627BC"/>
    <w:rsid w:val="00763801"/>
    <w:rsid w:val="007641AA"/>
    <w:rsid w:val="00765B8C"/>
    <w:rsid w:val="00767431"/>
    <w:rsid w:val="00771514"/>
    <w:rsid w:val="0077180A"/>
    <w:rsid w:val="00772AA6"/>
    <w:rsid w:val="0077446D"/>
    <w:rsid w:val="00774FED"/>
    <w:rsid w:val="0077522A"/>
    <w:rsid w:val="007754C6"/>
    <w:rsid w:val="00775C1B"/>
    <w:rsid w:val="00776941"/>
    <w:rsid w:val="00777E4D"/>
    <w:rsid w:val="00782D59"/>
    <w:rsid w:val="00784C72"/>
    <w:rsid w:val="00784D61"/>
    <w:rsid w:val="00784F94"/>
    <w:rsid w:val="007861BC"/>
    <w:rsid w:val="0078649A"/>
    <w:rsid w:val="00786C35"/>
    <w:rsid w:val="0078707F"/>
    <w:rsid w:val="007876E5"/>
    <w:rsid w:val="00791ABF"/>
    <w:rsid w:val="007948CF"/>
    <w:rsid w:val="00794DD6"/>
    <w:rsid w:val="00795996"/>
    <w:rsid w:val="00795BD7"/>
    <w:rsid w:val="00795DB0"/>
    <w:rsid w:val="007975AE"/>
    <w:rsid w:val="007975B0"/>
    <w:rsid w:val="00797A43"/>
    <w:rsid w:val="007A27C2"/>
    <w:rsid w:val="007A354F"/>
    <w:rsid w:val="007A5046"/>
    <w:rsid w:val="007A74D1"/>
    <w:rsid w:val="007A74D3"/>
    <w:rsid w:val="007B057A"/>
    <w:rsid w:val="007B2EE3"/>
    <w:rsid w:val="007B3D88"/>
    <w:rsid w:val="007B51BD"/>
    <w:rsid w:val="007B5711"/>
    <w:rsid w:val="007B606E"/>
    <w:rsid w:val="007B6348"/>
    <w:rsid w:val="007B7DC8"/>
    <w:rsid w:val="007C080D"/>
    <w:rsid w:val="007C2C00"/>
    <w:rsid w:val="007C53BC"/>
    <w:rsid w:val="007C5B85"/>
    <w:rsid w:val="007C7153"/>
    <w:rsid w:val="007D19F7"/>
    <w:rsid w:val="007D23B4"/>
    <w:rsid w:val="007D3079"/>
    <w:rsid w:val="007D37A2"/>
    <w:rsid w:val="007D3B44"/>
    <w:rsid w:val="007D4AE0"/>
    <w:rsid w:val="007D667C"/>
    <w:rsid w:val="007D6A64"/>
    <w:rsid w:val="007E1E42"/>
    <w:rsid w:val="007E3055"/>
    <w:rsid w:val="007E6FF4"/>
    <w:rsid w:val="007F0415"/>
    <w:rsid w:val="007F205A"/>
    <w:rsid w:val="007F3DE8"/>
    <w:rsid w:val="007F5405"/>
    <w:rsid w:val="00801617"/>
    <w:rsid w:val="00801996"/>
    <w:rsid w:val="0080229E"/>
    <w:rsid w:val="00802333"/>
    <w:rsid w:val="0080253F"/>
    <w:rsid w:val="00802590"/>
    <w:rsid w:val="008029EB"/>
    <w:rsid w:val="00802E13"/>
    <w:rsid w:val="008045F7"/>
    <w:rsid w:val="0080636E"/>
    <w:rsid w:val="00806DB8"/>
    <w:rsid w:val="00807125"/>
    <w:rsid w:val="00810174"/>
    <w:rsid w:val="008108DF"/>
    <w:rsid w:val="0081097F"/>
    <w:rsid w:val="00811559"/>
    <w:rsid w:val="00812ED9"/>
    <w:rsid w:val="00814CF7"/>
    <w:rsid w:val="00815B47"/>
    <w:rsid w:val="00817F5D"/>
    <w:rsid w:val="008207BF"/>
    <w:rsid w:val="008209FD"/>
    <w:rsid w:val="008219CB"/>
    <w:rsid w:val="00822908"/>
    <w:rsid w:val="00822BC9"/>
    <w:rsid w:val="00822FD5"/>
    <w:rsid w:val="008238D3"/>
    <w:rsid w:val="00825CF5"/>
    <w:rsid w:val="00827570"/>
    <w:rsid w:val="0083068C"/>
    <w:rsid w:val="0083127E"/>
    <w:rsid w:val="00832B5F"/>
    <w:rsid w:val="00834E8C"/>
    <w:rsid w:val="00835523"/>
    <w:rsid w:val="008374E3"/>
    <w:rsid w:val="00837CF5"/>
    <w:rsid w:val="0084083D"/>
    <w:rsid w:val="00842A7E"/>
    <w:rsid w:val="0084432E"/>
    <w:rsid w:val="008443FB"/>
    <w:rsid w:val="00844A5B"/>
    <w:rsid w:val="00844B65"/>
    <w:rsid w:val="00844F8A"/>
    <w:rsid w:val="0084709C"/>
    <w:rsid w:val="00847CA7"/>
    <w:rsid w:val="00850F13"/>
    <w:rsid w:val="00851458"/>
    <w:rsid w:val="0085363D"/>
    <w:rsid w:val="008550F5"/>
    <w:rsid w:val="00855378"/>
    <w:rsid w:val="00861D5C"/>
    <w:rsid w:val="00863123"/>
    <w:rsid w:val="008635D5"/>
    <w:rsid w:val="00864AB3"/>
    <w:rsid w:val="008653CA"/>
    <w:rsid w:val="008677D9"/>
    <w:rsid w:val="00867F41"/>
    <w:rsid w:val="00870849"/>
    <w:rsid w:val="00872F79"/>
    <w:rsid w:val="00873C96"/>
    <w:rsid w:val="00873D74"/>
    <w:rsid w:val="0088027B"/>
    <w:rsid w:val="00881075"/>
    <w:rsid w:val="00881420"/>
    <w:rsid w:val="00881A11"/>
    <w:rsid w:val="00883112"/>
    <w:rsid w:val="00883836"/>
    <w:rsid w:val="0088469F"/>
    <w:rsid w:val="00884FBC"/>
    <w:rsid w:val="00885BBF"/>
    <w:rsid w:val="00886728"/>
    <w:rsid w:val="0088797A"/>
    <w:rsid w:val="008916A3"/>
    <w:rsid w:val="00891983"/>
    <w:rsid w:val="00895206"/>
    <w:rsid w:val="008A045E"/>
    <w:rsid w:val="008A0802"/>
    <w:rsid w:val="008A0835"/>
    <w:rsid w:val="008A1842"/>
    <w:rsid w:val="008A26C6"/>
    <w:rsid w:val="008A40FF"/>
    <w:rsid w:val="008A4576"/>
    <w:rsid w:val="008A4F94"/>
    <w:rsid w:val="008A6861"/>
    <w:rsid w:val="008B1197"/>
    <w:rsid w:val="008B177E"/>
    <w:rsid w:val="008B21B3"/>
    <w:rsid w:val="008B3CFD"/>
    <w:rsid w:val="008B3FB1"/>
    <w:rsid w:val="008B43A6"/>
    <w:rsid w:val="008B44D8"/>
    <w:rsid w:val="008B56E9"/>
    <w:rsid w:val="008B7171"/>
    <w:rsid w:val="008C18E0"/>
    <w:rsid w:val="008C653D"/>
    <w:rsid w:val="008C655B"/>
    <w:rsid w:val="008C6BF5"/>
    <w:rsid w:val="008C6F2E"/>
    <w:rsid w:val="008C74A5"/>
    <w:rsid w:val="008C779B"/>
    <w:rsid w:val="008D08B0"/>
    <w:rsid w:val="008D3DF5"/>
    <w:rsid w:val="008D51E1"/>
    <w:rsid w:val="008D57C6"/>
    <w:rsid w:val="008D75C9"/>
    <w:rsid w:val="008D784E"/>
    <w:rsid w:val="008D7F1B"/>
    <w:rsid w:val="008E0C28"/>
    <w:rsid w:val="008E3131"/>
    <w:rsid w:val="008E3A82"/>
    <w:rsid w:val="008E4286"/>
    <w:rsid w:val="008E4348"/>
    <w:rsid w:val="008E60F5"/>
    <w:rsid w:val="008E722F"/>
    <w:rsid w:val="008F021B"/>
    <w:rsid w:val="008F06D1"/>
    <w:rsid w:val="008F0C84"/>
    <w:rsid w:val="008F1820"/>
    <w:rsid w:val="008F2D7F"/>
    <w:rsid w:val="008F2F88"/>
    <w:rsid w:val="008F4175"/>
    <w:rsid w:val="008F6165"/>
    <w:rsid w:val="009015C4"/>
    <w:rsid w:val="009053D2"/>
    <w:rsid w:val="00906B6D"/>
    <w:rsid w:val="00906F27"/>
    <w:rsid w:val="00910F2C"/>
    <w:rsid w:val="00911B29"/>
    <w:rsid w:val="00913761"/>
    <w:rsid w:val="009137B5"/>
    <w:rsid w:val="009141A1"/>
    <w:rsid w:val="00914809"/>
    <w:rsid w:val="00915978"/>
    <w:rsid w:val="00921347"/>
    <w:rsid w:val="0092154F"/>
    <w:rsid w:val="009218A6"/>
    <w:rsid w:val="0092252F"/>
    <w:rsid w:val="00922F5F"/>
    <w:rsid w:val="00925352"/>
    <w:rsid w:val="00926757"/>
    <w:rsid w:val="00927D73"/>
    <w:rsid w:val="009302E3"/>
    <w:rsid w:val="009334E9"/>
    <w:rsid w:val="009402F9"/>
    <w:rsid w:val="00943EAC"/>
    <w:rsid w:val="0094578A"/>
    <w:rsid w:val="00946E3B"/>
    <w:rsid w:val="00950487"/>
    <w:rsid w:val="0095068A"/>
    <w:rsid w:val="00951770"/>
    <w:rsid w:val="00951B6E"/>
    <w:rsid w:val="009546F8"/>
    <w:rsid w:val="00955083"/>
    <w:rsid w:val="00955BC0"/>
    <w:rsid w:val="00955DF6"/>
    <w:rsid w:val="00960E05"/>
    <w:rsid w:val="00961404"/>
    <w:rsid w:val="00961C5B"/>
    <w:rsid w:val="0096380B"/>
    <w:rsid w:val="0096479D"/>
    <w:rsid w:val="009663A7"/>
    <w:rsid w:val="00970896"/>
    <w:rsid w:val="00971D1C"/>
    <w:rsid w:val="0097411E"/>
    <w:rsid w:val="00974F35"/>
    <w:rsid w:val="009762C3"/>
    <w:rsid w:val="009770AE"/>
    <w:rsid w:val="00977EFC"/>
    <w:rsid w:val="00980ACE"/>
    <w:rsid w:val="0098235D"/>
    <w:rsid w:val="009823A9"/>
    <w:rsid w:val="00982E67"/>
    <w:rsid w:val="00984237"/>
    <w:rsid w:val="009852ED"/>
    <w:rsid w:val="0098546D"/>
    <w:rsid w:val="0098723B"/>
    <w:rsid w:val="00990F22"/>
    <w:rsid w:val="00992A68"/>
    <w:rsid w:val="009935B1"/>
    <w:rsid w:val="00994A98"/>
    <w:rsid w:val="00994B0C"/>
    <w:rsid w:val="00996075"/>
    <w:rsid w:val="00996A49"/>
    <w:rsid w:val="009A017D"/>
    <w:rsid w:val="009A178E"/>
    <w:rsid w:val="009A1BE0"/>
    <w:rsid w:val="009A1D68"/>
    <w:rsid w:val="009A1FE4"/>
    <w:rsid w:val="009A265B"/>
    <w:rsid w:val="009A2AB1"/>
    <w:rsid w:val="009A33F8"/>
    <w:rsid w:val="009A5BB8"/>
    <w:rsid w:val="009A6486"/>
    <w:rsid w:val="009A6F7E"/>
    <w:rsid w:val="009B133C"/>
    <w:rsid w:val="009B2544"/>
    <w:rsid w:val="009B2784"/>
    <w:rsid w:val="009B3271"/>
    <w:rsid w:val="009B3DC2"/>
    <w:rsid w:val="009B524D"/>
    <w:rsid w:val="009B718E"/>
    <w:rsid w:val="009B7367"/>
    <w:rsid w:val="009B78D9"/>
    <w:rsid w:val="009C2359"/>
    <w:rsid w:val="009C374D"/>
    <w:rsid w:val="009C4B48"/>
    <w:rsid w:val="009C687F"/>
    <w:rsid w:val="009C75BA"/>
    <w:rsid w:val="009C797E"/>
    <w:rsid w:val="009C7C6B"/>
    <w:rsid w:val="009D087F"/>
    <w:rsid w:val="009D0E87"/>
    <w:rsid w:val="009D12DC"/>
    <w:rsid w:val="009D3F1A"/>
    <w:rsid w:val="009D4D15"/>
    <w:rsid w:val="009D51C3"/>
    <w:rsid w:val="009D52EE"/>
    <w:rsid w:val="009D53E1"/>
    <w:rsid w:val="009D5411"/>
    <w:rsid w:val="009D7078"/>
    <w:rsid w:val="009E03EB"/>
    <w:rsid w:val="009E103D"/>
    <w:rsid w:val="009E14E5"/>
    <w:rsid w:val="009E15B1"/>
    <w:rsid w:val="009E174F"/>
    <w:rsid w:val="009E1A8B"/>
    <w:rsid w:val="009E22F5"/>
    <w:rsid w:val="009E2D95"/>
    <w:rsid w:val="009E2DF7"/>
    <w:rsid w:val="009E4339"/>
    <w:rsid w:val="009E4BE0"/>
    <w:rsid w:val="009E566B"/>
    <w:rsid w:val="009E6420"/>
    <w:rsid w:val="009E7794"/>
    <w:rsid w:val="009F0C1F"/>
    <w:rsid w:val="009F0F5F"/>
    <w:rsid w:val="009F1143"/>
    <w:rsid w:val="009F1ABC"/>
    <w:rsid w:val="009F42F6"/>
    <w:rsid w:val="00A00EF4"/>
    <w:rsid w:val="00A012DC"/>
    <w:rsid w:val="00A02B54"/>
    <w:rsid w:val="00A02EAA"/>
    <w:rsid w:val="00A0572C"/>
    <w:rsid w:val="00A05B05"/>
    <w:rsid w:val="00A060B8"/>
    <w:rsid w:val="00A077BE"/>
    <w:rsid w:val="00A10B8B"/>
    <w:rsid w:val="00A11171"/>
    <w:rsid w:val="00A14BD5"/>
    <w:rsid w:val="00A1713E"/>
    <w:rsid w:val="00A17288"/>
    <w:rsid w:val="00A20AA3"/>
    <w:rsid w:val="00A210C7"/>
    <w:rsid w:val="00A22BDF"/>
    <w:rsid w:val="00A236AB"/>
    <w:rsid w:val="00A24862"/>
    <w:rsid w:val="00A25957"/>
    <w:rsid w:val="00A25E2B"/>
    <w:rsid w:val="00A2715E"/>
    <w:rsid w:val="00A30073"/>
    <w:rsid w:val="00A30E6E"/>
    <w:rsid w:val="00A33014"/>
    <w:rsid w:val="00A331BD"/>
    <w:rsid w:val="00A34819"/>
    <w:rsid w:val="00A34F8A"/>
    <w:rsid w:val="00A36024"/>
    <w:rsid w:val="00A36975"/>
    <w:rsid w:val="00A36E65"/>
    <w:rsid w:val="00A371B5"/>
    <w:rsid w:val="00A40706"/>
    <w:rsid w:val="00A4114B"/>
    <w:rsid w:val="00A41AB2"/>
    <w:rsid w:val="00A421F3"/>
    <w:rsid w:val="00A4306E"/>
    <w:rsid w:val="00A43109"/>
    <w:rsid w:val="00A431FE"/>
    <w:rsid w:val="00A43AB2"/>
    <w:rsid w:val="00A44303"/>
    <w:rsid w:val="00A47BE2"/>
    <w:rsid w:val="00A5237F"/>
    <w:rsid w:val="00A53093"/>
    <w:rsid w:val="00A53B5A"/>
    <w:rsid w:val="00A542E2"/>
    <w:rsid w:val="00A55052"/>
    <w:rsid w:val="00A5551D"/>
    <w:rsid w:val="00A618F4"/>
    <w:rsid w:val="00A62DE0"/>
    <w:rsid w:val="00A6328D"/>
    <w:rsid w:val="00A70A8F"/>
    <w:rsid w:val="00A7199F"/>
    <w:rsid w:val="00A72842"/>
    <w:rsid w:val="00A73487"/>
    <w:rsid w:val="00A73C79"/>
    <w:rsid w:val="00A762E4"/>
    <w:rsid w:val="00A821A5"/>
    <w:rsid w:val="00A84941"/>
    <w:rsid w:val="00A84AA4"/>
    <w:rsid w:val="00A85BB1"/>
    <w:rsid w:val="00A85E68"/>
    <w:rsid w:val="00A8631F"/>
    <w:rsid w:val="00A8719B"/>
    <w:rsid w:val="00A90B33"/>
    <w:rsid w:val="00A97344"/>
    <w:rsid w:val="00A97643"/>
    <w:rsid w:val="00A978C6"/>
    <w:rsid w:val="00A97B6E"/>
    <w:rsid w:val="00AA1406"/>
    <w:rsid w:val="00AA1779"/>
    <w:rsid w:val="00AA231D"/>
    <w:rsid w:val="00AA2617"/>
    <w:rsid w:val="00AA30BC"/>
    <w:rsid w:val="00AA4753"/>
    <w:rsid w:val="00AA5D44"/>
    <w:rsid w:val="00AB19AC"/>
    <w:rsid w:val="00AB43E9"/>
    <w:rsid w:val="00AB6B47"/>
    <w:rsid w:val="00AB758C"/>
    <w:rsid w:val="00AC1017"/>
    <w:rsid w:val="00AC1CC9"/>
    <w:rsid w:val="00AC2950"/>
    <w:rsid w:val="00AC35A2"/>
    <w:rsid w:val="00AC3AB8"/>
    <w:rsid w:val="00AC6665"/>
    <w:rsid w:val="00AC69C9"/>
    <w:rsid w:val="00AC6BEB"/>
    <w:rsid w:val="00AC79D4"/>
    <w:rsid w:val="00AD0958"/>
    <w:rsid w:val="00AD09D3"/>
    <w:rsid w:val="00AD29C3"/>
    <w:rsid w:val="00AD2C08"/>
    <w:rsid w:val="00AD39C6"/>
    <w:rsid w:val="00AD44EA"/>
    <w:rsid w:val="00AD55E9"/>
    <w:rsid w:val="00AD5810"/>
    <w:rsid w:val="00AE122D"/>
    <w:rsid w:val="00AE2D3C"/>
    <w:rsid w:val="00AE2DDE"/>
    <w:rsid w:val="00AE2F4F"/>
    <w:rsid w:val="00AE43D8"/>
    <w:rsid w:val="00AE4A59"/>
    <w:rsid w:val="00AE4E30"/>
    <w:rsid w:val="00AE6471"/>
    <w:rsid w:val="00AF02C6"/>
    <w:rsid w:val="00AF4D20"/>
    <w:rsid w:val="00AF504D"/>
    <w:rsid w:val="00AF5244"/>
    <w:rsid w:val="00AF57E9"/>
    <w:rsid w:val="00AF5F6D"/>
    <w:rsid w:val="00B012B7"/>
    <w:rsid w:val="00B0148F"/>
    <w:rsid w:val="00B02E22"/>
    <w:rsid w:val="00B03522"/>
    <w:rsid w:val="00B03EFE"/>
    <w:rsid w:val="00B055A0"/>
    <w:rsid w:val="00B056ED"/>
    <w:rsid w:val="00B06231"/>
    <w:rsid w:val="00B063C1"/>
    <w:rsid w:val="00B101E1"/>
    <w:rsid w:val="00B10955"/>
    <w:rsid w:val="00B14C4F"/>
    <w:rsid w:val="00B15CF2"/>
    <w:rsid w:val="00B17304"/>
    <w:rsid w:val="00B176DE"/>
    <w:rsid w:val="00B17F24"/>
    <w:rsid w:val="00B223D0"/>
    <w:rsid w:val="00B23879"/>
    <w:rsid w:val="00B23A9B"/>
    <w:rsid w:val="00B23E4E"/>
    <w:rsid w:val="00B245AB"/>
    <w:rsid w:val="00B325AC"/>
    <w:rsid w:val="00B331A4"/>
    <w:rsid w:val="00B3345F"/>
    <w:rsid w:val="00B35784"/>
    <w:rsid w:val="00B36A5A"/>
    <w:rsid w:val="00B371AF"/>
    <w:rsid w:val="00B37C11"/>
    <w:rsid w:val="00B37C24"/>
    <w:rsid w:val="00B435C0"/>
    <w:rsid w:val="00B4424C"/>
    <w:rsid w:val="00B5011E"/>
    <w:rsid w:val="00B52634"/>
    <w:rsid w:val="00B52780"/>
    <w:rsid w:val="00B534D5"/>
    <w:rsid w:val="00B553B9"/>
    <w:rsid w:val="00B56DA3"/>
    <w:rsid w:val="00B610B4"/>
    <w:rsid w:val="00B623F8"/>
    <w:rsid w:val="00B63892"/>
    <w:rsid w:val="00B63A60"/>
    <w:rsid w:val="00B6426D"/>
    <w:rsid w:val="00B67ED6"/>
    <w:rsid w:val="00B70969"/>
    <w:rsid w:val="00B70FD2"/>
    <w:rsid w:val="00B72A37"/>
    <w:rsid w:val="00B734B8"/>
    <w:rsid w:val="00B737A6"/>
    <w:rsid w:val="00B7385D"/>
    <w:rsid w:val="00B73E35"/>
    <w:rsid w:val="00B74EE8"/>
    <w:rsid w:val="00B75EA3"/>
    <w:rsid w:val="00B76C79"/>
    <w:rsid w:val="00B7767F"/>
    <w:rsid w:val="00B80292"/>
    <w:rsid w:val="00B802D5"/>
    <w:rsid w:val="00B80F4C"/>
    <w:rsid w:val="00B8195C"/>
    <w:rsid w:val="00B81E6B"/>
    <w:rsid w:val="00B82E37"/>
    <w:rsid w:val="00B84648"/>
    <w:rsid w:val="00B84A29"/>
    <w:rsid w:val="00B84CF8"/>
    <w:rsid w:val="00B853FB"/>
    <w:rsid w:val="00B8605D"/>
    <w:rsid w:val="00B86A68"/>
    <w:rsid w:val="00B86BE5"/>
    <w:rsid w:val="00B87A2E"/>
    <w:rsid w:val="00B87AE2"/>
    <w:rsid w:val="00B9037B"/>
    <w:rsid w:val="00B90E87"/>
    <w:rsid w:val="00B9200E"/>
    <w:rsid w:val="00B920F0"/>
    <w:rsid w:val="00B92610"/>
    <w:rsid w:val="00B96D23"/>
    <w:rsid w:val="00B96E83"/>
    <w:rsid w:val="00B97AC9"/>
    <w:rsid w:val="00BA0910"/>
    <w:rsid w:val="00BA2993"/>
    <w:rsid w:val="00BA3593"/>
    <w:rsid w:val="00BA3C2F"/>
    <w:rsid w:val="00BA3F9A"/>
    <w:rsid w:val="00BA5CAB"/>
    <w:rsid w:val="00BA5DF6"/>
    <w:rsid w:val="00BB2990"/>
    <w:rsid w:val="00BB4753"/>
    <w:rsid w:val="00BB480F"/>
    <w:rsid w:val="00BB566D"/>
    <w:rsid w:val="00BB5B1E"/>
    <w:rsid w:val="00BB5C9D"/>
    <w:rsid w:val="00BC06AF"/>
    <w:rsid w:val="00BC0C05"/>
    <w:rsid w:val="00BC20B2"/>
    <w:rsid w:val="00BC23F9"/>
    <w:rsid w:val="00BC295F"/>
    <w:rsid w:val="00BC2F6E"/>
    <w:rsid w:val="00BC3A7F"/>
    <w:rsid w:val="00BC5E1C"/>
    <w:rsid w:val="00BC6B1A"/>
    <w:rsid w:val="00BC7D3D"/>
    <w:rsid w:val="00BD083B"/>
    <w:rsid w:val="00BD2532"/>
    <w:rsid w:val="00BD258C"/>
    <w:rsid w:val="00BD2D93"/>
    <w:rsid w:val="00BD3A7C"/>
    <w:rsid w:val="00BD3E17"/>
    <w:rsid w:val="00BD605B"/>
    <w:rsid w:val="00BD6DFF"/>
    <w:rsid w:val="00BE2042"/>
    <w:rsid w:val="00BE20B7"/>
    <w:rsid w:val="00BE21BC"/>
    <w:rsid w:val="00BE3FC3"/>
    <w:rsid w:val="00BE5052"/>
    <w:rsid w:val="00BF4443"/>
    <w:rsid w:val="00BF6817"/>
    <w:rsid w:val="00BF743A"/>
    <w:rsid w:val="00C03348"/>
    <w:rsid w:val="00C043D9"/>
    <w:rsid w:val="00C04680"/>
    <w:rsid w:val="00C04839"/>
    <w:rsid w:val="00C06BC3"/>
    <w:rsid w:val="00C06C04"/>
    <w:rsid w:val="00C10177"/>
    <w:rsid w:val="00C11587"/>
    <w:rsid w:val="00C14294"/>
    <w:rsid w:val="00C2157C"/>
    <w:rsid w:val="00C23DAE"/>
    <w:rsid w:val="00C24665"/>
    <w:rsid w:val="00C24707"/>
    <w:rsid w:val="00C25194"/>
    <w:rsid w:val="00C26C7A"/>
    <w:rsid w:val="00C30077"/>
    <w:rsid w:val="00C32866"/>
    <w:rsid w:val="00C33769"/>
    <w:rsid w:val="00C33E03"/>
    <w:rsid w:val="00C34855"/>
    <w:rsid w:val="00C37CF3"/>
    <w:rsid w:val="00C40E80"/>
    <w:rsid w:val="00C41895"/>
    <w:rsid w:val="00C4628C"/>
    <w:rsid w:val="00C477D4"/>
    <w:rsid w:val="00C47C41"/>
    <w:rsid w:val="00C506E1"/>
    <w:rsid w:val="00C52969"/>
    <w:rsid w:val="00C53613"/>
    <w:rsid w:val="00C537B6"/>
    <w:rsid w:val="00C5383E"/>
    <w:rsid w:val="00C55241"/>
    <w:rsid w:val="00C5631E"/>
    <w:rsid w:val="00C575B8"/>
    <w:rsid w:val="00C60751"/>
    <w:rsid w:val="00C612C2"/>
    <w:rsid w:val="00C63932"/>
    <w:rsid w:val="00C648ED"/>
    <w:rsid w:val="00C64E8E"/>
    <w:rsid w:val="00C657DE"/>
    <w:rsid w:val="00C65DAC"/>
    <w:rsid w:val="00C70810"/>
    <w:rsid w:val="00C70DAF"/>
    <w:rsid w:val="00C70E82"/>
    <w:rsid w:val="00C71066"/>
    <w:rsid w:val="00C72532"/>
    <w:rsid w:val="00C73890"/>
    <w:rsid w:val="00C758C0"/>
    <w:rsid w:val="00C76070"/>
    <w:rsid w:val="00C76DA2"/>
    <w:rsid w:val="00C775E0"/>
    <w:rsid w:val="00C83A0A"/>
    <w:rsid w:val="00C850A3"/>
    <w:rsid w:val="00C85902"/>
    <w:rsid w:val="00C85C96"/>
    <w:rsid w:val="00C86718"/>
    <w:rsid w:val="00C873FA"/>
    <w:rsid w:val="00C87871"/>
    <w:rsid w:val="00C921A6"/>
    <w:rsid w:val="00C92CA1"/>
    <w:rsid w:val="00C93AFD"/>
    <w:rsid w:val="00C94DFC"/>
    <w:rsid w:val="00C95939"/>
    <w:rsid w:val="00C97C2D"/>
    <w:rsid w:val="00C97EC3"/>
    <w:rsid w:val="00CA1817"/>
    <w:rsid w:val="00CA3CB4"/>
    <w:rsid w:val="00CA3D28"/>
    <w:rsid w:val="00CA44EC"/>
    <w:rsid w:val="00CA4736"/>
    <w:rsid w:val="00CA4A93"/>
    <w:rsid w:val="00CA4E63"/>
    <w:rsid w:val="00CA5A41"/>
    <w:rsid w:val="00CA6DDB"/>
    <w:rsid w:val="00CA76AA"/>
    <w:rsid w:val="00CB2280"/>
    <w:rsid w:val="00CB290A"/>
    <w:rsid w:val="00CB46BD"/>
    <w:rsid w:val="00CB5554"/>
    <w:rsid w:val="00CB631F"/>
    <w:rsid w:val="00CB6EF4"/>
    <w:rsid w:val="00CB76E8"/>
    <w:rsid w:val="00CB7E65"/>
    <w:rsid w:val="00CC1F50"/>
    <w:rsid w:val="00CC20C2"/>
    <w:rsid w:val="00CC24BA"/>
    <w:rsid w:val="00CC2BEB"/>
    <w:rsid w:val="00CC3BD9"/>
    <w:rsid w:val="00CC7D24"/>
    <w:rsid w:val="00CD0A19"/>
    <w:rsid w:val="00CD1EF9"/>
    <w:rsid w:val="00CD2BD6"/>
    <w:rsid w:val="00CD4D6C"/>
    <w:rsid w:val="00CD5AE0"/>
    <w:rsid w:val="00CD6CE8"/>
    <w:rsid w:val="00CD6F69"/>
    <w:rsid w:val="00CD718F"/>
    <w:rsid w:val="00CD7AF4"/>
    <w:rsid w:val="00CD7D40"/>
    <w:rsid w:val="00CE033F"/>
    <w:rsid w:val="00CE1D62"/>
    <w:rsid w:val="00CE2297"/>
    <w:rsid w:val="00CE3441"/>
    <w:rsid w:val="00CE3949"/>
    <w:rsid w:val="00CE5505"/>
    <w:rsid w:val="00CE59CD"/>
    <w:rsid w:val="00CE6200"/>
    <w:rsid w:val="00CE6E5B"/>
    <w:rsid w:val="00CE7E8B"/>
    <w:rsid w:val="00CF082C"/>
    <w:rsid w:val="00CF47AB"/>
    <w:rsid w:val="00CF522C"/>
    <w:rsid w:val="00CF53DC"/>
    <w:rsid w:val="00CF6712"/>
    <w:rsid w:val="00CF7CAB"/>
    <w:rsid w:val="00D00944"/>
    <w:rsid w:val="00D0364C"/>
    <w:rsid w:val="00D05330"/>
    <w:rsid w:val="00D061D9"/>
    <w:rsid w:val="00D11112"/>
    <w:rsid w:val="00D13A81"/>
    <w:rsid w:val="00D14FB0"/>
    <w:rsid w:val="00D16473"/>
    <w:rsid w:val="00D170EA"/>
    <w:rsid w:val="00D1737E"/>
    <w:rsid w:val="00D179DA"/>
    <w:rsid w:val="00D17C60"/>
    <w:rsid w:val="00D17D9F"/>
    <w:rsid w:val="00D20437"/>
    <w:rsid w:val="00D21C2D"/>
    <w:rsid w:val="00D21D63"/>
    <w:rsid w:val="00D22E25"/>
    <w:rsid w:val="00D23C35"/>
    <w:rsid w:val="00D251C3"/>
    <w:rsid w:val="00D2618F"/>
    <w:rsid w:val="00D26694"/>
    <w:rsid w:val="00D30569"/>
    <w:rsid w:val="00D307DC"/>
    <w:rsid w:val="00D311B2"/>
    <w:rsid w:val="00D31837"/>
    <w:rsid w:val="00D31D1B"/>
    <w:rsid w:val="00D31DD8"/>
    <w:rsid w:val="00D324B0"/>
    <w:rsid w:val="00D33346"/>
    <w:rsid w:val="00D3367E"/>
    <w:rsid w:val="00D336D1"/>
    <w:rsid w:val="00D41A43"/>
    <w:rsid w:val="00D420CA"/>
    <w:rsid w:val="00D4342C"/>
    <w:rsid w:val="00D4431D"/>
    <w:rsid w:val="00D44CF4"/>
    <w:rsid w:val="00D46615"/>
    <w:rsid w:val="00D47D24"/>
    <w:rsid w:val="00D52495"/>
    <w:rsid w:val="00D566D7"/>
    <w:rsid w:val="00D56905"/>
    <w:rsid w:val="00D569C1"/>
    <w:rsid w:val="00D57556"/>
    <w:rsid w:val="00D604D9"/>
    <w:rsid w:val="00D60C99"/>
    <w:rsid w:val="00D60EBD"/>
    <w:rsid w:val="00D63DD0"/>
    <w:rsid w:val="00D64C99"/>
    <w:rsid w:val="00D65E8F"/>
    <w:rsid w:val="00D67738"/>
    <w:rsid w:val="00D72725"/>
    <w:rsid w:val="00D72832"/>
    <w:rsid w:val="00D744B4"/>
    <w:rsid w:val="00D746F0"/>
    <w:rsid w:val="00D75985"/>
    <w:rsid w:val="00D767A6"/>
    <w:rsid w:val="00D76DBD"/>
    <w:rsid w:val="00D77FE6"/>
    <w:rsid w:val="00D803AC"/>
    <w:rsid w:val="00D805A6"/>
    <w:rsid w:val="00D805F8"/>
    <w:rsid w:val="00D81BFF"/>
    <w:rsid w:val="00D8349C"/>
    <w:rsid w:val="00D837ED"/>
    <w:rsid w:val="00D84298"/>
    <w:rsid w:val="00D84432"/>
    <w:rsid w:val="00D84876"/>
    <w:rsid w:val="00D85BA4"/>
    <w:rsid w:val="00D87BE7"/>
    <w:rsid w:val="00D90DD7"/>
    <w:rsid w:val="00D94DDB"/>
    <w:rsid w:val="00D96213"/>
    <w:rsid w:val="00DA154C"/>
    <w:rsid w:val="00DA3EB0"/>
    <w:rsid w:val="00DA6591"/>
    <w:rsid w:val="00DB1040"/>
    <w:rsid w:val="00DB314D"/>
    <w:rsid w:val="00DB4A98"/>
    <w:rsid w:val="00DB4CF6"/>
    <w:rsid w:val="00DB524A"/>
    <w:rsid w:val="00DB6C18"/>
    <w:rsid w:val="00DB72C3"/>
    <w:rsid w:val="00DC0068"/>
    <w:rsid w:val="00DC0228"/>
    <w:rsid w:val="00DC0CE6"/>
    <w:rsid w:val="00DC154F"/>
    <w:rsid w:val="00DC2047"/>
    <w:rsid w:val="00DC35E9"/>
    <w:rsid w:val="00DC4BEA"/>
    <w:rsid w:val="00DC68A3"/>
    <w:rsid w:val="00DC6A3D"/>
    <w:rsid w:val="00DC6A3F"/>
    <w:rsid w:val="00DD0617"/>
    <w:rsid w:val="00DD5775"/>
    <w:rsid w:val="00DD5A5D"/>
    <w:rsid w:val="00DD7846"/>
    <w:rsid w:val="00DD7C1D"/>
    <w:rsid w:val="00DE1AFB"/>
    <w:rsid w:val="00DE2305"/>
    <w:rsid w:val="00DE2E34"/>
    <w:rsid w:val="00DE3AE7"/>
    <w:rsid w:val="00DE3CBB"/>
    <w:rsid w:val="00DE409F"/>
    <w:rsid w:val="00DE6586"/>
    <w:rsid w:val="00DE7C9C"/>
    <w:rsid w:val="00DE7E2D"/>
    <w:rsid w:val="00DF00C1"/>
    <w:rsid w:val="00DF366C"/>
    <w:rsid w:val="00DF4CCD"/>
    <w:rsid w:val="00DF61CB"/>
    <w:rsid w:val="00DF782D"/>
    <w:rsid w:val="00E00056"/>
    <w:rsid w:val="00E023EB"/>
    <w:rsid w:val="00E0293D"/>
    <w:rsid w:val="00E02DDB"/>
    <w:rsid w:val="00E03821"/>
    <w:rsid w:val="00E03AB7"/>
    <w:rsid w:val="00E04DE5"/>
    <w:rsid w:val="00E06668"/>
    <w:rsid w:val="00E06B0D"/>
    <w:rsid w:val="00E07468"/>
    <w:rsid w:val="00E14020"/>
    <w:rsid w:val="00E15234"/>
    <w:rsid w:val="00E15533"/>
    <w:rsid w:val="00E15705"/>
    <w:rsid w:val="00E16007"/>
    <w:rsid w:val="00E16CB3"/>
    <w:rsid w:val="00E17C08"/>
    <w:rsid w:val="00E20E1D"/>
    <w:rsid w:val="00E237FA"/>
    <w:rsid w:val="00E25B30"/>
    <w:rsid w:val="00E26C87"/>
    <w:rsid w:val="00E26CF2"/>
    <w:rsid w:val="00E271EC"/>
    <w:rsid w:val="00E27260"/>
    <w:rsid w:val="00E27EAA"/>
    <w:rsid w:val="00E305A4"/>
    <w:rsid w:val="00E30E45"/>
    <w:rsid w:val="00E30F28"/>
    <w:rsid w:val="00E33DE8"/>
    <w:rsid w:val="00E34A86"/>
    <w:rsid w:val="00E363FB"/>
    <w:rsid w:val="00E400BE"/>
    <w:rsid w:val="00E41709"/>
    <w:rsid w:val="00E41C4D"/>
    <w:rsid w:val="00E41CB9"/>
    <w:rsid w:val="00E421EE"/>
    <w:rsid w:val="00E426D0"/>
    <w:rsid w:val="00E4283B"/>
    <w:rsid w:val="00E42AF5"/>
    <w:rsid w:val="00E42C18"/>
    <w:rsid w:val="00E43FE2"/>
    <w:rsid w:val="00E45499"/>
    <w:rsid w:val="00E4555D"/>
    <w:rsid w:val="00E46E33"/>
    <w:rsid w:val="00E47429"/>
    <w:rsid w:val="00E504B0"/>
    <w:rsid w:val="00E51FAC"/>
    <w:rsid w:val="00E524EB"/>
    <w:rsid w:val="00E53CD1"/>
    <w:rsid w:val="00E544EA"/>
    <w:rsid w:val="00E5561C"/>
    <w:rsid w:val="00E5570E"/>
    <w:rsid w:val="00E56027"/>
    <w:rsid w:val="00E563AE"/>
    <w:rsid w:val="00E56AD1"/>
    <w:rsid w:val="00E57059"/>
    <w:rsid w:val="00E60166"/>
    <w:rsid w:val="00E60B24"/>
    <w:rsid w:val="00E6619B"/>
    <w:rsid w:val="00E66925"/>
    <w:rsid w:val="00E66E45"/>
    <w:rsid w:val="00E67714"/>
    <w:rsid w:val="00E67BDC"/>
    <w:rsid w:val="00E70E0C"/>
    <w:rsid w:val="00E7467F"/>
    <w:rsid w:val="00E75114"/>
    <w:rsid w:val="00E75BF6"/>
    <w:rsid w:val="00E763FC"/>
    <w:rsid w:val="00E76564"/>
    <w:rsid w:val="00E77E59"/>
    <w:rsid w:val="00E81B86"/>
    <w:rsid w:val="00E8218E"/>
    <w:rsid w:val="00E82337"/>
    <w:rsid w:val="00E83359"/>
    <w:rsid w:val="00E8507E"/>
    <w:rsid w:val="00E8527A"/>
    <w:rsid w:val="00E857A8"/>
    <w:rsid w:val="00E862A9"/>
    <w:rsid w:val="00E873A9"/>
    <w:rsid w:val="00E92AE5"/>
    <w:rsid w:val="00E934A4"/>
    <w:rsid w:val="00E937FE"/>
    <w:rsid w:val="00E93DFC"/>
    <w:rsid w:val="00E944C5"/>
    <w:rsid w:val="00E94F81"/>
    <w:rsid w:val="00E9545C"/>
    <w:rsid w:val="00E97B5D"/>
    <w:rsid w:val="00EA0109"/>
    <w:rsid w:val="00EA0648"/>
    <w:rsid w:val="00EA08CA"/>
    <w:rsid w:val="00EA5526"/>
    <w:rsid w:val="00EA6CB7"/>
    <w:rsid w:val="00EA76DD"/>
    <w:rsid w:val="00EA7AD6"/>
    <w:rsid w:val="00EB100F"/>
    <w:rsid w:val="00EB19ED"/>
    <w:rsid w:val="00EB28EA"/>
    <w:rsid w:val="00EB2DE6"/>
    <w:rsid w:val="00EB4F08"/>
    <w:rsid w:val="00EB5834"/>
    <w:rsid w:val="00EB638D"/>
    <w:rsid w:val="00EB7E5E"/>
    <w:rsid w:val="00EC0A73"/>
    <w:rsid w:val="00EC1598"/>
    <w:rsid w:val="00EC3943"/>
    <w:rsid w:val="00EC4233"/>
    <w:rsid w:val="00EC4452"/>
    <w:rsid w:val="00EC4CBB"/>
    <w:rsid w:val="00EC4DC3"/>
    <w:rsid w:val="00EC56E0"/>
    <w:rsid w:val="00EC5B68"/>
    <w:rsid w:val="00EC5FEC"/>
    <w:rsid w:val="00EC6694"/>
    <w:rsid w:val="00EC7AD9"/>
    <w:rsid w:val="00ED301C"/>
    <w:rsid w:val="00ED3919"/>
    <w:rsid w:val="00ED3C9C"/>
    <w:rsid w:val="00ED6E5B"/>
    <w:rsid w:val="00ED7978"/>
    <w:rsid w:val="00EE157A"/>
    <w:rsid w:val="00EE3094"/>
    <w:rsid w:val="00EE3BCB"/>
    <w:rsid w:val="00EE3FB2"/>
    <w:rsid w:val="00EE4D3D"/>
    <w:rsid w:val="00EE575F"/>
    <w:rsid w:val="00EE7E3F"/>
    <w:rsid w:val="00EF1225"/>
    <w:rsid w:val="00EF229C"/>
    <w:rsid w:val="00EF4349"/>
    <w:rsid w:val="00EF6569"/>
    <w:rsid w:val="00EF66A9"/>
    <w:rsid w:val="00EF6811"/>
    <w:rsid w:val="00EF73CA"/>
    <w:rsid w:val="00EF7893"/>
    <w:rsid w:val="00F00EBE"/>
    <w:rsid w:val="00F02A58"/>
    <w:rsid w:val="00F112FC"/>
    <w:rsid w:val="00F15F85"/>
    <w:rsid w:val="00F204FA"/>
    <w:rsid w:val="00F20D36"/>
    <w:rsid w:val="00F222D3"/>
    <w:rsid w:val="00F24A22"/>
    <w:rsid w:val="00F2514A"/>
    <w:rsid w:val="00F25C36"/>
    <w:rsid w:val="00F26636"/>
    <w:rsid w:val="00F26651"/>
    <w:rsid w:val="00F30318"/>
    <w:rsid w:val="00F33EB8"/>
    <w:rsid w:val="00F34445"/>
    <w:rsid w:val="00F34FB8"/>
    <w:rsid w:val="00F41C06"/>
    <w:rsid w:val="00F42BFF"/>
    <w:rsid w:val="00F476B6"/>
    <w:rsid w:val="00F503F6"/>
    <w:rsid w:val="00F503F7"/>
    <w:rsid w:val="00F50A38"/>
    <w:rsid w:val="00F52151"/>
    <w:rsid w:val="00F53948"/>
    <w:rsid w:val="00F54DE2"/>
    <w:rsid w:val="00F5576C"/>
    <w:rsid w:val="00F55DB7"/>
    <w:rsid w:val="00F5604D"/>
    <w:rsid w:val="00F573E4"/>
    <w:rsid w:val="00F61808"/>
    <w:rsid w:val="00F6366B"/>
    <w:rsid w:val="00F65030"/>
    <w:rsid w:val="00F75E6C"/>
    <w:rsid w:val="00F76186"/>
    <w:rsid w:val="00F76AF5"/>
    <w:rsid w:val="00F771DD"/>
    <w:rsid w:val="00F77D75"/>
    <w:rsid w:val="00F82D4D"/>
    <w:rsid w:val="00F852F1"/>
    <w:rsid w:val="00F85D8C"/>
    <w:rsid w:val="00F878BD"/>
    <w:rsid w:val="00F87D09"/>
    <w:rsid w:val="00F87D2E"/>
    <w:rsid w:val="00F87F42"/>
    <w:rsid w:val="00F907C3"/>
    <w:rsid w:val="00F92BF6"/>
    <w:rsid w:val="00F937F8"/>
    <w:rsid w:val="00F93AB4"/>
    <w:rsid w:val="00F94527"/>
    <w:rsid w:val="00F9468C"/>
    <w:rsid w:val="00F947AE"/>
    <w:rsid w:val="00F955C9"/>
    <w:rsid w:val="00F97002"/>
    <w:rsid w:val="00F97B9F"/>
    <w:rsid w:val="00F97BA4"/>
    <w:rsid w:val="00FA0210"/>
    <w:rsid w:val="00FA1099"/>
    <w:rsid w:val="00FA334F"/>
    <w:rsid w:val="00FA37D6"/>
    <w:rsid w:val="00FA4A17"/>
    <w:rsid w:val="00FA5CF1"/>
    <w:rsid w:val="00FA7814"/>
    <w:rsid w:val="00FB11C1"/>
    <w:rsid w:val="00FB1B73"/>
    <w:rsid w:val="00FB3759"/>
    <w:rsid w:val="00FB3D79"/>
    <w:rsid w:val="00FB49E6"/>
    <w:rsid w:val="00FB5FC7"/>
    <w:rsid w:val="00FB78FD"/>
    <w:rsid w:val="00FC1B10"/>
    <w:rsid w:val="00FC26FC"/>
    <w:rsid w:val="00FC318D"/>
    <w:rsid w:val="00FC4C48"/>
    <w:rsid w:val="00FD1030"/>
    <w:rsid w:val="00FD1D7A"/>
    <w:rsid w:val="00FD272E"/>
    <w:rsid w:val="00FD6515"/>
    <w:rsid w:val="00FD722B"/>
    <w:rsid w:val="00FE091A"/>
    <w:rsid w:val="00FE12E9"/>
    <w:rsid w:val="00FE187A"/>
    <w:rsid w:val="00FE2DFB"/>
    <w:rsid w:val="00FE3C50"/>
    <w:rsid w:val="00FE4EBB"/>
    <w:rsid w:val="00FE4FC6"/>
    <w:rsid w:val="00FE78B1"/>
    <w:rsid w:val="00FF1EEB"/>
    <w:rsid w:val="00FF314C"/>
    <w:rsid w:val="00FF3773"/>
    <w:rsid w:val="00FF449F"/>
    <w:rsid w:val="00FF4676"/>
    <w:rsid w:val="00FF492A"/>
    <w:rsid w:val="00FF560C"/>
    <w:rsid w:val="00FF6DDC"/>
    <w:rsid w:val="00FF737E"/>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5DAFB"/>
  <w15:chartTrackingRefBased/>
  <w15:docId w15:val="{7AAA3AA3-EC8F-4DA2-B10C-554CFA68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C2F"/>
    <w:pPr>
      <w:spacing w:after="120" w:line="276" w:lineRule="auto"/>
      <w:jc w:val="both"/>
    </w:pPr>
    <w:rPr>
      <w:lang w:val="en-GB"/>
    </w:rPr>
  </w:style>
  <w:style w:type="paragraph" w:styleId="Titre1">
    <w:name w:val="heading 1"/>
    <w:basedOn w:val="Normal"/>
    <w:next w:val="Normal"/>
    <w:link w:val="Titre1Car"/>
    <w:uiPriority w:val="9"/>
    <w:qFormat/>
    <w:rsid w:val="00704ACF"/>
    <w:pPr>
      <w:keepNext/>
      <w:keepLines/>
      <w:spacing w:before="120" w:line="240" w:lineRule="auto"/>
      <w:outlineLvl w:val="0"/>
    </w:pPr>
    <w:rPr>
      <w:rFonts w:asciiTheme="majorHAnsi" w:eastAsiaTheme="majorEastAsia" w:hAnsiTheme="majorHAnsi" w:cstheme="majorBidi"/>
      <w:b/>
      <w:caps/>
      <w:color w:val="007576" w:themeColor="accent1"/>
      <w:sz w:val="48"/>
      <w:szCs w:val="32"/>
    </w:rPr>
  </w:style>
  <w:style w:type="paragraph" w:styleId="Titre2">
    <w:name w:val="heading 2"/>
    <w:basedOn w:val="Normal"/>
    <w:next w:val="Normal"/>
    <w:link w:val="Titre2Car"/>
    <w:uiPriority w:val="9"/>
    <w:unhideWhenUsed/>
    <w:qFormat/>
    <w:rsid w:val="00980ACE"/>
    <w:pPr>
      <w:keepNext/>
      <w:keepLines/>
      <w:spacing w:before="60" w:line="240" w:lineRule="auto"/>
      <w:outlineLvl w:val="1"/>
    </w:pPr>
    <w:rPr>
      <w:rFonts w:asciiTheme="majorHAnsi" w:eastAsiaTheme="majorEastAsia" w:hAnsiTheme="majorHAnsi" w:cstheme="majorBidi"/>
      <w:color w:val="007576" w:themeColor="accent1"/>
      <w:sz w:val="40"/>
      <w:szCs w:val="26"/>
    </w:rPr>
  </w:style>
  <w:style w:type="paragraph" w:styleId="Titre3">
    <w:name w:val="heading 3"/>
    <w:basedOn w:val="Normal"/>
    <w:next w:val="Normal"/>
    <w:link w:val="Titre3Car"/>
    <w:uiPriority w:val="9"/>
    <w:unhideWhenUsed/>
    <w:qFormat/>
    <w:rsid w:val="009302E3"/>
    <w:pPr>
      <w:keepNext/>
      <w:keepLines/>
      <w:spacing w:before="120" w:after="0"/>
      <w:outlineLvl w:val="2"/>
    </w:pPr>
    <w:rPr>
      <w:rFonts w:asciiTheme="majorHAnsi" w:eastAsiaTheme="majorEastAsia" w:hAnsiTheme="majorHAnsi" w:cstheme="majorBidi"/>
      <w:b/>
      <w:color w:val="000000" w:themeColor="text1"/>
      <w:sz w:val="24"/>
      <w:szCs w:val="24"/>
    </w:rPr>
  </w:style>
  <w:style w:type="paragraph" w:styleId="Titre4">
    <w:name w:val="heading 4"/>
    <w:basedOn w:val="Normal"/>
    <w:next w:val="Normal"/>
    <w:link w:val="Titre4Car"/>
    <w:uiPriority w:val="9"/>
    <w:unhideWhenUsed/>
    <w:qFormat/>
    <w:rsid w:val="00D4431D"/>
    <w:pPr>
      <w:keepNext/>
      <w:keepLines/>
      <w:spacing w:before="40" w:after="0"/>
      <w:outlineLvl w:val="3"/>
    </w:pPr>
    <w:rPr>
      <w:rFonts w:asciiTheme="majorHAnsi" w:eastAsiaTheme="majorEastAsia" w:hAnsiTheme="majorHAnsi" w:cstheme="majorBidi"/>
      <w:b/>
      <w:iCs/>
      <w:color w:val="000000" w:themeColor="text1"/>
    </w:rPr>
  </w:style>
  <w:style w:type="paragraph" w:styleId="Titre5">
    <w:name w:val="heading 5"/>
    <w:basedOn w:val="Normal"/>
    <w:next w:val="Normal"/>
    <w:link w:val="Titre5Car"/>
    <w:uiPriority w:val="9"/>
    <w:semiHidden/>
    <w:unhideWhenUsed/>
    <w:qFormat/>
    <w:rsid w:val="00AD2C08"/>
    <w:pPr>
      <w:keepNext/>
      <w:keepLines/>
      <w:spacing w:before="40" w:after="0"/>
      <w:outlineLvl w:val="4"/>
    </w:pPr>
    <w:rPr>
      <w:rFonts w:asciiTheme="majorHAnsi" w:eastAsiaTheme="majorEastAsia" w:hAnsiTheme="majorHAnsi" w:cstheme="majorBidi"/>
      <w:i/>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566B"/>
    <w:pPr>
      <w:tabs>
        <w:tab w:val="center" w:pos="4536"/>
        <w:tab w:val="right" w:pos="9072"/>
      </w:tabs>
      <w:spacing w:after="0" w:line="240" w:lineRule="auto"/>
    </w:pPr>
  </w:style>
  <w:style w:type="character" w:customStyle="1" w:styleId="En-tteCar">
    <w:name w:val="En-tête Car"/>
    <w:basedOn w:val="Policepardfaut"/>
    <w:link w:val="En-tte"/>
    <w:uiPriority w:val="99"/>
    <w:rsid w:val="009E566B"/>
  </w:style>
  <w:style w:type="paragraph" w:styleId="Pieddepage">
    <w:name w:val="footer"/>
    <w:basedOn w:val="Normal"/>
    <w:link w:val="PieddepageCar"/>
    <w:uiPriority w:val="99"/>
    <w:unhideWhenUsed/>
    <w:rsid w:val="009E56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66B"/>
  </w:style>
  <w:style w:type="character" w:customStyle="1" w:styleId="Titre1Car">
    <w:name w:val="Titre 1 Car"/>
    <w:basedOn w:val="Policepardfaut"/>
    <w:link w:val="Titre1"/>
    <w:uiPriority w:val="9"/>
    <w:rsid w:val="00704ACF"/>
    <w:rPr>
      <w:rFonts w:asciiTheme="majorHAnsi" w:eastAsiaTheme="majorEastAsia" w:hAnsiTheme="majorHAnsi" w:cstheme="majorBidi"/>
      <w:b/>
      <w:caps/>
      <w:color w:val="007576" w:themeColor="accent1"/>
      <w:sz w:val="48"/>
      <w:szCs w:val="32"/>
      <w:lang w:val="en-GB"/>
    </w:rPr>
  </w:style>
  <w:style w:type="character" w:customStyle="1" w:styleId="Titre2Car">
    <w:name w:val="Titre 2 Car"/>
    <w:basedOn w:val="Policepardfaut"/>
    <w:link w:val="Titre2"/>
    <w:uiPriority w:val="9"/>
    <w:rsid w:val="00980ACE"/>
    <w:rPr>
      <w:rFonts w:asciiTheme="majorHAnsi" w:eastAsiaTheme="majorEastAsia" w:hAnsiTheme="majorHAnsi" w:cstheme="majorBidi"/>
      <w:color w:val="007576" w:themeColor="accent1"/>
      <w:sz w:val="40"/>
      <w:szCs w:val="26"/>
    </w:rPr>
  </w:style>
  <w:style w:type="table" w:styleId="Grilledutableau">
    <w:name w:val="Table Grid"/>
    <w:basedOn w:val="TableauNormal"/>
    <w:uiPriority w:val="39"/>
    <w:rsid w:val="00B23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9302E3"/>
    <w:rPr>
      <w:rFonts w:asciiTheme="majorHAnsi" w:eastAsiaTheme="majorEastAsia" w:hAnsiTheme="majorHAnsi" w:cstheme="majorBidi"/>
      <w:b/>
      <w:color w:val="000000" w:themeColor="text1"/>
      <w:sz w:val="24"/>
      <w:szCs w:val="24"/>
    </w:rPr>
  </w:style>
  <w:style w:type="paragraph" w:styleId="Citation">
    <w:name w:val="Quote"/>
    <w:basedOn w:val="Normal"/>
    <w:next w:val="Normal"/>
    <w:link w:val="CitationCar"/>
    <w:uiPriority w:val="29"/>
    <w:qFormat/>
    <w:rsid w:val="00980ACE"/>
    <w:pPr>
      <w:spacing w:after="0"/>
    </w:pPr>
    <w:rPr>
      <w:i/>
      <w:iCs/>
      <w:color w:val="000000" w:themeColor="text1"/>
    </w:rPr>
  </w:style>
  <w:style w:type="character" w:customStyle="1" w:styleId="Titre4Car">
    <w:name w:val="Titre 4 Car"/>
    <w:basedOn w:val="Policepardfaut"/>
    <w:link w:val="Titre4"/>
    <w:uiPriority w:val="9"/>
    <w:rsid w:val="00D4431D"/>
    <w:rPr>
      <w:rFonts w:asciiTheme="majorHAnsi" w:eastAsiaTheme="majorEastAsia" w:hAnsiTheme="majorHAnsi" w:cstheme="majorBidi"/>
      <w:b/>
      <w:iCs/>
      <w:color w:val="000000" w:themeColor="text1"/>
    </w:rPr>
  </w:style>
  <w:style w:type="character" w:customStyle="1" w:styleId="Titre5Car">
    <w:name w:val="Titre 5 Car"/>
    <w:basedOn w:val="Policepardfaut"/>
    <w:link w:val="Titre5"/>
    <w:uiPriority w:val="9"/>
    <w:semiHidden/>
    <w:rsid w:val="00AD2C08"/>
    <w:rPr>
      <w:rFonts w:asciiTheme="majorHAnsi" w:eastAsiaTheme="majorEastAsia" w:hAnsiTheme="majorHAnsi" w:cstheme="majorBidi"/>
      <w:i/>
      <w:color w:val="000000" w:themeColor="text1"/>
    </w:rPr>
  </w:style>
  <w:style w:type="paragraph" w:customStyle="1" w:styleId="TextRightSubtitle">
    <w:name w:val="Text Right Subtitle"/>
    <w:basedOn w:val="Normal"/>
    <w:rsid w:val="000D0B8A"/>
    <w:pPr>
      <w:spacing w:after="0"/>
      <w:jc w:val="right"/>
    </w:pPr>
    <w:rPr>
      <w:rFonts w:eastAsia="Times New Roman"/>
      <w:color w:val="007576"/>
      <w:szCs w:val="20"/>
    </w:rPr>
  </w:style>
  <w:style w:type="paragraph" w:styleId="Paragraphedeliste">
    <w:name w:val="List Paragraph"/>
    <w:basedOn w:val="Normal"/>
    <w:uiPriority w:val="34"/>
    <w:qFormat/>
    <w:rsid w:val="00A978C6"/>
    <w:pPr>
      <w:ind w:left="720"/>
      <w:contextualSpacing/>
    </w:pPr>
  </w:style>
  <w:style w:type="character" w:customStyle="1" w:styleId="CitationCar">
    <w:name w:val="Citation Car"/>
    <w:basedOn w:val="Policepardfaut"/>
    <w:link w:val="Citation"/>
    <w:uiPriority w:val="29"/>
    <w:rsid w:val="00980ACE"/>
    <w:rPr>
      <w:i/>
      <w:iCs/>
      <w:color w:val="000000" w:themeColor="text1"/>
    </w:rPr>
  </w:style>
  <w:style w:type="numbering" w:customStyle="1" w:styleId="AgendaList">
    <w:name w:val="Agenda List"/>
    <w:uiPriority w:val="99"/>
    <w:rsid w:val="007B5711"/>
    <w:pPr>
      <w:numPr>
        <w:numId w:val="1"/>
      </w:numPr>
    </w:pPr>
  </w:style>
  <w:style w:type="paragraph" w:customStyle="1" w:styleId="AISEseparator">
    <w:name w:val="AISE separator"/>
    <w:basedOn w:val="Normal"/>
    <w:next w:val="Normal"/>
    <w:qFormat/>
    <w:rsid w:val="00704ACF"/>
    <w:pPr>
      <w:tabs>
        <w:tab w:val="right" w:leader="dot" w:pos="9354"/>
      </w:tabs>
      <w:spacing w:after="240"/>
    </w:pPr>
    <w:rPr>
      <w:rFonts w:ascii="Frutiger LT Std 45 Light" w:hAnsi="Frutiger LT Std 45 Light"/>
      <w:b/>
      <w:color w:val="A9C30C" w:themeColor="accent3"/>
      <w:spacing w:val="8"/>
    </w:rPr>
  </w:style>
  <w:style w:type="paragraph" w:styleId="Textedebulles">
    <w:name w:val="Balloon Text"/>
    <w:basedOn w:val="Normal"/>
    <w:link w:val="TextedebullesCar"/>
    <w:uiPriority w:val="99"/>
    <w:semiHidden/>
    <w:unhideWhenUsed/>
    <w:rsid w:val="00DF61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61CB"/>
    <w:rPr>
      <w:rFonts w:ascii="Segoe UI" w:hAnsi="Segoe UI" w:cs="Segoe UI"/>
      <w:sz w:val="18"/>
      <w:szCs w:val="18"/>
    </w:rPr>
  </w:style>
  <w:style w:type="paragraph" w:customStyle="1" w:styleId="DateParagraph">
    <w:name w:val="Date Paragraph"/>
    <w:basedOn w:val="Normal"/>
    <w:rsid w:val="007B2EE3"/>
    <w:pPr>
      <w:jc w:val="right"/>
    </w:pPr>
  </w:style>
  <w:style w:type="paragraph" w:styleId="Notedebasdepage">
    <w:name w:val="footnote text"/>
    <w:basedOn w:val="Normal"/>
    <w:link w:val="NotedebasdepageCar"/>
    <w:uiPriority w:val="99"/>
    <w:unhideWhenUsed/>
    <w:qFormat/>
    <w:rsid w:val="00990F22"/>
    <w:pPr>
      <w:spacing w:after="0" w:line="240" w:lineRule="auto"/>
    </w:pPr>
    <w:rPr>
      <w:sz w:val="18"/>
      <w:szCs w:val="20"/>
    </w:rPr>
  </w:style>
  <w:style w:type="character" w:customStyle="1" w:styleId="NotedebasdepageCar">
    <w:name w:val="Note de bas de page Car"/>
    <w:basedOn w:val="Policepardfaut"/>
    <w:link w:val="Notedebasdepage"/>
    <w:uiPriority w:val="99"/>
    <w:rsid w:val="00990F22"/>
    <w:rPr>
      <w:sz w:val="18"/>
      <w:szCs w:val="20"/>
      <w:lang w:val="en-GB"/>
    </w:rPr>
  </w:style>
  <w:style w:type="character" w:styleId="Appelnotedebasdep">
    <w:name w:val="footnote reference"/>
    <w:basedOn w:val="Policepardfaut"/>
    <w:uiPriority w:val="99"/>
    <w:semiHidden/>
    <w:unhideWhenUsed/>
    <w:rsid w:val="00990F22"/>
    <w:rPr>
      <w:vertAlign w:val="superscript"/>
    </w:rPr>
  </w:style>
  <w:style w:type="character" w:styleId="Marquedecommentaire">
    <w:name w:val="annotation reference"/>
    <w:basedOn w:val="Policepardfaut"/>
    <w:uiPriority w:val="99"/>
    <w:semiHidden/>
    <w:unhideWhenUsed/>
    <w:rsid w:val="00692F74"/>
    <w:rPr>
      <w:sz w:val="16"/>
      <w:szCs w:val="16"/>
    </w:rPr>
  </w:style>
  <w:style w:type="paragraph" w:styleId="Commentaire">
    <w:name w:val="annotation text"/>
    <w:basedOn w:val="Normal"/>
    <w:link w:val="CommentaireCar"/>
    <w:uiPriority w:val="99"/>
    <w:unhideWhenUsed/>
    <w:rsid w:val="00692F74"/>
    <w:pPr>
      <w:spacing w:line="240" w:lineRule="auto"/>
    </w:pPr>
    <w:rPr>
      <w:sz w:val="20"/>
      <w:szCs w:val="20"/>
    </w:rPr>
  </w:style>
  <w:style w:type="character" w:customStyle="1" w:styleId="CommentaireCar">
    <w:name w:val="Commentaire Car"/>
    <w:basedOn w:val="Policepardfaut"/>
    <w:link w:val="Commentaire"/>
    <w:uiPriority w:val="99"/>
    <w:rsid w:val="00692F74"/>
    <w:rPr>
      <w:sz w:val="20"/>
      <w:szCs w:val="20"/>
      <w:lang w:val="en-GB"/>
    </w:rPr>
  </w:style>
  <w:style w:type="paragraph" w:styleId="Objetducommentaire">
    <w:name w:val="annotation subject"/>
    <w:basedOn w:val="Commentaire"/>
    <w:next w:val="Commentaire"/>
    <w:link w:val="ObjetducommentaireCar"/>
    <w:uiPriority w:val="99"/>
    <w:semiHidden/>
    <w:unhideWhenUsed/>
    <w:rsid w:val="00692F74"/>
    <w:rPr>
      <w:b/>
      <w:bCs/>
    </w:rPr>
  </w:style>
  <w:style w:type="character" w:customStyle="1" w:styleId="ObjetducommentaireCar">
    <w:name w:val="Objet du commentaire Car"/>
    <w:basedOn w:val="CommentaireCar"/>
    <w:link w:val="Objetducommentaire"/>
    <w:uiPriority w:val="99"/>
    <w:semiHidden/>
    <w:rsid w:val="00692F74"/>
    <w:rPr>
      <w:b/>
      <w:bCs/>
      <w:sz w:val="20"/>
      <w:szCs w:val="20"/>
      <w:lang w:val="en-GB"/>
    </w:rPr>
  </w:style>
  <w:style w:type="paragraph" w:styleId="En-ttedetabledesmatires">
    <w:name w:val="TOC Heading"/>
    <w:basedOn w:val="Titre1"/>
    <w:next w:val="Normal"/>
    <w:uiPriority w:val="39"/>
    <w:unhideWhenUsed/>
    <w:qFormat/>
    <w:rsid w:val="006E2814"/>
    <w:pPr>
      <w:spacing w:before="240" w:after="0" w:line="259" w:lineRule="auto"/>
      <w:jc w:val="left"/>
      <w:outlineLvl w:val="9"/>
    </w:pPr>
    <w:rPr>
      <w:b w:val="0"/>
      <w:caps w:val="0"/>
      <w:color w:val="005758" w:themeColor="accent1" w:themeShade="BF"/>
      <w:sz w:val="32"/>
      <w:lang w:val="en-US"/>
    </w:rPr>
  </w:style>
  <w:style w:type="paragraph" w:styleId="TM1">
    <w:name w:val="toc 1"/>
    <w:basedOn w:val="Normal"/>
    <w:next w:val="Normal"/>
    <w:autoRedefine/>
    <w:uiPriority w:val="39"/>
    <w:unhideWhenUsed/>
    <w:rsid w:val="000A0D01"/>
    <w:pPr>
      <w:tabs>
        <w:tab w:val="right" w:leader="dot" w:pos="13183"/>
      </w:tabs>
      <w:spacing w:after="100"/>
    </w:pPr>
  </w:style>
  <w:style w:type="paragraph" w:styleId="TM2">
    <w:name w:val="toc 2"/>
    <w:basedOn w:val="Normal"/>
    <w:next w:val="Normal"/>
    <w:autoRedefine/>
    <w:uiPriority w:val="39"/>
    <w:unhideWhenUsed/>
    <w:rsid w:val="006E2814"/>
    <w:pPr>
      <w:spacing w:after="100"/>
      <w:ind w:left="220"/>
    </w:pPr>
  </w:style>
  <w:style w:type="paragraph" w:styleId="TM3">
    <w:name w:val="toc 3"/>
    <w:basedOn w:val="Normal"/>
    <w:next w:val="Normal"/>
    <w:autoRedefine/>
    <w:uiPriority w:val="39"/>
    <w:unhideWhenUsed/>
    <w:rsid w:val="006E2814"/>
    <w:pPr>
      <w:spacing w:after="100"/>
      <w:ind w:left="440"/>
    </w:pPr>
  </w:style>
  <w:style w:type="character" w:styleId="Lienhypertexte">
    <w:name w:val="Hyperlink"/>
    <w:basedOn w:val="Policepardfaut"/>
    <w:uiPriority w:val="99"/>
    <w:unhideWhenUsed/>
    <w:rsid w:val="006E2814"/>
    <w:rPr>
      <w:color w:val="0000FF" w:themeColor="hyperlink"/>
      <w:u w:val="single"/>
    </w:rPr>
  </w:style>
  <w:style w:type="paragraph" w:customStyle="1" w:styleId="Default">
    <w:name w:val="Default"/>
    <w:rsid w:val="002300D9"/>
    <w:pPr>
      <w:autoSpaceDE w:val="0"/>
      <w:autoSpaceDN w:val="0"/>
      <w:adjustRightInd w:val="0"/>
      <w:spacing w:after="0" w:line="240" w:lineRule="auto"/>
    </w:pPr>
    <w:rPr>
      <w:rFonts w:ascii="Arial" w:hAnsi="Arial" w:cs="Arial"/>
      <w:color w:val="000000"/>
      <w:sz w:val="24"/>
      <w:szCs w:val="24"/>
      <w:lang w:val="en-GB"/>
    </w:rPr>
  </w:style>
  <w:style w:type="character" w:styleId="Mention">
    <w:name w:val="Mention"/>
    <w:basedOn w:val="Policepardfaut"/>
    <w:uiPriority w:val="99"/>
    <w:unhideWhenUsed/>
    <w:rsid w:val="00ED3919"/>
    <w:rPr>
      <w:color w:val="2B579A"/>
      <w:shd w:val="clear" w:color="auto" w:fill="E1DFDD"/>
    </w:rPr>
  </w:style>
  <w:style w:type="character" w:customStyle="1" w:styleId="HideTWBExt">
    <w:name w:val="HideTWBExt"/>
    <w:rsid w:val="001F4E16"/>
    <w:rPr>
      <w:rFonts w:ascii="Arial" w:hAnsi="Arial"/>
      <w:vanish/>
      <w:color w:val="000080"/>
      <w:sz w:val="20"/>
    </w:rPr>
  </w:style>
  <w:style w:type="paragraph" w:customStyle="1" w:styleId="NormalBold">
    <w:name w:val="NormalBold"/>
    <w:basedOn w:val="Normal"/>
    <w:rsid w:val="001F4E16"/>
    <w:pPr>
      <w:widowControl w:val="0"/>
      <w:spacing w:after="0" w:line="240" w:lineRule="auto"/>
      <w:jc w:val="left"/>
    </w:pPr>
    <w:rPr>
      <w:rFonts w:ascii="Times New Roman" w:eastAsia="Times New Roman" w:hAnsi="Times New Roman" w:cs="Times New Roman"/>
      <w:b/>
      <w:sz w:val="24"/>
      <w:szCs w:val="24"/>
      <w:lang w:val="en-US"/>
    </w:rPr>
  </w:style>
  <w:style w:type="character" w:customStyle="1" w:styleId="cf01">
    <w:name w:val="cf01"/>
    <w:basedOn w:val="Policepardfaut"/>
    <w:rsid w:val="00246000"/>
    <w:rPr>
      <w:rFonts w:ascii="Segoe UI" w:hAnsi="Segoe UI" w:cs="Segoe UI" w:hint="default"/>
      <w:sz w:val="18"/>
      <w:szCs w:val="18"/>
    </w:rPr>
  </w:style>
  <w:style w:type="paragraph" w:customStyle="1" w:styleId="pf0">
    <w:name w:val="pf0"/>
    <w:basedOn w:val="Normal"/>
    <w:rsid w:val="00B92610"/>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AmJustText">
    <w:name w:val="AmJustText"/>
    <w:basedOn w:val="Normal"/>
    <w:rsid w:val="00B96D23"/>
    <w:pPr>
      <w:widowControl w:val="0"/>
      <w:spacing w:after="240" w:line="240" w:lineRule="auto"/>
      <w:jc w:val="left"/>
    </w:pPr>
    <w:rPr>
      <w:rFonts w:ascii="Times New Roman" w:eastAsia="Times New Roman" w:hAnsi="Times New Roman" w:cs="Times New Roman"/>
      <w:i/>
      <w:sz w:val="24"/>
      <w:szCs w:val="24"/>
      <w:lang w:val="en-US"/>
    </w:rPr>
  </w:style>
  <w:style w:type="paragraph" w:styleId="Rvision">
    <w:name w:val="Revision"/>
    <w:hidden/>
    <w:uiPriority w:val="99"/>
    <w:semiHidden/>
    <w:rsid w:val="00D251C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72063">
      <w:bodyDiv w:val="1"/>
      <w:marLeft w:val="0"/>
      <w:marRight w:val="0"/>
      <w:marTop w:val="0"/>
      <w:marBottom w:val="0"/>
      <w:divBdr>
        <w:top w:val="none" w:sz="0" w:space="0" w:color="auto"/>
        <w:left w:val="none" w:sz="0" w:space="0" w:color="auto"/>
        <w:bottom w:val="none" w:sz="0" w:space="0" w:color="auto"/>
        <w:right w:val="none" w:sz="0" w:space="0" w:color="auto"/>
      </w:divBdr>
    </w:div>
    <w:div w:id="1340885247">
      <w:bodyDiv w:val="1"/>
      <w:marLeft w:val="0"/>
      <w:marRight w:val="0"/>
      <w:marTop w:val="0"/>
      <w:marBottom w:val="0"/>
      <w:divBdr>
        <w:top w:val="none" w:sz="0" w:space="0" w:color="auto"/>
        <w:left w:val="none" w:sz="0" w:space="0" w:color="auto"/>
        <w:bottom w:val="none" w:sz="0" w:space="0" w:color="auto"/>
        <w:right w:val="none" w:sz="0" w:space="0" w:color="auto"/>
      </w:divBdr>
      <w:divsChild>
        <w:div w:id="1654211200">
          <w:marLeft w:val="547"/>
          <w:marRight w:val="0"/>
          <w:marTop w:val="77"/>
          <w:marBottom w:val="0"/>
          <w:divBdr>
            <w:top w:val="none" w:sz="0" w:space="0" w:color="auto"/>
            <w:left w:val="none" w:sz="0" w:space="0" w:color="auto"/>
            <w:bottom w:val="none" w:sz="0" w:space="0" w:color="auto"/>
            <w:right w:val="none" w:sz="0" w:space="0" w:color="auto"/>
          </w:divBdr>
        </w:div>
      </w:divsChild>
    </w:div>
    <w:div w:id="16473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AISE\Data%20-%20Common\01.%20A.I.S.E.%20ADMIN\Corporate%20ID\A.I.S.E.%20corporate%20ID%20-%20Templates%20Word%20PPT\AISE%20generic.dotx" TargetMode="External"/></Relationships>
</file>

<file path=word/theme/theme1.xml><?xml version="1.0" encoding="utf-8"?>
<a:theme xmlns:a="http://schemas.openxmlformats.org/drawingml/2006/main" name="AISE">
  <a:themeElements>
    <a:clrScheme name="AISE theme">
      <a:dk1>
        <a:sysClr val="windowText" lastClr="000000"/>
      </a:dk1>
      <a:lt1>
        <a:sysClr val="window" lastClr="FFFFFF"/>
      </a:lt1>
      <a:dk2>
        <a:srgbClr val="009495"/>
      </a:dk2>
      <a:lt2>
        <a:srgbClr val="EEECE1"/>
      </a:lt2>
      <a:accent1>
        <a:srgbClr val="007576"/>
      </a:accent1>
      <a:accent2>
        <a:srgbClr val="0076B3"/>
      </a:accent2>
      <a:accent3>
        <a:srgbClr val="A9C30C"/>
      </a:accent3>
      <a:accent4>
        <a:srgbClr val="792F77"/>
      </a:accent4>
      <a:accent5>
        <a:srgbClr val="F7A072"/>
      </a:accent5>
      <a:accent6>
        <a:srgbClr val="721817"/>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ISE" id="{CF657B3E-C1C0-4BA5-BC32-2CEB2205FC1D}" vid="{DD2F892C-321B-4F30-B52B-5704C9A1DB7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98c998-79be-44de-9e55-d0380ec6829d">
      <UserInfo>
        <DisplayName/>
        <AccountId xsi:nil="true"/>
        <AccountType/>
      </UserInfo>
    </SharedWithUsers>
    <MediaLengthInSeconds xmlns="414b4fe1-0bf4-4495-a878-d47fe5581e04" xsi:nil="true"/>
    <TaxCatchAll xmlns="8898c998-79be-44de-9e55-d0380ec6829d" xsi:nil="true"/>
    <lcf76f155ced4ddcb4097134ff3c332f xmlns="414b4fe1-0bf4-4495-a878-d47fe5581e04">
      <Terms xmlns="http://schemas.microsoft.com/office/infopath/2007/PartnerControls"/>
    </lcf76f155ced4ddcb4097134ff3c332f>
    <Comments xmlns="414b4fe1-0bf4-4495-a878-d47fe5581e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7F79C59A1A5847A686C34ED1E158D0" ma:contentTypeVersion="19" ma:contentTypeDescription="Create a new document." ma:contentTypeScope="" ma:versionID="5a7922063e6a34dcb101809da81feb5a">
  <xsd:schema xmlns:xsd="http://www.w3.org/2001/XMLSchema" xmlns:xs="http://www.w3.org/2001/XMLSchema" xmlns:p="http://schemas.microsoft.com/office/2006/metadata/properties" xmlns:ns2="414b4fe1-0bf4-4495-a878-d47fe5581e04" xmlns:ns3="8898c998-79be-44de-9e55-d0380ec6829d" targetNamespace="http://schemas.microsoft.com/office/2006/metadata/properties" ma:root="true" ma:fieldsID="312a6003e3bfa8a62cea94d5fcc06f8b" ns2:_="" ns3:_="">
    <xsd:import namespace="414b4fe1-0bf4-4495-a878-d47fe5581e04"/>
    <xsd:import namespace="8898c998-79be-44de-9e55-d0380ec68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b4fe1-0bf4-4495-a878-d47fe5581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a8f843-fb5e-4649-9262-3146ae55000f"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8c998-79be-44de-9e55-d0380ec682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a53b34-2500-4824-bd6c-eae04145d6b3}" ma:internalName="TaxCatchAll" ma:showField="CatchAllData" ma:web="8898c998-79be-44de-9e55-d0380ec68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7A23-459E-4370-B883-40A5FC8075B9}">
  <ds:schemaRefs>
    <ds:schemaRef ds:uri="http://schemas.microsoft.com/office/2006/metadata/properties"/>
    <ds:schemaRef ds:uri="http://schemas.microsoft.com/office/infopath/2007/PartnerControls"/>
    <ds:schemaRef ds:uri="8898c998-79be-44de-9e55-d0380ec6829d"/>
    <ds:schemaRef ds:uri="414b4fe1-0bf4-4495-a878-d47fe5581e04"/>
  </ds:schemaRefs>
</ds:datastoreItem>
</file>

<file path=customXml/itemProps2.xml><?xml version="1.0" encoding="utf-8"?>
<ds:datastoreItem xmlns:ds="http://schemas.openxmlformats.org/officeDocument/2006/customXml" ds:itemID="{28813A24-8224-4FB0-8244-1B45802BB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b4fe1-0bf4-4495-a878-d47fe5581e04"/>
    <ds:schemaRef ds:uri="8898c998-79be-44de-9e55-d0380ec68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FF4C8-A439-4238-ADA7-A067AE4237EB}">
  <ds:schemaRefs>
    <ds:schemaRef ds:uri="http://schemas.microsoft.com/sharepoint/v3/contenttype/forms"/>
  </ds:schemaRefs>
</ds:datastoreItem>
</file>

<file path=customXml/itemProps4.xml><?xml version="1.0" encoding="utf-8"?>
<ds:datastoreItem xmlns:ds="http://schemas.openxmlformats.org/officeDocument/2006/customXml" ds:itemID="{DB58D12A-A992-4879-982B-C4C3FA74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AISE generic</Template>
  <TotalTime>1</TotalTime>
  <Pages>8</Pages>
  <Words>2397</Words>
  <Characters>13403</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Weber</dc:creator>
  <cp:keywords/>
  <dc:description/>
  <cp:lastModifiedBy>Alessandro D'Augusta Perna</cp:lastModifiedBy>
  <cp:revision>2</cp:revision>
  <dcterms:created xsi:type="dcterms:W3CDTF">2024-01-30T15:08:00Z</dcterms:created>
  <dcterms:modified xsi:type="dcterms:W3CDTF">2024-01-30T15:08:00Z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0x010100177F79C59A1A5847A686C34ED1E158D0</vt:lpwstr>
  </property>
  <property fmtid="{D5CDD505-2E9C-101B-9397-08002B2CF9AE}" pid="3" name="Order">
    <vt:r8>39682400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de2ca5c2344f459ddb98f20a14137fab51691b788218c5969146c3b0ec4946cd</vt:lpwstr>
  </property>
</Properties>
</file>