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AC5C" w14:textId="63194063" w:rsidR="005149A3" w:rsidRPr="005149A3" w:rsidRDefault="005149A3" w:rsidP="005149A3">
      <w:pPr>
        <w:spacing w:before="100" w:beforeAutospacing="1" w:after="100" w:afterAutospacing="1"/>
        <w:jc w:val="both"/>
        <w:rPr>
          <w:rFonts w:ascii="Times New Roman" w:hAnsi="Times New Roman" w:cs="Times New Roman"/>
          <w:lang w:val="et-EE"/>
        </w:rPr>
      </w:pPr>
      <w:r w:rsidRPr="005149A3">
        <w:rPr>
          <w:rFonts w:ascii="Times New Roman" w:hAnsi="Times New Roman" w:cs="Times New Roman"/>
          <w:lang w:val="et-EE"/>
        </w:rPr>
        <w:t xml:space="preserve">Eesti Keemiatööstuse Liidu esialgne sisend Kliimaseaduse </w:t>
      </w:r>
      <w:r w:rsidRPr="005149A3">
        <w:rPr>
          <w:rFonts w:ascii="Times New Roman" w:hAnsi="Times New Roman" w:cs="Times New Roman"/>
          <w:b/>
          <w:bCs/>
          <w:lang w:val="et-EE"/>
        </w:rPr>
        <w:t>ettevõtluse ja ressursikasutuse töörühma II kohtumisele 18.01.2024</w:t>
      </w:r>
    </w:p>
    <w:p w14:paraId="0EFA9215" w14:textId="4ADAB7B1" w:rsidR="005149A3" w:rsidRPr="005149A3" w:rsidRDefault="000E1738" w:rsidP="005149A3">
      <w:pPr>
        <w:spacing w:before="100" w:beforeAutospacing="1" w:after="100" w:afterAutospacing="1"/>
        <w:jc w:val="both"/>
        <w:rPr>
          <w:rFonts w:ascii="Times New Roman" w:hAnsi="Times New Roman" w:cs="Times New Roman"/>
          <w:lang w:val="et-EE"/>
        </w:rPr>
      </w:pPr>
      <w:r>
        <w:rPr>
          <w:rFonts w:ascii="Times New Roman" w:hAnsi="Times New Roman" w:cs="Times New Roman"/>
          <w:lang w:val="et-EE"/>
        </w:rPr>
        <w:t>17.08.2024</w:t>
      </w:r>
    </w:p>
    <w:p w14:paraId="0CBD253A" w14:textId="26AB26C1" w:rsidR="005149A3" w:rsidRPr="005149A3" w:rsidRDefault="00E0239C" w:rsidP="005149A3">
      <w:pPr>
        <w:spacing w:before="100" w:beforeAutospacing="1" w:after="100" w:afterAutospacing="1"/>
        <w:jc w:val="both"/>
        <w:rPr>
          <w:rFonts w:ascii="Times New Roman" w:hAnsi="Times New Roman" w:cs="Times New Roman"/>
          <w:color w:val="1F3864" w:themeColor="accent1" w:themeShade="80"/>
          <w:lang w:val="et-EE"/>
        </w:rPr>
      </w:pPr>
      <w:r w:rsidRPr="005149A3">
        <w:rPr>
          <w:rFonts w:ascii="Times New Roman" w:hAnsi="Times New Roman" w:cs="Times New Roman"/>
          <w:lang w:val="et-EE"/>
        </w:rPr>
        <w:t xml:space="preserve"> </w:t>
      </w:r>
      <w:r w:rsidR="005149A3" w:rsidRPr="005149A3">
        <w:rPr>
          <w:rFonts w:ascii="Times New Roman" w:hAnsi="Times New Roman" w:cs="Times New Roman"/>
          <w:b/>
          <w:bCs/>
          <w:color w:val="1F3864" w:themeColor="accent1" w:themeShade="80"/>
          <w:lang w:val="et-EE"/>
        </w:rPr>
        <w:t>Üldine märkus:</w:t>
      </w:r>
      <w:r w:rsidR="005149A3" w:rsidRPr="005149A3">
        <w:rPr>
          <w:rFonts w:ascii="Times New Roman" w:hAnsi="Times New Roman" w:cs="Times New Roman"/>
          <w:color w:val="1F3864" w:themeColor="accent1" w:themeShade="80"/>
          <w:lang w:val="et-EE"/>
        </w:rPr>
        <w:t xml:space="preserve"> Vajame veel formaadi täpsustust - kas tegeleme kliimaseadusega või kliimaarengukavaga, eesmärgiga jõuda kliimaneutraalsuseni 2050 aastaks. Seadus ja arengukava on oma ülesehituselt ja põhimõtetelt väga erinevad ja praegune protsess tundub arengukava tegemine? </w:t>
      </w:r>
    </w:p>
    <w:p w14:paraId="4F49E787" w14:textId="77777777" w:rsidR="005149A3" w:rsidRPr="005149A3" w:rsidRDefault="005149A3" w:rsidP="005149A3">
      <w:pPr>
        <w:spacing w:before="100" w:beforeAutospacing="1" w:after="100" w:afterAutospacing="1"/>
        <w:jc w:val="both"/>
        <w:rPr>
          <w:rFonts w:ascii="Times New Roman" w:hAnsi="Times New Roman" w:cs="Times New Roman"/>
          <w:color w:val="1F3864" w:themeColor="accent1" w:themeShade="80"/>
          <w:lang w:val="et-EE"/>
        </w:rPr>
      </w:pPr>
    </w:p>
    <w:p w14:paraId="61440E7E" w14:textId="77777777" w:rsidR="005149A3" w:rsidRPr="005149A3" w:rsidRDefault="005149A3" w:rsidP="005149A3">
      <w:pPr>
        <w:spacing w:before="100" w:beforeAutospacing="1" w:after="100" w:afterAutospacing="1"/>
        <w:jc w:val="both"/>
        <w:rPr>
          <w:rFonts w:ascii="Times New Roman" w:hAnsi="Times New Roman" w:cs="Times New Roman"/>
          <w:b/>
          <w:bCs/>
          <w:lang w:val="et-EE"/>
        </w:rPr>
      </w:pPr>
      <w:r w:rsidRPr="005149A3">
        <w:rPr>
          <w:rFonts w:ascii="Times New Roman" w:hAnsi="Times New Roman" w:cs="Times New Roman"/>
          <w:b/>
          <w:bCs/>
          <w:u w:val="single"/>
          <w:lang w:val="et-EE"/>
        </w:rPr>
        <w:t>Arutelu suunavad küsimused, millele enne kohtumist mõelda</w:t>
      </w:r>
    </w:p>
    <w:p w14:paraId="0AECD98F"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 xml:space="preserve">Mida riik peab tegema kliimaeesmärkide täitmise taustal, et anda ettevõtlussektorile kindlus investeeringute tegemiseks? </w:t>
      </w:r>
    </w:p>
    <w:p w14:paraId="3B62F800" w14:textId="77777777" w:rsidR="005149A3" w:rsidRPr="005149A3" w:rsidRDefault="005149A3" w:rsidP="005149A3">
      <w:pPr>
        <w:pStyle w:val="m-3256979043749884452msolistparagraph"/>
        <w:jc w:val="both"/>
        <w:rPr>
          <w:rFonts w:ascii="Times New Roman" w:hAnsi="Times New Roman" w:cs="Times New Roman"/>
          <w:b/>
          <w:bCs/>
          <w:iCs/>
          <w:color w:val="1F3864" w:themeColor="accent1" w:themeShade="80"/>
        </w:rPr>
      </w:pPr>
      <w:r w:rsidRPr="005149A3">
        <w:rPr>
          <w:rFonts w:ascii="Times New Roman" w:hAnsi="Times New Roman" w:cs="Times New Roman"/>
          <w:color w:val="1F3864" w:themeColor="accent1" w:themeShade="80"/>
        </w:rPr>
        <w:t xml:space="preserve">Eesti kliimaeesmärk ja selle saavutamise meetmed ei tohi seada ohtu Eesti riigi konkurentsivõime ja majanduse jätkusuutlikku arengut. </w:t>
      </w:r>
      <w:r w:rsidRPr="005149A3">
        <w:rPr>
          <w:rFonts w:ascii="Times New Roman" w:hAnsi="Times New Roman" w:cs="Times New Roman"/>
          <w:b/>
          <w:bCs/>
          <w:iCs/>
          <w:color w:val="1F3864" w:themeColor="accent1" w:themeShade="80"/>
        </w:rPr>
        <w:t>Eesti riik peab  arvestama ja seisma selle eest Euroopa Liidu tasandil, et meie panus kliima eesmärkide täitmisesse oleks proportsionaalne</w:t>
      </w:r>
    </w:p>
    <w:p w14:paraId="5ED0E28D"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6E28B3">
        <w:rPr>
          <w:rFonts w:ascii="Times New Roman" w:hAnsi="Times New Roman" w:cs="Times New Roman"/>
          <w:color w:val="1F3864" w:themeColor="accent1" w:themeShade="80"/>
        </w:rPr>
        <w:t>Ei ole õige seada eesmärke valdkondades, sektorites kus on toimiv Euroopa Liidu reeglistik ja kuhu oleme osa oma otsustusõigusest delegeerinud – ETS 1 on täna turupõhise loogikaga üles ehitatud) ja sinna täiendavalt riigil pole vaja sekkuda</w:t>
      </w:r>
      <w:r w:rsidRPr="005149A3">
        <w:rPr>
          <w:rFonts w:ascii="Times New Roman" w:hAnsi="Times New Roman" w:cs="Times New Roman"/>
          <w:color w:val="1F3864" w:themeColor="accent1" w:themeShade="80"/>
        </w:rPr>
        <w:t>.</w:t>
      </w:r>
    </w:p>
    <w:p w14:paraId="0E90312A" w14:textId="77777777" w:rsidR="005149A3" w:rsidRPr="005149A3" w:rsidRDefault="005149A3" w:rsidP="005149A3">
      <w:pPr>
        <w:pStyle w:val="m-3256979043749884452msolistparagraph"/>
        <w:jc w:val="both"/>
        <w:rPr>
          <w:rFonts w:ascii="Times New Roman" w:hAnsi="Times New Roman" w:cs="Times New Roman"/>
          <w:b/>
          <w:bCs/>
          <w:color w:val="1F3864" w:themeColor="accent1" w:themeShade="80"/>
        </w:rPr>
      </w:pPr>
      <w:r w:rsidRPr="005149A3">
        <w:rPr>
          <w:rFonts w:ascii="Times New Roman" w:hAnsi="Times New Roman" w:cs="Times New Roman"/>
          <w:color w:val="1F3864" w:themeColor="accent1" w:themeShade="80"/>
        </w:rPr>
        <w:t xml:space="preserve">Sektoraalsete eesmärkide seadmisel tuleb arvestada sektorite senist panust kasvuhoonegaaside vähendamisel, eesmärkide mõjusid sektori jätkusuutlikkusele ning mõjusid Eesti tarbijatele ja majandusele. </w:t>
      </w:r>
      <w:r w:rsidRPr="005149A3">
        <w:rPr>
          <w:rFonts w:ascii="Times New Roman" w:hAnsi="Times New Roman" w:cs="Times New Roman"/>
          <w:b/>
          <w:bCs/>
          <w:color w:val="1F3864" w:themeColor="accent1" w:themeShade="80"/>
        </w:rPr>
        <w:t>Me ei toeta ühe sektori või tegevusala eesmärkide mittetäitmise kompenseerimist teisele sektorile või tegevusalale täiendavate nõudmiste karmistamisega.</w:t>
      </w:r>
    </w:p>
    <w:p w14:paraId="4CBAC7FD"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u w:val="single"/>
        </w:rPr>
      </w:pPr>
      <w:r w:rsidRPr="005149A3">
        <w:rPr>
          <w:rFonts w:ascii="Times New Roman" w:hAnsi="Times New Roman" w:cs="Times New Roman"/>
          <w:color w:val="1F3864" w:themeColor="accent1" w:themeShade="80"/>
        </w:rPr>
        <w:t xml:space="preserve">Riik peaks sekkuma nii vähe kui võimalik ja kliimaseadus peab andma õiguskindluse inimestele ja majandusele, et ettenähtavus, investeerimiskindlus ja õigusselgus paraneb </w:t>
      </w:r>
      <w:r w:rsidRPr="005149A3">
        <w:rPr>
          <w:rFonts w:ascii="Times New Roman" w:hAnsi="Times New Roman" w:cs="Times New Roman"/>
          <w:color w:val="1F3864" w:themeColor="accent1" w:themeShade="80"/>
          <w:u w:val="single"/>
        </w:rPr>
        <w:t>mitte ei anna riigile võimalust kliimaseaduse kaudu hakata oma äranägemise järgi veel rohkem sekkuma</w:t>
      </w:r>
    </w:p>
    <w:p w14:paraId="34970370"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Milline peaks olema Kliimaseaduse majandusmõõdik?</w:t>
      </w:r>
    </w:p>
    <w:p w14:paraId="206BA0F4"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Kui kliimaneutraalsuseni jõudmisel tagatakse majanduse konkurentsivõime ja selle parendamine siis see  mõõdik, mis peab sellele vastavust mõõtma on majandusteadlaste välja töötada.  Mõõtma ei peaks EU ETS1 ja ETS2 sektoreid. Näiteks oluline mõõdik võiks  on väliskaubandusbilanss ja välisinvesteeringute mahud. Sekkumised näitavad et mõõdik on õige? T</w:t>
      </w:r>
    </w:p>
    <w:p w14:paraId="5C0A6C22"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Teeme ettepaneku seada kliimaseaduse eesmärgiks konkurentsivõime ja ekspordi kasvu, mida mõõdetakse positiivse väliskaubandusbilansi saavutamise ning kaupade ja teenuste ekspordimahu kasvatamisega vastavalt Eesti riigi strateegilistele dokumentidele.</w:t>
      </w:r>
    </w:p>
    <w:p w14:paraId="16E336BC"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lastRenderedPageBreak/>
        <w:t>Mida on vaja, et rohekütuste, -energia ja tooraine kasutuselevõttu soodustada?</w:t>
      </w:r>
    </w:p>
    <w:p w14:paraId="25B790BB"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 xml:space="preserve">Rohekütuse ja tooraine definitsioon vajab selgitust. Eelkõige uute (rohe)kütuste, toorainete kasutusele võtmisel ja soodustamisel tuleks  hinnata elutsükli CO2 mõjusid ja neid kajastada kliimaseaduse või eriseaduste mõjuhinnangutes. Rohekütusete kasutuselevõtuga energia võimalikku  hinnatõusu  on kindlasti vaja esialgu  subsideerida sotsiaalselt haavatavatele  gruppide nii samuti nagu ka ETS2 mõju elamu ja fossiilse kütuse sektorile. Ei oska prognoosida fossiilset energiast/kütuste  väljumisel  tekkivat  mõju. </w:t>
      </w:r>
    </w:p>
    <w:p w14:paraId="0E3825E3"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Kas väiksema ressursiga on võimalik tagada lisandväärtuse kasv?</w:t>
      </w:r>
    </w:p>
    <w:p w14:paraId="1B1221AD"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Ei ole Kliimaseaduse kui raamseaduse  teema.</w:t>
      </w:r>
    </w:p>
    <w:p w14:paraId="21A2A3C5"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Milliseid meetmeid, otsuseid, samme vajavad tööstused selleks, et üleminekut kliimasõbralikule majandamisele teha?</w:t>
      </w:r>
    </w:p>
    <w:p w14:paraId="77717FB3" w14:textId="77777777" w:rsidR="005149A3" w:rsidRPr="005149A3" w:rsidRDefault="005149A3" w:rsidP="005149A3">
      <w:pPr>
        <w:pStyle w:val="Vahedeta"/>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 xml:space="preserve">Jätkuvalt puudub selge eesmärk kliimaseadusel – kas kliimaneutraalsus, konkurentsivõimelise majandusega kliimaneutraalsus, missugune roll ja millisest metoodikast lähtuvalt on süsiniku </w:t>
      </w:r>
      <w:proofErr w:type="spellStart"/>
      <w:r w:rsidRPr="005149A3">
        <w:rPr>
          <w:rFonts w:ascii="Times New Roman" w:hAnsi="Times New Roman" w:cs="Times New Roman"/>
          <w:color w:val="1F3864" w:themeColor="accent1" w:themeShade="80"/>
        </w:rPr>
        <w:t>sidujatel</w:t>
      </w:r>
      <w:proofErr w:type="spellEnd"/>
      <w:r w:rsidRPr="005149A3">
        <w:rPr>
          <w:rFonts w:ascii="Times New Roman" w:hAnsi="Times New Roman" w:cs="Times New Roman"/>
          <w:color w:val="1F3864" w:themeColor="accent1" w:themeShade="80"/>
        </w:rPr>
        <w:t>, et kompenseerida heidet. Kas Eesti kliimaseadus tegeleb oma CO2 jalajälje ja keskkonnamõjudega sh elurikkuse kaitse ainult Eesti piirides või vaatab see suuremat pilti?  Sellisel juhul tuleks kaaluda, et panna seadusesse kohustus kirja kui palju riik kohustab maksma enim mõjutatud piirkondades kliimamuutuste leevendamisesse ja kohanemisesse.</w:t>
      </w:r>
    </w:p>
    <w:p w14:paraId="583CECA3" w14:textId="77777777" w:rsidR="005149A3" w:rsidRPr="005149A3" w:rsidRDefault="005149A3" w:rsidP="005149A3">
      <w:pPr>
        <w:pStyle w:val="Vahedeta"/>
        <w:numPr>
          <w:ilvl w:val="0"/>
          <w:numId w:val="17"/>
        </w:numPr>
        <w:rPr>
          <w:rFonts w:ascii="Times New Roman" w:hAnsi="Times New Roman" w:cs="Times New Roman"/>
          <w:b/>
          <w:bCs/>
          <w:color w:val="1F3864" w:themeColor="accent1" w:themeShade="80"/>
          <w:u w:val="single"/>
        </w:rPr>
      </w:pPr>
      <w:r w:rsidRPr="005149A3">
        <w:rPr>
          <w:rFonts w:ascii="Times New Roman" w:hAnsi="Times New Roman" w:cs="Times New Roman"/>
          <w:b/>
          <w:bCs/>
          <w:color w:val="1F3864" w:themeColor="accent1" w:themeShade="80"/>
        </w:rPr>
        <w:t xml:space="preserve">Sektorite panusel tuleb arvestada rahvusvahelist konkurentsi st need kus sihturud on globaalsed, siis tuleb arvestada sealseid suundumusi ja eesmärke, kus on lokaalsed siis sealseid. </w:t>
      </w:r>
    </w:p>
    <w:p w14:paraId="344F17BC" w14:textId="77777777" w:rsidR="005149A3" w:rsidRPr="005149A3" w:rsidRDefault="005149A3" w:rsidP="005149A3">
      <w:pPr>
        <w:pStyle w:val="Vahedeta"/>
        <w:rPr>
          <w:rFonts w:ascii="Times New Roman" w:hAnsi="Times New Roman" w:cs="Times New Roman"/>
          <w:color w:val="1F3864" w:themeColor="accent1" w:themeShade="80"/>
          <w:u w:val="single"/>
        </w:rPr>
      </w:pPr>
      <w:r w:rsidRPr="005149A3">
        <w:rPr>
          <w:rFonts w:ascii="Times New Roman" w:hAnsi="Times New Roman" w:cs="Times New Roman"/>
          <w:color w:val="1F3864" w:themeColor="accent1" w:themeShade="80"/>
          <w:u w:val="single"/>
        </w:rPr>
        <w:t>EList väljapoole eksportivate tööstuste jaoks seada õiglased kohustused, et ei kaotaks tööstuse konkurentsivõime või ei toimuks enneaegset tööstuse sulgemist. Otsuste juures tuleb hinnata, kas seatav kohustus ka tegelikult globaalseid heitkoguseid vähendab või toimub tootmise asendamine ilma CO2 vähendamiseta</w:t>
      </w:r>
    </w:p>
    <w:p w14:paraId="594E5E10" w14:textId="77777777" w:rsidR="005149A3" w:rsidRPr="005149A3" w:rsidRDefault="005149A3" w:rsidP="005149A3">
      <w:pPr>
        <w:pStyle w:val="Vahedeta"/>
        <w:rPr>
          <w:rFonts w:ascii="Times New Roman" w:hAnsi="Times New Roman" w:cs="Times New Roman"/>
          <w:color w:val="1F3864" w:themeColor="accent1" w:themeShade="80"/>
          <w:u w:val="single"/>
        </w:rPr>
      </w:pPr>
    </w:p>
    <w:p w14:paraId="2E7B72B1" w14:textId="77777777" w:rsidR="005149A3" w:rsidRPr="00186F6A" w:rsidRDefault="005149A3" w:rsidP="005149A3">
      <w:pPr>
        <w:pStyle w:val="Vahedeta"/>
        <w:numPr>
          <w:ilvl w:val="0"/>
          <w:numId w:val="17"/>
        </w:numPr>
        <w:rPr>
          <w:rFonts w:ascii="Times New Roman" w:hAnsi="Times New Roman" w:cs="Times New Roman"/>
          <w:b/>
          <w:bCs/>
          <w:iCs/>
          <w:color w:val="1F3864" w:themeColor="accent1" w:themeShade="80"/>
        </w:rPr>
      </w:pPr>
      <w:r w:rsidRPr="00186F6A">
        <w:rPr>
          <w:rFonts w:ascii="Times New Roman" w:hAnsi="Times New Roman" w:cs="Times New Roman"/>
          <w:b/>
          <w:bCs/>
          <w:iCs/>
          <w:color w:val="1F3864" w:themeColor="accent1" w:themeShade="80"/>
        </w:rPr>
        <w:t xml:space="preserve">Riik peab hüvitama kliima kaitse eesmärgil ettevõtete tegevuse ennetähtaegse lõpetamise tulemusel ettevõtetele tekkiva kahju. </w:t>
      </w:r>
    </w:p>
    <w:p w14:paraId="50EBB2D6" w14:textId="77777777" w:rsidR="005149A3" w:rsidRPr="00186F6A" w:rsidRDefault="005149A3" w:rsidP="005149A3">
      <w:pPr>
        <w:pStyle w:val="Vahedeta"/>
        <w:rPr>
          <w:rFonts w:ascii="Times New Roman" w:hAnsi="Times New Roman" w:cs="Times New Roman"/>
          <w:iCs/>
          <w:color w:val="1F3864" w:themeColor="accent1" w:themeShade="80"/>
        </w:rPr>
      </w:pPr>
      <w:r w:rsidRPr="00186F6A">
        <w:rPr>
          <w:rFonts w:ascii="Times New Roman" w:hAnsi="Times New Roman" w:cs="Times New Roman"/>
          <w:iCs/>
          <w:color w:val="1F3864" w:themeColor="accent1" w:themeShade="80"/>
        </w:rPr>
        <w:t>Kui kliimaseaduse tulemusel on ettevõtjad kohustatud või sunnitud oma tegevuse õiguspäraselt oodatust varem lõpetama ja selline lõpetamine põhjustab ettevõtjatele kahju, tuleb kliimaseaduses ette näha ka selge põhimõte, et vastav kahju tuleb hüvitada koheselt ja õiglaselt. Riigi poolt tekitatud kahju hüvitamise kohustus on Euroopa Liidus üldtunnustatud õiguspõhimõte ja vastava kohustuse paneb riigile ka põhiseadus</w:t>
      </w:r>
      <w:r w:rsidRPr="00186F6A">
        <w:rPr>
          <w:rFonts w:ascii="Times New Roman" w:hAnsi="Times New Roman" w:cs="Times New Roman"/>
          <w:iCs/>
          <w:color w:val="1F3864" w:themeColor="accent1" w:themeShade="80"/>
          <w:u w:val="single"/>
        </w:rPr>
        <w:t>. Riik peab välja töötama ka eraldi seadusega kahjude hüvitamise mehhanismi kliimaseaduse põhimõtete rakendamiseks</w:t>
      </w:r>
      <w:r w:rsidRPr="00186F6A">
        <w:rPr>
          <w:rFonts w:ascii="Times New Roman" w:hAnsi="Times New Roman" w:cs="Times New Roman"/>
          <w:iCs/>
          <w:color w:val="1F3864" w:themeColor="accent1" w:themeShade="80"/>
        </w:rPr>
        <w:t>.</w:t>
      </w:r>
    </w:p>
    <w:p w14:paraId="7D38A0F8" w14:textId="77777777" w:rsidR="005149A3" w:rsidRPr="005149A3" w:rsidRDefault="005149A3" w:rsidP="005149A3">
      <w:pPr>
        <w:pStyle w:val="m-3256979043749884452msolistparagraph"/>
        <w:numPr>
          <w:ilvl w:val="0"/>
          <w:numId w:val="17"/>
        </w:numPr>
        <w:jc w:val="both"/>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 xml:space="preserve">Kliimaseaduse raames eraldi põlevkivi perspektiivi käsitlemine ei ole põhjendatud. </w:t>
      </w:r>
    </w:p>
    <w:p w14:paraId="00843326"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Süsiniku sidumise ja kasutamise tehnoloogiaid arendatakse ning karmistuvas kliimapoliitikas nõudlus nende tehnoloogiate järele kasvab. Seetõttu võib põlevkivi kasutamise jätkamine kooskõlas kõigi kliimaneutraalsuse eesmärkidega olla võimalik ka pärast 2050 aastat. Kliimaseadus või muud õigusaktid ei peaks seetõttu ette nägema põlevkivitööstuse keeldu enne ega pärast 2050. aastat, kui on võimalik tagada süsiniku sidumine vajalikus koguses. Kehtivates arengukavades ja teistes strateegilistes dokumentides toodud mõjuhinnanguid ja eesmärke ei tohi ignoreerida.</w:t>
      </w:r>
    </w:p>
    <w:p w14:paraId="6AAADF64" w14:textId="77777777" w:rsidR="005149A3" w:rsidRPr="00DC4A17" w:rsidRDefault="005149A3" w:rsidP="005149A3">
      <w:pPr>
        <w:pStyle w:val="m-3256979043749884452msolistparagraph"/>
        <w:numPr>
          <w:ilvl w:val="0"/>
          <w:numId w:val="17"/>
        </w:numPr>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lastRenderedPageBreak/>
        <w:t xml:space="preserve">Eesti Keemiatööstuse Liit  on alustanud </w:t>
      </w:r>
      <w:r w:rsidRPr="00DC4A17">
        <w:rPr>
          <w:rFonts w:ascii="Times New Roman" w:hAnsi="Times New Roman" w:cs="Times New Roman"/>
          <w:b/>
          <w:bCs/>
          <w:color w:val="1F3864" w:themeColor="accent1" w:themeShade="80"/>
        </w:rPr>
        <w:t>Eesti keemiatööstuse jaoks 2050 aasta eesmärkide saavutamiseks üleminekutee</w:t>
      </w:r>
      <w:r w:rsidRPr="005149A3">
        <w:rPr>
          <w:rFonts w:ascii="Times New Roman" w:hAnsi="Times New Roman" w:cs="Times New Roman"/>
          <w:b/>
          <w:bCs/>
          <w:color w:val="1F3864" w:themeColor="accent1" w:themeShade="80"/>
        </w:rPr>
        <w:t xml:space="preserve"> koostamist </w:t>
      </w:r>
    </w:p>
    <w:p w14:paraId="3848EE13" w14:textId="77777777" w:rsidR="005149A3" w:rsidRPr="005149A3" w:rsidRDefault="005149A3" w:rsidP="005149A3">
      <w:pPr>
        <w:pStyle w:val="Vahedeta"/>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2050 aasta rohelise kokkuleppe „</w:t>
      </w:r>
      <w:r w:rsidRPr="005149A3">
        <w:rPr>
          <w:rFonts w:ascii="Times New Roman" w:hAnsi="Times New Roman" w:cs="Times New Roman"/>
          <w:b/>
          <w:bCs/>
          <w:color w:val="1F3864" w:themeColor="accent1" w:themeShade="80"/>
        </w:rPr>
        <w:t>topelt-kaksikeesmärk</w:t>
      </w:r>
      <w:r w:rsidRPr="005149A3">
        <w:rPr>
          <w:rFonts w:ascii="Times New Roman" w:hAnsi="Times New Roman" w:cs="Times New Roman"/>
          <w:color w:val="1F3864" w:themeColor="accent1" w:themeShade="80"/>
        </w:rPr>
        <w:t>“: sisaldab endas nelja suurt üleminekut:</w:t>
      </w:r>
    </w:p>
    <w:p w14:paraId="60E21FAC" w14:textId="77777777" w:rsidR="005149A3" w:rsidRPr="005149A3" w:rsidRDefault="005149A3" w:rsidP="005149A3">
      <w:pPr>
        <w:pStyle w:val="Vahedeta"/>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 xml:space="preserve">a)muutumine digitaalseks; </w:t>
      </w:r>
    </w:p>
    <w:p w14:paraId="5DE60258" w14:textId="77777777" w:rsidR="005149A3" w:rsidRPr="005149A3" w:rsidRDefault="005149A3" w:rsidP="005149A3">
      <w:pPr>
        <w:pStyle w:val="Vahedeta"/>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b)kliimaneutraalseks;</w:t>
      </w:r>
    </w:p>
    <w:p w14:paraId="5BF4C348" w14:textId="77777777" w:rsidR="005149A3" w:rsidRPr="005149A3" w:rsidRDefault="005149A3" w:rsidP="005149A3">
      <w:pPr>
        <w:pStyle w:val="Vahedeta"/>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c) ringseks ja</w:t>
      </w:r>
    </w:p>
    <w:p w14:paraId="57F48EC6" w14:textId="77777777" w:rsidR="005149A3" w:rsidRPr="005149A3" w:rsidRDefault="005149A3" w:rsidP="005149A3">
      <w:pPr>
        <w:pStyle w:val="Vahedeta"/>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 xml:space="preserve">d)  üleminek kemikaalide ohutule ja kestlikule disainile. </w:t>
      </w:r>
    </w:p>
    <w:p w14:paraId="5C16382A" w14:textId="77777777" w:rsidR="005149A3" w:rsidRPr="005149A3" w:rsidRDefault="005149A3" w:rsidP="005149A3">
      <w:pPr>
        <w:pStyle w:val="Vahedeta"/>
        <w:rPr>
          <w:rFonts w:ascii="Times New Roman" w:hAnsi="Times New Roman" w:cs="Times New Roman"/>
          <w:b/>
          <w:bCs/>
          <w:color w:val="1F3864" w:themeColor="accent1" w:themeShade="80"/>
        </w:rPr>
      </w:pPr>
      <w:r w:rsidRPr="005149A3">
        <w:rPr>
          <w:rFonts w:ascii="Times New Roman" w:hAnsi="Times New Roman" w:cs="Times New Roman"/>
          <w:color w:val="1F3864" w:themeColor="accent1" w:themeShade="80"/>
        </w:rPr>
        <w:t>Üleminekuteed on muutumas ka ettevõtete jätkusuutlikkuse aruandluse nurgakiviks ja muutuvad üha enam keemiaettevõtete nn. tegevuslitsentsiks, nagu näitab uus tööstusheite direktiiv. Kuigi Eesti üleminekuteed peavad kajastama ELi</w:t>
      </w:r>
      <w:r w:rsidRPr="005149A3">
        <w:rPr>
          <w:rFonts w:ascii="Times New Roman" w:hAnsi="Times New Roman" w:cs="Times New Roman"/>
          <w:i/>
          <w:iCs/>
          <w:color w:val="1F3864" w:themeColor="accent1" w:themeShade="80"/>
        </w:rPr>
        <w:t xml:space="preserve">  </w:t>
      </w:r>
      <w:hyperlink r:id="rId7" w:history="1">
        <w:proofErr w:type="spellStart"/>
        <w:r w:rsidRPr="005149A3">
          <w:rPr>
            <w:rStyle w:val="Hperlink"/>
            <w:rFonts w:ascii="Times New Roman" w:hAnsi="Times New Roman" w:cs="Times New Roman"/>
            <w:b/>
            <w:bCs/>
            <w:i/>
            <w:iCs/>
            <w:color w:val="1F3864" w:themeColor="accent1" w:themeShade="80"/>
          </w:rPr>
          <w:t>Transition</w:t>
        </w:r>
        <w:proofErr w:type="spellEnd"/>
        <w:r w:rsidRPr="005149A3">
          <w:rPr>
            <w:rStyle w:val="Hperlink"/>
            <w:rFonts w:ascii="Times New Roman" w:hAnsi="Times New Roman" w:cs="Times New Roman"/>
            <w:b/>
            <w:bCs/>
            <w:i/>
            <w:iCs/>
            <w:color w:val="1F3864" w:themeColor="accent1" w:themeShade="80"/>
          </w:rPr>
          <w:t xml:space="preserve"> </w:t>
        </w:r>
        <w:proofErr w:type="spellStart"/>
        <w:r w:rsidRPr="005149A3">
          <w:rPr>
            <w:rStyle w:val="Hperlink"/>
            <w:rFonts w:ascii="Times New Roman" w:hAnsi="Times New Roman" w:cs="Times New Roman"/>
            <w:b/>
            <w:bCs/>
            <w:i/>
            <w:iCs/>
            <w:color w:val="1F3864" w:themeColor="accent1" w:themeShade="80"/>
          </w:rPr>
          <w:t>Pathway</w:t>
        </w:r>
        <w:proofErr w:type="spellEnd"/>
        <w:r w:rsidRPr="005149A3">
          <w:rPr>
            <w:rStyle w:val="Hperlink"/>
            <w:rFonts w:ascii="Times New Roman" w:hAnsi="Times New Roman" w:cs="Times New Roman"/>
            <w:b/>
            <w:bCs/>
            <w:i/>
            <w:iCs/>
            <w:color w:val="1F3864" w:themeColor="accent1" w:themeShade="80"/>
          </w:rPr>
          <w:t xml:space="preserve"> </w:t>
        </w:r>
        <w:proofErr w:type="spellStart"/>
        <w:r w:rsidRPr="005149A3">
          <w:rPr>
            <w:rStyle w:val="Hperlink"/>
            <w:rFonts w:ascii="Times New Roman" w:hAnsi="Times New Roman" w:cs="Times New Roman"/>
            <w:b/>
            <w:bCs/>
            <w:i/>
            <w:iCs/>
            <w:color w:val="1F3864" w:themeColor="accent1" w:themeShade="80"/>
          </w:rPr>
          <w:t>for</w:t>
        </w:r>
        <w:proofErr w:type="spellEnd"/>
        <w:r w:rsidRPr="005149A3">
          <w:rPr>
            <w:rStyle w:val="Hperlink"/>
            <w:rFonts w:ascii="Times New Roman" w:hAnsi="Times New Roman" w:cs="Times New Roman"/>
            <w:b/>
            <w:bCs/>
            <w:i/>
            <w:iCs/>
            <w:color w:val="1F3864" w:themeColor="accent1" w:themeShade="80"/>
          </w:rPr>
          <w:t xml:space="preserve"> </w:t>
        </w:r>
        <w:proofErr w:type="spellStart"/>
        <w:r w:rsidRPr="005149A3">
          <w:rPr>
            <w:rStyle w:val="Hperlink"/>
            <w:rFonts w:ascii="Times New Roman" w:hAnsi="Times New Roman" w:cs="Times New Roman"/>
            <w:b/>
            <w:bCs/>
            <w:i/>
            <w:iCs/>
            <w:color w:val="1F3864" w:themeColor="accent1" w:themeShade="80"/>
          </w:rPr>
          <w:t>the</w:t>
        </w:r>
        <w:proofErr w:type="spellEnd"/>
        <w:r w:rsidRPr="005149A3">
          <w:rPr>
            <w:rStyle w:val="Hperlink"/>
            <w:rFonts w:ascii="Times New Roman" w:hAnsi="Times New Roman" w:cs="Times New Roman"/>
            <w:b/>
            <w:bCs/>
            <w:i/>
            <w:iCs/>
            <w:color w:val="1F3864" w:themeColor="accent1" w:themeShade="80"/>
          </w:rPr>
          <w:t xml:space="preserve"> </w:t>
        </w:r>
        <w:proofErr w:type="spellStart"/>
        <w:r w:rsidRPr="005149A3">
          <w:rPr>
            <w:rStyle w:val="Hperlink"/>
            <w:rFonts w:ascii="Times New Roman" w:hAnsi="Times New Roman" w:cs="Times New Roman"/>
            <w:b/>
            <w:bCs/>
            <w:i/>
            <w:iCs/>
            <w:color w:val="1F3864" w:themeColor="accent1" w:themeShade="80"/>
          </w:rPr>
          <w:t>Chemical</w:t>
        </w:r>
        <w:proofErr w:type="spellEnd"/>
        <w:r w:rsidRPr="005149A3">
          <w:rPr>
            <w:rStyle w:val="Hperlink"/>
            <w:rFonts w:ascii="Times New Roman" w:hAnsi="Times New Roman" w:cs="Times New Roman"/>
            <w:b/>
            <w:bCs/>
            <w:i/>
            <w:iCs/>
            <w:color w:val="1F3864" w:themeColor="accent1" w:themeShade="80"/>
          </w:rPr>
          <w:t xml:space="preserve"> Industry</w:t>
        </w:r>
      </w:hyperlink>
      <w:r w:rsidRPr="005149A3">
        <w:rPr>
          <w:rFonts w:ascii="Times New Roman" w:hAnsi="Times New Roman" w:cs="Times New Roman"/>
          <w:i/>
          <w:iCs/>
          <w:color w:val="1F3864" w:themeColor="accent1" w:themeShade="80"/>
        </w:rPr>
        <w:t xml:space="preserve"> </w:t>
      </w:r>
      <w:r w:rsidRPr="005149A3">
        <w:rPr>
          <w:rFonts w:ascii="Times New Roman" w:hAnsi="Times New Roman" w:cs="Times New Roman"/>
          <w:color w:val="1F3864" w:themeColor="accent1" w:themeShade="80"/>
        </w:rPr>
        <w:t>eesmärke ja sisu, peaks see võtma arvesse ka meie riiklikul tasandil olemasolevaid algatusi , eripärasid ning riiklike arengukavasid.</w:t>
      </w:r>
    </w:p>
    <w:p w14:paraId="5B759539" w14:textId="77777777" w:rsidR="005149A3" w:rsidRPr="005149A3" w:rsidRDefault="005149A3" w:rsidP="005149A3">
      <w:pPr>
        <w:jc w:val="both"/>
        <w:rPr>
          <w:rFonts w:ascii="Times New Roman" w:hAnsi="Times New Roman" w:cs="Times New Roman"/>
          <w:color w:val="1F3864" w:themeColor="accent1" w:themeShade="80"/>
          <w:lang w:val="fi-FI"/>
        </w:rPr>
      </w:pPr>
      <w:r w:rsidRPr="005149A3">
        <w:rPr>
          <w:rFonts w:ascii="Times New Roman" w:hAnsi="Times New Roman" w:cs="Times New Roman"/>
          <w:color w:val="1F3864" w:themeColor="accent1" w:themeShade="80"/>
          <w:sz w:val="22"/>
          <w:szCs w:val="22"/>
          <w:lang w:val="et-EE"/>
        </w:rPr>
        <w:t>Üleminekutee väljatöötamine võimaldab meil tuvastada, kus puuduvad tingimused ümberkujundamisprojektidesse investeerimiseks. Järgmine poliitiline tsükkel  2024-203 on meie tööstuse ümberkujunemise jaoks otsustav ajastu</w:t>
      </w:r>
      <w:r w:rsidRPr="005149A3">
        <w:rPr>
          <w:rFonts w:ascii="Times New Roman" w:hAnsi="Times New Roman" w:cs="Times New Roman"/>
          <w:color w:val="1F3864" w:themeColor="accent1" w:themeShade="80"/>
          <w:lang w:val="fi-FI"/>
        </w:rPr>
        <w:t>.</w:t>
      </w:r>
      <w:r w:rsidRPr="005149A3">
        <w:rPr>
          <w:rFonts w:ascii="Times New Roman" w:hAnsi="Times New Roman" w:cs="Times New Roman"/>
          <w:color w:val="1F3864" w:themeColor="accent1" w:themeShade="80"/>
          <w:sz w:val="22"/>
          <w:szCs w:val="22"/>
          <w:lang w:val="et-EE"/>
        </w:rPr>
        <w:t xml:space="preserve"> </w:t>
      </w:r>
    </w:p>
    <w:p w14:paraId="48EA901C"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 xml:space="preserve">Kuidas edendada rohetehnoloogiate/roheliste tööstusharude teket ja innovatsiooni olemasolevates? </w:t>
      </w:r>
    </w:p>
    <w:p w14:paraId="69A76B4B" w14:textId="77777777" w:rsidR="005149A3" w:rsidRPr="005149A3" w:rsidRDefault="005149A3" w:rsidP="005149A3">
      <w:pPr>
        <w:pStyle w:val="m-3256979043749884452msolistparagraph"/>
        <w:ind w:left="360"/>
        <w:jc w:val="both"/>
        <w:rPr>
          <w:rFonts w:ascii="Times New Roman" w:hAnsi="Times New Roman" w:cs="Times New Roman"/>
          <w:b/>
          <w:bCs/>
          <w:color w:val="1F3864" w:themeColor="accent1" w:themeShade="80"/>
        </w:rPr>
      </w:pPr>
      <w:r w:rsidRPr="005149A3">
        <w:rPr>
          <w:rFonts w:ascii="Times New Roman" w:hAnsi="Times New Roman" w:cs="Times New Roman"/>
          <w:color w:val="1F3864" w:themeColor="accent1" w:themeShade="80"/>
        </w:rPr>
        <w:t xml:space="preserve">Kliimaseaduse teekaart ja eesmärk peavad olema tehnoloogiliselt realistlikult saavutatavad võttes arvesse aega, mis kulub tehnoloogia arendamiseks ja juurutamiseks. </w:t>
      </w:r>
      <w:r w:rsidRPr="005149A3">
        <w:rPr>
          <w:rFonts w:ascii="Times New Roman" w:hAnsi="Times New Roman" w:cs="Times New Roman"/>
          <w:b/>
          <w:bCs/>
          <w:color w:val="1F3864" w:themeColor="accent1" w:themeShade="80"/>
        </w:rPr>
        <w:t>Soodustada tuleb uute tehnoloogiate juurutamist mitte ainult nende välja mõtlemist.</w:t>
      </w:r>
    </w:p>
    <w:p w14:paraId="56CC1661" w14:textId="77777777" w:rsidR="005149A3" w:rsidRPr="005149A3" w:rsidRDefault="005149A3" w:rsidP="005149A3">
      <w:pPr>
        <w:pStyle w:val="m-3256979043749884452msolistparagraph"/>
        <w:ind w:left="720"/>
        <w:jc w:val="both"/>
        <w:rPr>
          <w:rFonts w:ascii="Times New Roman" w:hAnsi="Times New Roman" w:cs="Times New Roman"/>
          <w:b/>
          <w:bCs/>
        </w:rPr>
      </w:pPr>
      <w:r w:rsidRPr="005149A3">
        <w:rPr>
          <w:rFonts w:ascii="Times New Roman" w:hAnsi="Times New Roman" w:cs="Times New Roman"/>
          <w:b/>
          <w:bCs/>
        </w:rPr>
        <w:t>Millised on takistused üleminekul (nii regulatiivsed, maksusüsteemist tulenevad kui muud)?</w:t>
      </w:r>
    </w:p>
    <w:p w14:paraId="6E8363EC" w14:textId="77777777" w:rsidR="005149A3" w:rsidRPr="005149A3" w:rsidRDefault="005149A3" w:rsidP="005149A3">
      <w:pPr>
        <w:pStyle w:val="m-3256979043749884452msolistparagraph"/>
        <w:jc w:val="both"/>
        <w:rPr>
          <w:rFonts w:ascii="Times New Roman" w:hAnsi="Times New Roman" w:cs="Times New Roman"/>
          <w:b/>
          <w:bCs/>
          <w:color w:val="1F3864" w:themeColor="accent1" w:themeShade="80"/>
        </w:rPr>
      </w:pPr>
      <w:r w:rsidRPr="005149A3">
        <w:rPr>
          <w:rFonts w:ascii="Times New Roman" w:hAnsi="Times New Roman" w:cs="Times New Roman"/>
          <w:color w:val="1F3864" w:themeColor="accent1" w:themeShade="80"/>
        </w:rPr>
        <w:t xml:space="preserve">Regulatiivsete otsustega tööstuste sulgemisel tuleb kahju kompenseerida. </w:t>
      </w:r>
      <w:r w:rsidRPr="005149A3">
        <w:rPr>
          <w:rFonts w:ascii="Times New Roman" w:hAnsi="Times New Roman" w:cs="Times New Roman"/>
          <w:b/>
          <w:bCs/>
          <w:color w:val="1F3864" w:themeColor="accent1" w:themeShade="80"/>
        </w:rPr>
        <w:t>Muud takistused on eriseaduste teema.</w:t>
      </w:r>
    </w:p>
    <w:p w14:paraId="419D4906" w14:textId="77777777" w:rsidR="005149A3" w:rsidRPr="005149A3" w:rsidRDefault="005149A3" w:rsidP="005149A3">
      <w:pPr>
        <w:pStyle w:val="m-3256979043749884452msolistparagraph"/>
        <w:numPr>
          <w:ilvl w:val="0"/>
          <w:numId w:val="16"/>
        </w:numPr>
        <w:jc w:val="both"/>
        <w:rPr>
          <w:rFonts w:ascii="Times New Roman" w:hAnsi="Times New Roman" w:cs="Times New Roman"/>
          <w:b/>
          <w:bCs/>
        </w:rPr>
      </w:pPr>
      <w:r w:rsidRPr="005149A3">
        <w:rPr>
          <w:rFonts w:ascii="Times New Roman" w:hAnsi="Times New Roman" w:cs="Times New Roman"/>
          <w:b/>
          <w:bCs/>
        </w:rPr>
        <w:t>Millised on valdkonnad/taristuinvesteeringud mis on kriitiliselt vajalikud selleks, et toetada ettevõtete/tööstuse üleminekut?</w:t>
      </w:r>
    </w:p>
    <w:p w14:paraId="4A07416C" w14:textId="77777777" w:rsidR="005149A3" w:rsidRPr="005149A3" w:rsidRDefault="005149A3" w:rsidP="005149A3">
      <w:pPr>
        <w:pStyle w:val="m-3256979043749884452msolistparagraph"/>
        <w:ind w:left="360"/>
        <w:jc w:val="both"/>
        <w:rPr>
          <w:rFonts w:ascii="Times New Roman" w:hAnsi="Times New Roman" w:cs="Times New Roman"/>
          <w:color w:val="1F3864" w:themeColor="accent1" w:themeShade="80"/>
        </w:rPr>
      </w:pPr>
      <w:r w:rsidRPr="005149A3">
        <w:rPr>
          <w:rFonts w:ascii="Times New Roman" w:hAnsi="Times New Roman" w:cs="Times New Roman"/>
          <w:b/>
          <w:bCs/>
          <w:color w:val="1F3864" w:themeColor="accent1" w:themeShade="80"/>
        </w:rPr>
        <w:t>Ei ole Kliimaseaduse teema,</w:t>
      </w:r>
      <w:r w:rsidRPr="005149A3">
        <w:rPr>
          <w:rFonts w:ascii="Times New Roman" w:hAnsi="Times New Roman" w:cs="Times New Roman"/>
          <w:color w:val="1F3864" w:themeColor="accent1" w:themeShade="80"/>
        </w:rPr>
        <w:t xml:space="preserve"> vaid riigi loodud või kliimaeesmärkide täitmist toetava  ettevõtluskeskkonna teema. </w:t>
      </w:r>
    </w:p>
    <w:p w14:paraId="1365A8B3" w14:textId="32140BA0" w:rsidR="005149A3" w:rsidRPr="005149A3" w:rsidRDefault="005149A3" w:rsidP="005149A3">
      <w:pPr>
        <w:pStyle w:val="m-3256979043749884452msolistparagraph"/>
        <w:jc w:val="both"/>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Juhime tähelepanu et  üleminekuks kliimaneutraalsele</w:t>
      </w:r>
      <w:r w:rsidRPr="005149A3">
        <w:rPr>
          <w:rFonts w:ascii="Times New Roman" w:hAnsi="Times New Roman" w:cs="Times New Roman"/>
          <w:color w:val="1F3864" w:themeColor="accent1" w:themeShade="80"/>
        </w:rPr>
        <w:t xml:space="preserve"> on vaja tunnistada Eesti riigil  fakti, et Euroopa roheline kokkulepe on meie uus kasvustrateegia – majanduskasvuks. Kui me siin  Eestis keskendume </w:t>
      </w:r>
      <w:proofErr w:type="spellStart"/>
      <w:r w:rsidRPr="005149A3">
        <w:rPr>
          <w:rFonts w:ascii="Times New Roman" w:hAnsi="Times New Roman" w:cs="Times New Roman"/>
          <w:color w:val="1F3864" w:themeColor="accent1" w:themeShade="80"/>
        </w:rPr>
        <w:t>tasamajandusele</w:t>
      </w:r>
      <w:proofErr w:type="spellEnd"/>
      <w:r w:rsidRPr="005149A3">
        <w:rPr>
          <w:rFonts w:ascii="Times New Roman" w:hAnsi="Times New Roman" w:cs="Times New Roman"/>
          <w:color w:val="1F3864" w:themeColor="accent1" w:themeShade="80"/>
        </w:rPr>
        <w:t xml:space="preserve">  või kestlikule kahanemisele, siis tööstuses </w:t>
      </w:r>
      <w:r w:rsidR="000E1738">
        <w:rPr>
          <w:rFonts w:ascii="Times New Roman" w:hAnsi="Times New Roman" w:cs="Times New Roman"/>
          <w:color w:val="1F3864" w:themeColor="accent1" w:themeShade="80"/>
        </w:rPr>
        <w:t xml:space="preserve">sisulist </w:t>
      </w:r>
      <w:r w:rsidRPr="005149A3">
        <w:rPr>
          <w:rFonts w:ascii="Times New Roman" w:hAnsi="Times New Roman" w:cs="Times New Roman"/>
          <w:color w:val="1F3864" w:themeColor="accent1" w:themeShade="80"/>
        </w:rPr>
        <w:t xml:space="preserve">üleminekut </w:t>
      </w:r>
      <w:r w:rsidRPr="005149A3">
        <w:rPr>
          <w:rFonts w:ascii="Times New Roman" w:hAnsi="Times New Roman" w:cs="Times New Roman"/>
          <w:b/>
          <w:bCs/>
          <w:color w:val="1F3864" w:themeColor="accent1" w:themeShade="80"/>
        </w:rPr>
        <w:t xml:space="preserve">ei toimu. </w:t>
      </w:r>
    </w:p>
    <w:p w14:paraId="3E05940C" w14:textId="77777777" w:rsidR="005149A3" w:rsidRPr="005149A3" w:rsidRDefault="005149A3" w:rsidP="005149A3">
      <w:pPr>
        <w:pStyle w:val="m-3256979043749884452msolistparagraph"/>
        <w:jc w:val="both"/>
        <w:rPr>
          <w:rFonts w:ascii="Times New Roman" w:hAnsi="Times New Roman" w:cs="Times New Roman"/>
          <w:b/>
          <w:bCs/>
          <w:color w:val="1F3864" w:themeColor="accent1" w:themeShade="80"/>
        </w:rPr>
      </w:pPr>
      <w:r w:rsidRPr="005149A3">
        <w:rPr>
          <w:rFonts w:ascii="Times New Roman" w:hAnsi="Times New Roman" w:cs="Times New Roman"/>
          <w:b/>
          <w:bCs/>
          <w:color w:val="1F3864" w:themeColor="accent1" w:themeShade="80"/>
        </w:rPr>
        <w:t>MEIE PRIORITEEDID KLIIMANEUTRAALSE JA KONKURENTSIVÕIMELISE TÖÖSTUSE JAOKS:</w:t>
      </w:r>
    </w:p>
    <w:p w14:paraId="770D72F6" w14:textId="77777777" w:rsidR="005149A3" w:rsidRPr="005149A3" w:rsidRDefault="005149A3" w:rsidP="005149A3">
      <w:pPr>
        <w:pStyle w:val="m-3256979043749884452msolistparagraph"/>
        <w:numPr>
          <w:ilvl w:val="0"/>
          <w:numId w:val="18"/>
        </w:numPr>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TAASTUVENERGIA KÜLLUS JA TOORAINE SÕLTUMATU PIISAVUS</w:t>
      </w:r>
    </w:p>
    <w:p w14:paraId="5A004911"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Juurdepääs taskukohasele ja külluslikule energiale on tööstusete tõhusaks toimimiseks ja kliimaneutraalse tööstuse saavutamiseks järgmistel aastakümnetel ülioluline. EL peaks seadma esikohale energiaallikatele ligipääsu kindlustamise ning toetama piiriülese elektrivõrgu laiendamist ja energiasalvestite rajamist.</w:t>
      </w:r>
    </w:p>
    <w:p w14:paraId="57FFFB33" w14:textId="77777777" w:rsidR="005149A3" w:rsidRPr="005149A3" w:rsidRDefault="005149A3" w:rsidP="005149A3">
      <w:pPr>
        <w:pStyle w:val="m-3256979043749884452msolistparagraph"/>
        <w:numPr>
          <w:ilvl w:val="0"/>
          <w:numId w:val="18"/>
        </w:numPr>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lastRenderedPageBreak/>
        <w:t>TAASTUVA JA RINGSE SÜSINIKU TARNETE SUURENDAMINE</w:t>
      </w:r>
    </w:p>
    <w:p w14:paraId="1254AE32"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 xml:space="preserve">Tuleb  tagada kõigi olemasolevate ringse ja taastuva süsiniku tootmise tehnoloogiate, sealhulgas keemilise ringlussevõtu, kasutamise laiendamine   ning stimuleerida  ka süsiniku sidumise ja kasutamise (CCU) tehnoloogiaid ning </w:t>
      </w:r>
      <w:proofErr w:type="spellStart"/>
      <w:r w:rsidRPr="005149A3">
        <w:rPr>
          <w:rFonts w:ascii="Times New Roman" w:hAnsi="Times New Roman" w:cs="Times New Roman"/>
          <w:color w:val="1F3864" w:themeColor="accent1" w:themeShade="80"/>
        </w:rPr>
        <w:t>biopõhiste</w:t>
      </w:r>
      <w:proofErr w:type="spellEnd"/>
      <w:r w:rsidRPr="005149A3">
        <w:rPr>
          <w:rFonts w:ascii="Times New Roman" w:hAnsi="Times New Roman" w:cs="Times New Roman"/>
          <w:color w:val="1F3864" w:themeColor="accent1" w:themeShade="80"/>
        </w:rPr>
        <w:t xml:space="preserve"> lähteainete kasutamist.</w:t>
      </w:r>
    </w:p>
    <w:p w14:paraId="55AB5F66" w14:textId="77777777" w:rsidR="005149A3" w:rsidRPr="005149A3" w:rsidRDefault="005149A3" w:rsidP="005149A3">
      <w:pPr>
        <w:pStyle w:val="m-3256979043749884452msolistparagraph"/>
        <w:numPr>
          <w:ilvl w:val="0"/>
          <w:numId w:val="18"/>
        </w:numPr>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MUUTUMINE  ATRAKTIIVSEKS TÖÖSTUSSE INVESTEERIMISEKS</w:t>
      </w:r>
    </w:p>
    <w:p w14:paraId="2A779E7A"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Et ettevõtted saaksid investeerida uuenduslike tehnoloogiate väljatöötamisse ja  kasutuselevõtmisse, vähese heitega tootmisse ja kõrget kvalifikatsiooni nõudvatesse töökohtadesse, peame  olema teiste piirkondadega võrreldes konkurentsivõimeline.</w:t>
      </w:r>
    </w:p>
    <w:p w14:paraId="4A0780AB" w14:textId="77777777" w:rsidR="005149A3" w:rsidRPr="005149A3" w:rsidRDefault="005149A3" w:rsidP="005149A3">
      <w:pPr>
        <w:pStyle w:val="m-3256979043749884452msolistparagraph"/>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 xml:space="preserve">Rohelisele tööstusele üleminek nõuab </w:t>
      </w:r>
      <w:r w:rsidRPr="005149A3">
        <w:rPr>
          <w:rFonts w:ascii="Times New Roman" w:hAnsi="Times New Roman" w:cs="Times New Roman"/>
          <w:b/>
          <w:bCs/>
          <w:color w:val="1F3864" w:themeColor="accent1" w:themeShade="80"/>
        </w:rPr>
        <w:t xml:space="preserve">tohutuid investeeringuid nii era- kui ka avalikult </w:t>
      </w:r>
      <w:r w:rsidRPr="005149A3">
        <w:rPr>
          <w:rFonts w:ascii="Times New Roman" w:hAnsi="Times New Roman" w:cs="Times New Roman"/>
          <w:color w:val="1F3864" w:themeColor="accent1" w:themeShade="80"/>
        </w:rPr>
        <w:t>sektorilt ( 17, 5 miljardit aastaks 2050)</w:t>
      </w:r>
      <w:r w:rsidRPr="005149A3">
        <w:rPr>
          <w:rFonts w:ascii="Times New Roman" w:hAnsi="Times New Roman" w:cs="Times New Roman"/>
          <w:b/>
          <w:bCs/>
          <w:color w:val="1F3864" w:themeColor="accent1" w:themeShade="80"/>
        </w:rPr>
        <w:t xml:space="preserve"> ,</w:t>
      </w:r>
      <w:r w:rsidRPr="005149A3">
        <w:rPr>
          <w:rFonts w:ascii="Times New Roman" w:hAnsi="Times New Roman" w:cs="Times New Roman"/>
          <w:color w:val="1F3864" w:themeColor="accent1" w:themeShade="80"/>
        </w:rPr>
        <w:t xml:space="preserve"> kuid praegune ELi riigiabi raamistik takistab. Komisjon peaks läbi vaatama kehtivad riigiabi nõuded, et lihtsustada liikmesriikide poolt tööstusprojektide rahastamist selliste investeeringute ülemaailmse konkurentsi kontekstis. Samuti tuleks lihtsustada tööstusprojektide </w:t>
      </w:r>
      <w:r w:rsidRPr="005149A3">
        <w:rPr>
          <w:rFonts w:ascii="Times New Roman" w:hAnsi="Times New Roman" w:cs="Times New Roman"/>
          <w:b/>
          <w:bCs/>
          <w:color w:val="1F3864" w:themeColor="accent1" w:themeShade="80"/>
        </w:rPr>
        <w:t xml:space="preserve">jaoks ELi rahastamisvahendite ligipääsetavust </w:t>
      </w:r>
      <w:r w:rsidRPr="005149A3">
        <w:rPr>
          <w:rFonts w:ascii="Times New Roman" w:hAnsi="Times New Roman" w:cs="Times New Roman"/>
          <w:color w:val="1F3864" w:themeColor="accent1" w:themeShade="80"/>
        </w:rPr>
        <w:t>ja tagada piisav olemasolu.</w:t>
      </w:r>
    </w:p>
    <w:p w14:paraId="1CDFEB80" w14:textId="4D664413" w:rsidR="005149A3" w:rsidRPr="005149A3" w:rsidRDefault="005149A3" w:rsidP="0074535B">
      <w:pPr>
        <w:pStyle w:val="m-3256979043749884452msolistparagraph"/>
        <w:numPr>
          <w:ilvl w:val="0"/>
          <w:numId w:val="18"/>
        </w:numPr>
        <w:jc w:val="both"/>
        <w:rPr>
          <w:rFonts w:ascii="Times New Roman" w:hAnsi="Times New Roman" w:cs="Times New Roman"/>
          <w:color w:val="1F3864" w:themeColor="accent1" w:themeShade="80"/>
        </w:rPr>
      </w:pPr>
      <w:r w:rsidRPr="005149A3">
        <w:rPr>
          <w:rFonts w:ascii="Times New Roman" w:hAnsi="Times New Roman" w:cs="Times New Roman"/>
          <w:color w:val="1F3864" w:themeColor="accent1" w:themeShade="80"/>
        </w:rPr>
        <w:tab/>
        <w:t>INNOVATSIOONIRAAMISTIKU NUTIKAMAKS MUUTMINE</w:t>
      </w:r>
    </w:p>
    <w:p w14:paraId="555A5CFF" w14:textId="77777777" w:rsidR="005149A3" w:rsidRPr="005149A3" w:rsidRDefault="005149A3" w:rsidP="005149A3">
      <w:pPr>
        <w:spacing w:before="100" w:beforeAutospacing="1" w:after="100" w:afterAutospacing="1"/>
        <w:jc w:val="both"/>
        <w:rPr>
          <w:rFonts w:ascii="Times New Roman" w:hAnsi="Times New Roman" w:cs="Times New Roman"/>
          <w:color w:val="1F3864" w:themeColor="accent1" w:themeShade="80"/>
          <w:lang w:val="et-EE"/>
        </w:rPr>
      </w:pPr>
      <w:r w:rsidRPr="005149A3">
        <w:rPr>
          <w:rFonts w:ascii="Times New Roman" w:hAnsi="Times New Roman" w:cs="Times New Roman"/>
          <w:color w:val="1F3864" w:themeColor="accent1" w:themeShade="80"/>
          <w:lang w:val="et-EE"/>
        </w:rPr>
        <w:t>Innovatsiooni põhimõtted peavad keskenduma tehnoloogilise avatuse edendamisele, pragmaatilisusele ja liiga üksikasjaliku reguleerimise vältimisele. Esikohale tuleb seda  poliitikad, mis edendavad innovatsiooni, uute lahenduste kasutuselevõttu.</w:t>
      </w:r>
    </w:p>
    <w:p w14:paraId="06AE9821" w14:textId="77777777" w:rsidR="005149A3" w:rsidRPr="005149A3" w:rsidRDefault="005149A3" w:rsidP="005149A3">
      <w:pPr>
        <w:rPr>
          <w:rFonts w:ascii="Times New Roman" w:hAnsi="Times New Roman" w:cs="Times New Roman"/>
          <w:lang w:val="et-EE"/>
        </w:rPr>
      </w:pPr>
    </w:p>
    <w:p w14:paraId="33A00951" w14:textId="730ED645" w:rsidR="00E0239C" w:rsidRDefault="00E0239C" w:rsidP="00E0239C">
      <w:pPr>
        <w:spacing w:line="480" w:lineRule="auto"/>
        <w:jc w:val="both"/>
        <w:rPr>
          <w:rFonts w:ascii="Times New Roman" w:hAnsi="Times New Roman" w:cs="Times New Roman"/>
          <w:lang w:val="fi-FI"/>
        </w:rPr>
      </w:pPr>
    </w:p>
    <w:p w14:paraId="737CCB18" w14:textId="15883CF3" w:rsidR="005149A3" w:rsidRDefault="005149A3" w:rsidP="00E0239C">
      <w:pPr>
        <w:spacing w:line="480" w:lineRule="auto"/>
        <w:jc w:val="both"/>
        <w:rPr>
          <w:rFonts w:ascii="Times New Roman" w:hAnsi="Times New Roman" w:cs="Times New Roman"/>
          <w:lang w:val="fi-FI"/>
        </w:rPr>
      </w:pPr>
      <w:r>
        <w:rPr>
          <w:rFonts w:ascii="Times New Roman" w:hAnsi="Times New Roman" w:cs="Times New Roman"/>
          <w:lang w:val="fi-FI"/>
        </w:rPr>
        <w:t>Hallar Meybaum</w:t>
      </w:r>
    </w:p>
    <w:p w14:paraId="08DCC868" w14:textId="616BAB6F" w:rsidR="005149A3" w:rsidRPr="005149A3" w:rsidRDefault="00F053D8" w:rsidP="005149A3">
      <w:pPr>
        <w:spacing w:line="480" w:lineRule="auto"/>
        <w:jc w:val="both"/>
        <w:rPr>
          <w:rFonts w:ascii="Times New Roman" w:hAnsi="Times New Roman" w:cs="Times New Roman"/>
          <w:lang w:val="fi-FI"/>
        </w:rPr>
      </w:pPr>
      <w:hyperlink r:id="rId8" w:history="1">
        <w:r w:rsidR="005149A3" w:rsidRPr="003B6F68">
          <w:rPr>
            <w:rStyle w:val="Hperlink"/>
            <w:rFonts w:ascii="Times New Roman" w:hAnsi="Times New Roman" w:cs="Times New Roman"/>
            <w:lang w:val="fi-FI"/>
          </w:rPr>
          <w:t>hallar@keemia.ee</w:t>
        </w:r>
      </w:hyperlink>
      <w:r w:rsidR="005149A3">
        <w:rPr>
          <w:rFonts w:ascii="Times New Roman" w:hAnsi="Times New Roman" w:cs="Times New Roman"/>
          <w:lang w:val="fi-FI"/>
        </w:rPr>
        <w:t xml:space="preserve"> </w:t>
      </w:r>
    </w:p>
    <w:sectPr w:rsidR="005149A3" w:rsidRPr="005149A3" w:rsidSect="003F1967">
      <w:headerReference w:type="even" r:id="rId9"/>
      <w:headerReference w:type="default" r:id="rId10"/>
      <w:footerReference w:type="even" r:id="rId11"/>
      <w:footerReference w:type="default" r:id="rId12"/>
      <w:headerReference w:type="first" r:id="rId13"/>
      <w:footerReference w:type="first" r:id="rId14"/>
      <w:pgSz w:w="11900" w:h="16840"/>
      <w:pgMar w:top="2238" w:right="1440" w:bottom="1440" w:left="1440" w:header="8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B203" w14:textId="77777777" w:rsidR="003F1967" w:rsidRDefault="003F1967" w:rsidP="00931D5E">
      <w:r>
        <w:separator/>
      </w:r>
    </w:p>
  </w:endnote>
  <w:endnote w:type="continuationSeparator" w:id="0">
    <w:p w14:paraId="11DA62FD" w14:textId="77777777" w:rsidR="003F1967" w:rsidRDefault="003F1967" w:rsidP="009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3D33" w14:textId="77777777" w:rsidR="005844F2" w:rsidRDefault="005844F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BF80" w14:textId="77777777" w:rsidR="005844F2" w:rsidRDefault="005844F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A5D" w14:textId="77777777" w:rsidR="00656C6E" w:rsidRDefault="00656C6E"/>
  <w:p w14:paraId="39259A80" w14:textId="77777777" w:rsidR="00656C6E" w:rsidRDefault="00656C6E">
    <w:r w:rsidRPr="00146E04">
      <w:rPr>
        <w:rFonts w:ascii="Open Sans Light" w:hAnsi="Open Sans Light" w:cs="Open Sans Light"/>
        <w:noProof/>
        <w:color w:val="FFFFFF"/>
        <w:sz w:val="16"/>
        <w:szCs w:val="16"/>
      </w:rPr>
      <mc:AlternateContent>
        <mc:Choice Requires="wps">
          <w:drawing>
            <wp:anchor distT="0" distB="0" distL="114300" distR="114300" simplePos="0" relativeHeight="251659264" behindDoc="0" locked="0" layoutInCell="1" allowOverlap="1" wp14:anchorId="1FD1E511" wp14:editId="524D790B">
              <wp:simplePos x="0" y="0"/>
              <wp:positionH relativeFrom="column">
                <wp:posOffset>8005</wp:posOffset>
              </wp:positionH>
              <wp:positionV relativeFrom="paragraph">
                <wp:posOffset>118006</wp:posOffset>
              </wp:positionV>
              <wp:extent cx="5703757" cy="22486"/>
              <wp:effectExtent l="0" t="0" r="24130" b="15875"/>
              <wp:wrapNone/>
              <wp:docPr id="3" name="Straight Connector 3"/>
              <wp:cNvGraphicFramePr/>
              <a:graphic xmlns:a="http://schemas.openxmlformats.org/drawingml/2006/main">
                <a:graphicData uri="http://schemas.microsoft.com/office/word/2010/wordprocessingShape">
                  <wps:wsp>
                    <wps:cNvCnPr/>
                    <wps:spPr>
                      <a:xfrm>
                        <a:off x="0" y="0"/>
                        <a:ext cx="5703757" cy="22486"/>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9921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3pt" to="4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" strokecolor="#bfbfbf [2412]" strokeweight=".25pt">
              <v:stroke joinstyle="miter"/>
            </v:line>
          </w:pict>
        </mc:Fallback>
      </mc:AlternateContent>
    </w:r>
  </w:p>
  <w:tbl>
    <w:tblPr>
      <w:tblStyle w:val="Kontuurtabe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56C6E" w14:paraId="37FBB2F8" w14:textId="77777777" w:rsidTr="00656C6E">
      <w:tc>
        <w:tcPr>
          <w:tcW w:w="3003" w:type="dxa"/>
        </w:tcPr>
        <w:p w14:paraId="72A4FCBC" w14:textId="77777777" w:rsidR="00656C6E" w:rsidRPr="00146E04" w:rsidRDefault="00656C6E">
          <w:pPr>
            <w:pStyle w:val="Jalus"/>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Eesti Keemiatööstuse Liit</w:t>
          </w:r>
        </w:p>
        <w:p w14:paraId="3E80A924" w14:textId="77777777" w:rsidR="00656C6E" w:rsidRPr="00146E04" w:rsidRDefault="00656C6E">
          <w:pPr>
            <w:pStyle w:val="Jalus"/>
            <w:rPr>
              <w:rFonts w:ascii="Open Sans Light" w:hAnsi="Open Sans Light" w:cs="Open Sans Light"/>
              <w:color w:val="808080"/>
              <w:sz w:val="16"/>
              <w:szCs w:val="16"/>
              <w:lang w:val="fi-FI"/>
            </w:rPr>
          </w:pPr>
          <w:proofErr w:type="spellStart"/>
          <w:r w:rsidRPr="00146E04">
            <w:rPr>
              <w:rFonts w:ascii="Open Sans Light" w:hAnsi="Open Sans Light" w:cs="Open Sans Light"/>
              <w:color w:val="808080"/>
              <w:sz w:val="16"/>
              <w:szCs w:val="16"/>
              <w:lang w:val="fi-FI"/>
            </w:rPr>
            <w:t>Peterburi</w:t>
          </w:r>
          <w:proofErr w:type="spellEnd"/>
          <w:r w:rsidRPr="00146E04">
            <w:rPr>
              <w:rFonts w:ascii="Open Sans Light" w:hAnsi="Open Sans Light" w:cs="Open Sans Light"/>
              <w:color w:val="808080"/>
              <w:sz w:val="16"/>
              <w:szCs w:val="16"/>
              <w:lang w:val="fi-FI"/>
            </w:rPr>
            <w:t xml:space="preserve"> tee 46, 11415 Tallinn</w:t>
          </w:r>
        </w:p>
        <w:p w14:paraId="68E592D5" w14:textId="77777777" w:rsidR="00656C6E" w:rsidRPr="00146E04" w:rsidRDefault="00656C6E">
          <w:pPr>
            <w:pStyle w:val="Jalus"/>
            <w:rPr>
              <w:rFonts w:ascii="Open Sans Light" w:hAnsi="Open Sans Light" w:cs="Open Sans Light"/>
              <w:color w:val="808080"/>
              <w:sz w:val="16"/>
              <w:szCs w:val="16"/>
              <w:lang w:val="fi-FI"/>
            </w:rPr>
          </w:pPr>
        </w:p>
      </w:tc>
      <w:tc>
        <w:tcPr>
          <w:tcW w:w="3003" w:type="dxa"/>
        </w:tcPr>
        <w:p w14:paraId="4A3EDD87" w14:textId="77777777" w:rsidR="00656C6E" w:rsidRPr="00146E04" w:rsidRDefault="00656C6E">
          <w:pPr>
            <w:pStyle w:val="Jalus"/>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+372 613 9775</w:t>
          </w:r>
        </w:p>
        <w:p w14:paraId="68C57050" w14:textId="77777777" w:rsidR="00656C6E" w:rsidRPr="00146E04" w:rsidRDefault="00F053D8">
          <w:pPr>
            <w:pStyle w:val="Jalus"/>
            <w:rPr>
              <w:rFonts w:ascii="Open Sans Light" w:hAnsi="Open Sans Light" w:cs="Open Sans Light"/>
              <w:color w:val="808080"/>
              <w:sz w:val="16"/>
              <w:szCs w:val="16"/>
              <w:lang w:val="fi-FI"/>
            </w:rPr>
          </w:pPr>
          <w:r>
            <w:fldChar w:fldCharType="begin"/>
          </w:r>
          <w:r w:rsidRPr="00F053D8">
            <w:rPr>
              <w:lang w:val="fi-FI"/>
            </w:rPr>
            <w:instrText>HYPERLINK "mailto:info@keemia.ee"</w:instrText>
          </w:r>
          <w:r>
            <w:fldChar w:fldCharType="separate"/>
          </w:r>
          <w:r w:rsidR="00656C6E" w:rsidRPr="00146E04">
            <w:rPr>
              <w:rStyle w:val="Hperlink"/>
              <w:rFonts w:ascii="Open Sans Light" w:hAnsi="Open Sans Light" w:cs="Open Sans Light"/>
              <w:sz w:val="16"/>
              <w:szCs w:val="16"/>
              <w:lang w:val="fi-FI"/>
            </w:rPr>
            <w:t>info@keemia.ee</w:t>
          </w:r>
          <w:r>
            <w:rPr>
              <w:rStyle w:val="Hperlink"/>
              <w:rFonts w:ascii="Open Sans Light" w:hAnsi="Open Sans Light" w:cs="Open Sans Light"/>
              <w:sz w:val="16"/>
              <w:szCs w:val="16"/>
              <w:lang w:val="fi-FI"/>
            </w:rPr>
            <w:fldChar w:fldCharType="end"/>
          </w:r>
        </w:p>
        <w:p w14:paraId="797298F5" w14:textId="77777777" w:rsidR="00656C6E" w:rsidRPr="00146E04" w:rsidRDefault="00656C6E">
          <w:pPr>
            <w:pStyle w:val="Jalus"/>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www.keemia.ee</w:t>
          </w:r>
        </w:p>
      </w:tc>
      <w:tc>
        <w:tcPr>
          <w:tcW w:w="3004" w:type="dxa"/>
        </w:tcPr>
        <w:p w14:paraId="3C62DE6C" w14:textId="77777777" w:rsidR="00656C6E" w:rsidRPr="00146E04" w:rsidRDefault="00656C6E" w:rsidP="00656C6E">
          <w:pPr>
            <w:pStyle w:val="Jalus"/>
            <w:jc w:val="right"/>
            <w:rPr>
              <w:rFonts w:ascii="Open Sans Light" w:hAnsi="Open Sans Light" w:cs="Open Sans Light"/>
              <w:color w:val="808080"/>
              <w:sz w:val="16"/>
              <w:szCs w:val="16"/>
            </w:rPr>
          </w:pPr>
          <w:r w:rsidRPr="00146E04">
            <w:rPr>
              <w:rFonts w:ascii="Open Sans Light" w:hAnsi="Open Sans Light" w:cs="Open Sans Light"/>
              <w:noProof/>
              <w:color w:val="808080"/>
              <w:sz w:val="16"/>
              <w:szCs w:val="16"/>
            </w:rPr>
            <w:drawing>
              <wp:inline distT="0" distB="0" distL="0" distR="0" wp14:anchorId="012979DC" wp14:editId="2F349EC0">
                <wp:extent cx="1034322" cy="37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89.jpg"/>
                        <pic:cNvPicPr/>
                      </pic:nvPicPr>
                      <pic:blipFill>
                        <a:blip r:embed="rId1">
                          <a:extLst>
                            <a:ext uri="{28A0092B-C50C-407E-A947-70E740481C1C}">
                              <a14:useLocalDpi xmlns:a14="http://schemas.microsoft.com/office/drawing/2010/main" val="0"/>
                            </a:ext>
                          </a:extLst>
                        </a:blip>
                        <a:stretch>
                          <a:fillRect/>
                        </a:stretch>
                      </pic:blipFill>
                      <pic:spPr>
                        <a:xfrm>
                          <a:off x="0" y="0"/>
                          <a:ext cx="1137810" cy="409857"/>
                        </a:xfrm>
                        <a:prstGeom prst="rect">
                          <a:avLst/>
                        </a:prstGeom>
                      </pic:spPr>
                    </pic:pic>
                  </a:graphicData>
                </a:graphic>
              </wp:inline>
            </w:drawing>
          </w:r>
        </w:p>
      </w:tc>
    </w:tr>
  </w:tbl>
  <w:p w14:paraId="4E0DB6D9" w14:textId="77777777" w:rsidR="00FB653B" w:rsidRPr="00146E04" w:rsidRDefault="00656C6E">
    <w:pPr>
      <w:pStyle w:val="Jalus"/>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r w:rsidRPr="00146E04">
      <w:rPr>
        <w:rFonts w:ascii="Open Sans Light" w:hAnsi="Open Sans Light" w:cs="Open Sans Light"/>
        <w:color w:val="808080"/>
        <w:sz w:val="16"/>
        <w:szCs w:val="16"/>
      </w:rPr>
      <w:tab/>
    </w:r>
    <w:r w:rsidRPr="00146E04">
      <w:rPr>
        <w:rFonts w:ascii="Open Sans Light" w:hAnsi="Open Sans Light" w:cs="Open Sans Light"/>
        <w:color w:val="808080"/>
        <w:sz w:val="16"/>
        <w:szCs w:val="16"/>
      </w:rPr>
      <w:tab/>
    </w:r>
  </w:p>
  <w:p w14:paraId="7F2C8C1A" w14:textId="77777777" w:rsidR="00656C6E" w:rsidRPr="00146E04" w:rsidRDefault="00656C6E">
    <w:pPr>
      <w:pStyle w:val="Jalus"/>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p>
  <w:p w14:paraId="6B07C983" w14:textId="77777777" w:rsidR="00865F05" w:rsidRPr="00146E04" w:rsidRDefault="00656C6E">
    <w:pPr>
      <w:pStyle w:val="Jalus"/>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AE09" w14:textId="77777777" w:rsidR="003F1967" w:rsidRDefault="003F1967" w:rsidP="00931D5E">
      <w:r>
        <w:separator/>
      </w:r>
    </w:p>
  </w:footnote>
  <w:footnote w:type="continuationSeparator" w:id="0">
    <w:p w14:paraId="740F61CD" w14:textId="77777777" w:rsidR="003F1967" w:rsidRDefault="003F1967" w:rsidP="0093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D220" w14:textId="77777777" w:rsidR="005844F2" w:rsidRDefault="005844F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51A" w14:textId="77777777" w:rsidR="00931D5E" w:rsidRDefault="00931D5E" w:rsidP="00931D5E">
    <w:pPr>
      <w:pStyle w:val="Pis"/>
      <w:ind w:right="-1440"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58BD" w14:textId="77777777" w:rsidR="00865F05" w:rsidRDefault="009C7DB0" w:rsidP="009C7DB0">
    <w:pPr>
      <w:pStyle w:val="Pis"/>
    </w:pPr>
    <w:r>
      <w:rPr>
        <w:noProof/>
      </w:rPr>
      <w:drawing>
        <wp:inline distT="0" distB="0" distL="0" distR="0" wp14:anchorId="3ABF7901" wp14:editId="5E91F0DB">
          <wp:extent cx="6635931" cy="494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6837777" cy="509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CEE"/>
    <w:multiLevelType w:val="hybridMultilevel"/>
    <w:tmpl w:val="577ED21C"/>
    <w:lvl w:ilvl="0" w:tplc="F2F8AC0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B1B2BE8"/>
    <w:multiLevelType w:val="hybridMultilevel"/>
    <w:tmpl w:val="5672E0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4716D3"/>
    <w:multiLevelType w:val="hybridMultilevel"/>
    <w:tmpl w:val="C3844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75491D"/>
    <w:multiLevelType w:val="hybridMultilevel"/>
    <w:tmpl w:val="282440D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1E957E9D"/>
    <w:multiLevelType w:val="hybridMultilevel"/>
    <w:tmpl w:val="4A18CBD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2731330D"/>
    <w:multiLevelType w:val="hybridMultilevel"/>
    <w:tmpl w:val="604E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324B84"/>
    <w:multiLevelType w:val="multilevel"/>
    <w:tmpl w:val="A394E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20123"/>
    <w:multiLevelType w:val="hybridMultilevel"/>
    <w:tmpl w:val="8B4C71FE"/>
    <w:lvl w:ilvl="0" w:tplc="25F48846">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3D0129"/>
    <w:multiLevelType w:val="hybridMultilevel"/>
    <w:tmpl w:val="423A2E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8535357"/>
    <w:multiLevelType w:val="hybridMultilevel"/>
    <w:tmpl w:val="E7C28CEC"/>
    <w:lvl w:ilvl="0" w:tplc="04250001">
      <w:start w:val="1"/>
      <w:numFmt w:val="bullet"/>
      <w:lvlText w:val=""/>
      <w:lvlJc w:val="left"/>
      <w:pPr>
        <w:ind w:left="1130" w:hanging="360"/>
      </w:pPr>
      <w:rPr>
        <w:rFonts w:ascii="Symbol" w:hAnsi="Symbol" w:hint="default"/>
      </w:rPr>
    </w:lvl>
    <w:lvl w:ilvl="1" w:tplc="04250003" w:tentative="1">
      <w:start w:val="1"/>
      <w:numFmt w:val="bullet"/>
      <w:lvlText w:val="o"/>
      <w:lvlJc w:val="left"/>
      <w:pPr>
        <w:ind w:left="1850" w:hanging="360"/>
      </w:pPr>
      <w:rPr>
        <w:rFonts w:ascii="Courier New" w:hAnsi="Courier New" w:cs="Courier New" w:hint="default"/>
      </w:rPr>
    </w:lvl>
    <w:lvl w:ilvl="2" w:tplc="04250005" w:tentative="1">
      <w:start w:val="1"/>
      <w:numFmt w:val="bullet"/>
      <w:lvlText w:val=""/>
      <w:lvlJc w:val="left"/>
      <w:pPr>
        <w:ind w:left="2570" w:hanging="360"/>
      </w:pPr>
      <w:rPr>
        <w:rFonts w:ascii="Wingdings" w:hAnsi="Wingdings" w:hint="default"/>
      </w:rPr>
    </w:lvl>
    <w:lvl w:ilvl="3" w:tplc="04250001" w:tentative="1">
      <w:start w:val="1"/>
      <w:numFmt w:val="bullet"/>
      <w:lvlText w:val=""/>
      <w:lvlJc w:val="left"/>
      <w:pPr>
        <w:ind w:left="3290" w:hanging="360"/>
      </w:pPr>
      <w:rPr>
        <w:rFonts w:ascii="Symbol" w:hAnsi="Symbol" w:hint="default"/>
      </w:rPr>
    </w:lvl>
    <w:lvl w:ilvl="4" w:tplc="04250003" w:tentative="1">
      <w:start w:val="1"/>
      <w:numFmt w:val="bullet"/>
      <w:lvlText w:val="o"/>
      <w:lvlJc w:val="left"/>
      <w:pPr>
        <w:ind w:left="4010" w:hanging="360"/>
      </w:pPr>
      <w:rPr>
        <w:rFonts w:ascii="Courier New" w:hAnsi="Courier New" w:cs="Courier New" w:hint="default"/>
      </w:rPr>
    </w:lvl>
    <w:lvl w:ilvl="5" w:tplc="04250005" w:tentative="1">
      <w:start w:val="1"/>
      <w:numFmt w:val="bullet"/>
      <w:lvlText w:val=""/>
      <w:lvlJc w:val="left"/>
      <w:pPr>
        <w:ind w:left="4730" w:hanging="360"/>
      </w:pPr>
      <w:rPr>
        <w:rFonts w:ascii="Wingdings" w:hAnsi="Wingdings" w:hint="default"/>
      </w:rPr>
    </w:lvl>
    <w:lvl w:ilvl="6" w:tplc="04250001" w:tentative="1">
      <w:start w:val="1"/>
      <w:numFmt w:val="bullet"/>
      <w:lvlText w:val=""/>
      <w:lvlJc w:val="left"/>
      <w:pPr>
        <w:ind w:left="5450" w:hanging="360"/>
      </w:pPr>
      <w:rPr>
        <w:rFonts w:ascii="Symbol" w:hAnsi="Symbol" w:hint="default"/>
      </w:rPr>
    </w:lvl>
    <w:lvl w:ilvl="7" w:tplc="04250003" w:tentative="1">
      <w:start w:val="1"/>
      <w:numFmt w:val="bullet"/>
      <w:lvlText w:val="o"/>
      <w:lvlJc w:val="left"/>
      <w:pPr>
        <w:ind w:left="6170" w:hanging="360"/>
      </w:pPr>
      <w:rPr>
        <w:rFonts w:ascii="Courier New" w:hAnsi="Courier New" w:cs="Courier New" w:hint="default"/>
      </w:rPr>
    </w:lvl>
    <w:lvl w:ilvl="8" w:tplc="04250005" w:tentative="1">
      <w:start w:val="1"/>
      <w:numFmt w:val="bullet"/>
      <w:lvlText w:val=""/>
      <w:lvlJc w:val="left"/>
      <w:pPr>
        <w:ind w:left="6890" w:hanging="360"/>
      </w:pPr>
      <w:rPr>
        <w:rFonts w:ascii="Wingdings" w:hAnsi="Wingdings" w:hint="default"/>
      </w:rPr>
    </w:lvl>
  </w:abstractNum>
  <w:abstractNum w:abstractNumId="10" w15:restartNumberingAfterBreak="0">
    <w:nsid w:val="498A6467"/>
    <w:multiLevelType w:val="hybridMultilevel"/>
    <w:tmpl w:val="14D0D80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1" w15:restartNumberingAfterBreak="0">
    <w:nsid w:val="4EC52550"/>
    <w:multiLevelType w:val="hybridMultilevel"/>
    <w:tmpl w:val="88ACC8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07C74D0"/>
    <w:multiLevelType w:val="hybridMultilevel"/>
    <w:tmpl w:val="2446D3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68A33DC"/>
    <w:multiLevelType w:val="hybridMultilevel"/>
    <w:tmpl w:val="4CBE9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10B1B2B"/>
    <w:multiLevelType w:val="hybridMultilevel"/>
    <w:tmpl w:val="1A98845A"/>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7A58C1"/>
    <w:multiLevelType w:val="hybridMultilevel"/>
    <w:tmpl w:val="921E33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E56486"/>
    <w:multiLevelType w:val="hybridMultilevel"/>
    <w:tmpl w:val="8BA851B2"/>
    <w:lvl w:ilvl="0" w:tplc="9F46AF00">
      <w:start w:val="1"/>
      <w:numFmt w:val="bullet"/>
      <w:lvlText w:val="•"/>
      <w:lvlJc w:val="left"/>
      <w:pPr>
        <w:tabs>
          <w:tab w:val="num" w:pos="720"/>
        </w:tabs>
        <w:ind w:left="720" w:hanging="360"/>
      </w:pPr>
      <w:rPr>
        <w:rFonts w:ascii="Arial" w:hAnsi="Arial" w:hint="default"/>
      </w:rPr>
    </w:lvl>
    <w:lvl w:ilvl="1" w:tplc="206A0798" w:tentative="1">
      <w:start w:val="1"/>
      <w:numFmt w:val="bullet"/>
      <w:lvlText w:val="•"/>
      <w:lvlJc w:val="left"/>
      <w:pPr>
        <w:tabs>
          <w:tab w:val="num" w:pos="1440"/>
        </w:tabs>
        <w:ind w:left="1440" w:hanging="360"/>
      </w:pPr>
      <w:rPr>
        <w:rFonts w:ascii="Arial" w:hAnsi="Arial" w:hint="default"/>
      </w:rPr>
    </w:lvl>
    <w:lvl w:ilvl="2" w:tplc="90F0DBBE" w:tentative="1">
      <w:start w:val="1"/>
      <w:numFmt w:val="bullet"/>
      <w:lvlText w:val="•"/>
      <w:lvlJc w:val="left"/>
      <w:pPr>
        <w:tabs>
          <w:tab w:val="num" w:pos="2160"/>
        </w:tabs>
        <w:ind w:left="2160" w:hanging="360"/>
      </w:pPr>
      <w:rPr>
        <w:rFonts w:ascii="Arial" w:hAnsi="Arial" w:hint="default"/>
      </w:rPr>
    </w:lvl>
    <w:lvl w:ilvl="3" w:tplc="AE86DAFE" w:tentative="1">
      <w:start w:val="1"/>
      <w:numFmt w:val="bullet"/>
      <w:lvlText w:val="•"/>
      <w:lvlJc w:val="left"/>
      <w:pPr>
        <w:tabs>
          <w:tab w:val="num" w:pos="2880"/>
        </w:tabs>
        <w:ind w:left="2880" w:hanging="360"/>
      </w:pPr>
      <w:rPr>
        <w:rFonts w:ascii="Arial" w:hAnsi="Arial" w:hint="default"/>
      </w:rPr>
    </w:lvl>
    <w:lvl w:ilvl="4" w:tplc="D39816D8" w:tentative="1">
      <w:start w:val="1"/>
      <w:numFmt w:val="bullet"/>
      <w:lvlText w:val="•"/>
      <w:lvlJc w:val="left"/>
      <w:pPr>
        <w:tabs>
          <w:tab w:val="num" w:pos="3600"/>
        </w:tabs>
        <w:ind w:left="3600" w:hanging="360"/>
      </w:pPr>
      <w:rPr>
        <w:rFonts w:ascii="Arial" w:hAnsi="Arial" w:hint="default"/>
      </w:rPr>
    </w:lvl>
    <w:lvl w:ilvl="5" w:tplc="DABE3758" w:tentative="1">
      <w:start w:val="1"/>
      <w:numFmt w:val="bullet"/>
      <w:lvlText w:val="•"/>
      <w:lvlJc w:val="left"/>
      <w:pPr>
        <w:tabs>
          <w:tab w:val="num" w:pos="4320"/>
        </w:tabs>
        <w:ind w:left="4320" w:hanging="360"/>
      </w:pPr>
      <w:rPr>
        <w:rFonts w:ascii="Arial" w:hAnsi="Arial" w:hint="default"/>
      </w:rPr>
    </w:lvl>
    <w:lvl w:ilvl="6" w:tplc="B1E4F7A0" w:tentative="1">
      <w:start w:val="1"/>
      <w:numFmt w:val="bullet"/>
      <w:lvlText w:val="•"/>
      <w:lvlJc w:val="left"/>
      <w:pPr>
        <w:tabs>
          <w:tab w:val="num" w:pos="5040"/>
        </w:tabs>
        <w:ind w:left="5040" w:hanging="360"/>
      </w:pPr>
      <w:rPr>
        <w:rFonts w:ascii="Arial" w:hAnsi="Arial" w:hint="default"/>
      </w:rPr>
    </w:lvl>
    <w:lvl w:ilvl="7" w:tplc="4DB0B240" w:tentative="1">
      <w:start w:val="1"/>
      <w:numFmt w:val="bullet"/>
      <w:lvlText w:val="•"/>
      <w:lvlJc w:val="left"/>
      <w:pPr>
        <w:tabs>
          <w:tab w:val="num" w:pos="5760"/>
        </w:tabs>
        <w:ind w:left="5760" w:hanging="360"/>
      </w:pPr>
      <w:rPr>
        <w:rFonts w:ascii="Arial" w:hAnsi="Arial" w:hint="default"/>
      </w:rPr>
    </w:lvl>
    <w:lvl w:ilvl="8" w:tplc="F23EF3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D416DC"/>
    <w:multiLevelType w:val="hybridMultilevel"/>
    <w:tmpl w:val="5BF68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7416137">
    <w:abstractNumId w:val="11"/>
  </w:num>
  <w:num w:numId="2" w16cid:durableId="638194905">
    <w:abstractNumId w:val="9"/>
  </w:num>
  <w:num w:numId="3" w16cid:durableId="1749225916">
    <w:abstractNumId w:val="15"/>
  </w:num>
  <w:num w:numId="4" w16cid:durableId="1614442242">
    <w:abstractNumId w:val="5"/>
  </w:num>
  <w:num w:numId="5" w16cid:durableId="1882134771">
    <w:abstractNumId w:val="2"/>
  </w:num>
  <w:num w:numId="6" w16cid:durableId="1783960306">
    <w:abstractNumId w:val="1"/>
  </w:num>
  <w:num w:numId="7" w16cid:durableId="164168754">
    <w:abstractNumId w:val="17"/>
  </w:num>
  <w:num w:numId="8" w16cid:durableId="1784496976">
    <w:abstractNumId w:val="14"/>
  </w:num>
  <w:num w:numId="9" w16cid:durableId="1848910597">
    <w:abstractNumId w:val="4"/>
  </w:num>
  <w:num w:numId="10" w16cid:durableId="443816744">
    <w:abstractNumId w:val="0"/>
  </w:num>
  <w:num w:numId="11" w16cid:durableId="472218919">
    <w:abstractNumId w:val="13"/>
  </w:num>
  <w:num w:numId="12" w16cid:durableId="479270790">
    <w:abstractNumId w:val="3"/>
  </w:num>
  <w:num w:numId="13" w16cid:durableId="1637878786">
    <w:abstractNumId w:val="8"/>
  </w:num>
  <w:num w:numId="14" w16cid:durableId="1228104639">
    <w:abstractNumId w:val="12"/>
  </w:num>
  <w:num w:numId="15" w16cid:durableId="719599743">
    <w:abstractNumId w:val="16"/>
  </w:num>
  <w:num w:numId="16" w16cid:durableId="1138500098">
    <w:abstractNumId w:val="6"/>
  </w:num>
  <w:num w:numId="17" w16cid:durableId="1333728151">
    <w:abstractNumId w:val="10"/>
  </w:num>
  <w:num w:numId="18" w16cid:durableId="1881167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E"/>
    <w:rsid w:val="00036AF1"/>
    <w:rsid w:val="0004474F"/>
    <w:rsid w:val="000E1738"/>
    <w:rsid w:val="0013375D"/>
    <w:rsid w:val="001371DC"/>
    <w:rsid w:val="00146E04"/>
    <w:rsid w:val="001C4251"/>
    <w:rsid w:val="001C4FF8"/>
    <w:rsid w:val="001D4960"/>
    <w:rsid w:val="001E18F5"/>
    <w:rsid w:val="0020715E"/>
    <w:rsid w:val="00227AA6"/>
    <w:rsid w:val="00240150"/>
    <w:rsid w:val="0025494D"/>
    <w:rsid w:val="00265B14"/>
    <w:rsid w:val="002A4BB5"/>
    <w:rsid w:val="002B5717"/>
    <w:rsid w:val="002D2069"/>
    <w:rsid w:val="00357DD2"/>
    <w:rsid w:val="003F1967"/>
    <w:rsid w:val="003F7E1E"/>
    <w:rsid w:val="0040638A"/>
    <w:rsid w:val="00431CBD"/>
    <w:rsid w:val="0044109D"/>
    <w:rsid w:val="004628F3"/>
    <w:rsid w:val="00490358"/>
    <w:rsid w:val="004A2534"/>
    <w:rsid w:val="004F3249"/>
    <w:rsid w:val="005149A3"/>
    <w:rsid w:val="00550102"/>
    <w:rsid w:val="00555BF7"/>
    <w:rsid w:val="00573644"/>
    <w:rsid w:val="005844F2"/>
    <w:rsid w:val="005903E5"/>
    <w:rsid w:val="0059490C"/>
    <w:rsid w:val="005E5B34"/>
    <w:rsid w:val="005E7C1F"/>
    <w:rsid w:val="00604E51"/>
    <w:rsid w:val="00607B35"/>
    <w:rsid w:val="00620404"/>
    <w:rsid w:val="00620E4C"/>
    <w:rsid w:val="00622B03"/>
    <w:rsid w:val="0063482F"/>
    <w:rsid w:val="00656C6E"/>
    <w:rsid w:val="006823DC"/>
    <w:rsid w:val="006D000E"/>
    <w:rsid w:val="006D35F4"/>
    <w:rsid w:val="0074535B"/>
    <w:rsid w:val="00824F5C"/>
    <w:rsid w:val="00852AB6"/>
    <w:rsid w:val="00865F05"/>
    <w:rsid w:val="00867200"/>
    <w:rsid w:val="0087457E"/>
    <w:rsid w:val="008A1DAA"/>
    <w:rsid w:val="008B0251"/>
    <w:rsid w:val="008B153D"/>
    <w:rsid w:val="008B5899"/>
    <w:rsid w:val="008C012E"/>
    <w:rsid w:val="008D5018"/>
    <w:rsid w:val="008F6B59"/>
    <w:rsid w:val="0092121D"/>
    <w:rsid w:val="00931D5E"/>
    <w:rsid w:val="00940EAD"/>
    <w:rsid w:val="00945848"/>
    <w:rsid w:val="0096222B"/>
    <w:rsid w:val="009A1ABF"/>
    <w:rsid w:val="009C7DB0"/>
    <w:rsid w:val="009D67F8"/>
    <w:rsid w:val="009F22E4"/>
    <w:rsid w:val="00A02C6D"/>
    <w:rsid w:val="00AF4235"/>
    <w:rsid w:val="00B83BC5"/>
    <w:rsid w:val="00BB24F3"/>
    <w:rsid w:val="00BE37CF"/>
    <w:rsid w:val="00C11359"/>
    <w:rsid w:val="00C3308F"/>
    <w:rsid w:val="00C455E8"/>
    <w:rsid w:val="00C56F75"/>
    <w:rsid w:val="00CA1791"/>
    <w:rsid w:val="00CB040B"/>
    <w:rsid w:val="00CD7AFA"/>
    <w:rsid w:val="00D55BC6"/>
    <w:rsid w:val="00D74DE6"/>
    <w:rsid w:val="00DD503B"/>
    <w:rsid w:val="00DF21A1"/>
    <w:rsid w:val="00E0239C"/>
    <w:rsid w:val="00E63E50"/>
    <w:rsid w:val="00E90AF4"/>
    <w:rsid w:val="00EA5844"/>
    <w:rsid w:val="00EC763A"/>
    <w:rsid w:val="00F053D8"/>
    <w:rsid w:val="00F21567"/>
    <w:rsid w:val="00F415BD"/>
    <w:rsid w:val="00F46F91"/>
    <w:rsid w:val="00F47FFD"/>
    <w:rsid w:val="00F70CE0"/>
    <w:rsid w:val="00F73ADB"/>
    <w:rsid w:val="00FA5039"/>
    <w:rsid w:val="00FA735F"/>
    <w:rsid w:val="00FB653B"/>
    <w:rsid w:val="00FD1FDD"/>
    <w:rsid w:val="00FD4C44"/>
    <w:rsid w:val="00FF5D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BCDD"/>
  <w14:defaultImageDpi w14:val="32767"/>
  <w15:chartTrackingRefBased/>
  <w15:docId w15:val="{DA80E4C3-8202-224C-90B3-D5815CC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31D5E"/>
    <w:pPr>
      <w:tabs>
        <w:tab w:val="center" w:pos="4680"/>
        <w:tab w:val="right" w:pos="9360"/>
      </w:tabs>
    </w:pPr>
  </w:style>
  <w:style w:type="character" w:customStyle="1" w:styleId="PisMrk">
    <w:name w:val="Päis Märk"/>
    <w:basedOn w:val="Liguvaikefont"/>
    <w:link w:val="Pis"/>
    <w:uiPriority w:val="99"/>
    <w:rsid w:val="00931D5E"/>
  </w:style>
  <w:style w:type="paragraph" w:styleId="Jalus">
    <w:name w:val="footer"/>
    <w:basedOn w:val="Normaallaad"/>
    <w:link w:val="JalusMrk"/>
    <w:uiPriority w:val="99"/>
    <w:unhideWhenUsed/>
    <w:rsid w:val="00931D5E"/>
    <w:pPr>
      <w:tabs>
        <w:tab w:val="center" w:pos="4680"/>
        <w:tab w:val="right" w:pos="9360"/>
      </w:tabs>
    </w:pPr>
  </w:style>
  <w:style w:type="character" w:customStyle="1" w:styleId="JalusMrk">
    <w:name w:val="Jalus Märk"/>
    <w:basedOn w:val="Liguvaikefont"/>
    <w:link w:val="Jalus"/>
    <w:uiPriority w:val="99"/>
    <w:rsid w:val="00931D5E"/>
  </w:style>
  <w:style w:type="character" w:styleId="Hperlink">
    <w:name w:val="Hyperlink"/>
    <w:basedOn w:val="Liguvaikefont"/>
    <w:uiPriority w:val="99"/>
    <w:unhideWhenUsed/>
    <w:rsid w:val="00656C6E"/>
    <w:rPr>
      <w:color w:val="0563C1" w:themeColor="hyperlink"/>
      <w:u w:val="single"/>
    </w:rPr>
  </w:style>
  <w:style w:type="character" w:styleId="Lahendamatamainimine">
    <w:name w:val="Unresolved Mention"/>
    <w:basedOn w:val="Liguvaikefont"/>
    <w:uiPriority w:val="99"/>
    <w:rsid w:val="00656C6E"/>
    <w:rPr>
      <w:color w:val="808080"/>
      <w:shd w:val="clear" w:color="auto" w:fill="E6E6E6"/>
    </w:rPr>
  </w:style>
  <w:style w:type="table" w:styleId="Kontuurtabel">
    <w:name w:val="Table Grid"/>
    <w:basedOn w:val="Normaaltabel"/>
    <w:uiPriority w:val="39"/>
    <w:rsid w:val="0065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44109D"/>
    <w:rPr>
      <w:sz w:val="22"/>
      <w:szCs w:val="22"/>
      <w:lang w:val="et-EE"/>
    </w:rPr>
  </w:style>
  <w:style w:type="paragraph" w:customStyle="1" w:styleId="Default">
    <w:name w:val="Default"/>
    <w:rsid w:val="008C012E"/>
    <w:pPr>
      <w:autoSpaceDE w:val="0"/>
      <w:autoSpaceDN w:val="0"/>
      <w:adjustRightInd w:val="0"/>
    </w:pPr>
    <w:rPr>
      <w:rFonts w:ascii="Times New Roman" w:eastAsia="Arial Unicode MS" w:hAnsi="Times New Roman" w:cs="Times New Roman"/>
      <w:color w:val="000000"/>
      <w:bdr w:val="nil"/>
      <w:lang w:val="et-EE"/>
    </w:rPr>
  </w:style>
  <w:style w:type="paragraph" w:styleId="Loendilik">
    <w:name w:val="List Paragraph"/>
    <w:basedOn w:val="Normaallaad"/>
    <w:uiPriority w:val="34"/>
    <w:qFormat/>
    <w:rsid w:val="008C012E"/>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paragraph" w:customStyle="1" w:styleId="m-3256979043749884452msolistparagraph">
    <w:name w:val="m_-3256979043749884452msolistparagraph"/>
    <w:basedOn w:val="Normaallaad"/>
    <w:rsid w:val="005149A3"/>
    <w:pPr>
      <w:spacing w:before="100" w:beforeAutospacing="1" w:after="100" w:afterAutospacing="1"/>
    </w:pPr>
    <w:rPr>
      <w:rFonts w:ascii="Calibri" w:hAnsi="Calibri" w:cs="Calibri"/>
      <w:sz w:val="22"/>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028">
      <w:bodyDiv w:val="1"/>
      <w:marLeft w:val="0"/>
      <w:marRight w:val="0"/>
      <w:marTop w:val="0"/>
      <w:marBottom w:val="0"/>
      <w:divBdr>
        <w:top w:val="none" w:sz="0" w:space="0" w:color="auto"/>
        <w:left w:val="none" w:sz="0" w:space="0" w:color="auto"/>
        <w:bottom w:val="none" w:sz="0" w:space="0" w:color="auto"/>
        <w:right w:val="none" w:sz="0" w:space="0" w:color="auto"/>
      </w:divBdr>
    </w:div>
    <w:div w:id="13560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ar@keemia.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ransition-pathway.cefi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8124</Characters>
  <Application>Microsoft Office Word</Application>
  <DocSecurity>4</DocSecurity>
  <Lines>67</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Kergand</dc:creator>
  <cp:keywords/>
  <dc:description/>
  <cp:lastModifiedBy>Kärt Kasak</cp:lastModifiedBy>
  <cp:revision>2</cp:revision>
  <dcterms:created xsi:type="dcterms:W3CDTF">2024-02-02T15:46:00Z</dcterms:created>
  <dcterms:modified xsi:type="dcterms:W3CDTF">2024-02-02T15:46:00Z</dcterms:modified>
</cp:coreProperties>
</file>