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B9689" w14:textId="77777777" w:rsidR="008D3952" w:rsidRDefault="008D3952" w:rsidP="00237C94">
      <w:pPr>
        <w:jc w:val="center"/>
        <w:rPr>
          <w:b/>
          <w:bCs/>
          <w:sz w:val="32"/>
          <w:szCs w:val="32"/>
        </w:rPr>
      </w:pPr>
    </w:p>
    <w:p w14:paraId="2654DE1A" w14:textId="77777777" w:rsidR="008D3952" w:rsidRDefault="008D3952" w:rsidP="00237C94">
      <w:pPr>
        <w:jc w:val="center"/>
        <w:rPr>
          <w:b/>
          <w:bCs/>
          <w:sz w:val="32"/>
          <w:szCs w:val="32"/>
        </w:rPr>
      </w:pPr>
    </w:p>
    <w:p w14:paraId="5F5D67F3" w14:textId="77777777" w:rsidR="008D3952" w:rsidRDefault="008D3952" w:rsidP="00BD4430">
      <w:pPr>
        <w:rPr>
          <w:b/>
          <w:bCs/>
          <w:sz w:val="32"/>
          <w:szCs w:val="32"/>
        </w:rPr>
      </w:pPr>
    </w:p>
    <w:p w14:paraId="79B22044" w14:textId="77777777" w:rsidR="008D3952" w:rsidRDefault="008D3952" w:rsidP="00237C94">
      <w:pPr>
        <w:jc w:val="center"/>
        <w:rPr>
          <w:b/>
          <w:bCs/>
          <w:sz w:val="32"/>
          <w:szCs w:val="32"/>
        </w:rPr>
      </w:pPr>
    </w:p>
    <w:p w14:paraId="7D8817AB" w14:textId="0F52E585" w:rsidR="00761307" w:rsidRPr="00242741" w:rsidRDefault="00E910B3" w:rsidP="00923F13">
      <w:pPr>
        <w:jc w:val="center"/>
        <w:rPr>
          <w:rFonts w:cstheme="minorHAnsi"/>
          <w:b/>
          <w:bCs/>
          <w:sz w:val="36"/>
          <w:szCs w:val="36"/>
        </w:rPr>
      </w:pPr>
      <w:r w:rsidRPr="00242741">
        <w:rPr>
          <w:rFonts w:cstheme="minorHAnsi"/>
          <w:b/>
          <w:bCs/>
          <w:sz w:val="36"/>
          <w:szCs w:val="36"/>
        </w:rPr>
        <w:t>GUIDANCE on</w:t>
      </w:r>
      <w:r w:rsidR="00761307" w:rsidRPr="00242741">
        <w:rPr>
          <w:rFonts w:cstheme="minorHAnsi"/>
          <w:b/>
          <w:bCs/>
          <w:sz w:val="36"/>
          <w:szCs w:val="36"/>
        </w:rPr>
        <w:t xml:space="preserve"> the REACH RESTRICTION of SYNTHETIC POLYMER </w:t>
      </w:r>
      <w:r w:rsidR="002D46E5" w:rsidRPr="00242741">
        <w:rPr>
          <w:rFonts w:cstheme="minorHAnsi"/>
          <w:b/>
          <w:bCs/>
          <w:sz w:val="36"/>
          <w:szCs w:val="36"/>
        </w:rPr>
        <w:t>MICRO</w:t>
      </w:r>
      <w:r w:rsidR="00761307" w:rsidRPr="00242741">
        <w:rPr>
          <w:rFonts w:cstheme="minorHAnsi"/>
          <w:b/>
          <w:bCs/>
          <w:sz w:val="36"/>
          <w:szCs w:val="36"/>
        </w:rPr>
        <w:t>PARTICLES</w:t>
      </w:r>
    </w:p>
    <w:p w14:paraId="78CEB158" w14:textId="77777777" w:rsidR="008D3952" w:rsidRPr="00BD4430" w:rsidRDefault="008D3952" w:rsidP="4B6668CF">
      <w:pPr>
        <w:jc w:val="both"/>
        <w:rPr>
          <w:b/>
          <w:bCs/>
          <w:sz w:val="24"/>
          <w:szCs w:val="24"/>
        </w:rPr>
      </w:pPr>
    </w:p>
    <w:p w14:paraId="06B06C0D" w14:textId="1579D25E" w:rsidR="00237C94" w:rsidRPr="00923F13" w:rsidRDefault="00237C94" w:rsidP="00BD4430">
      <w:pPr>
        <w:jc w:val="both"/>
        <w:rPr>
          <w:rFonts w:cstheme="minorHAnsi"/>
          <w:color w:val="2F5496" w:themeColor="accent1" w:themeShade="BF"/>
          <w:sz w:val="24"/>
          <w:szCs w:val="24"/>
        </w:rPr>
      </w:pPr>
      <w:r w:rsidRPr="00923F13">
        <w:rPr>
          <w:rFonts w:cstheme="minorHAnsi"/>
          <w:color w:val="2F5496" w:themeColor="accent1" w:themeShade="BF"/>
          <w:sz w:val="24"/>
          <w:szCs w:val="24"/>
        </w:rPr>
        <w:t>(Entry 78 of Annex XVII REACH, as amended by Commission Regulation (EU) 2023/2055)</w:t>
      </w:r>
    </w:p>
    <w:p w14:paraId="7B7BB02C" w14:textId="77777777" w:rsidR="008D3952" w:rsidRPr="00923F13" w:rsidRDefault="008D3952" w:rsidP="00BD4430">
      <w:pPr>
        <w:jc w:val="both"/>
        <w:rPr>
          <w:rFonts w:cstheme="minorHAnsi"/>
          <w:color w:val="2F5496" w:themeColor="accent1" w:themeShade="BF"/>
          <w:sz w:val="24"/>
          <w:szCs w:val="24"/>
        </w:rPr>
      </w:pPr>
    </w:p>
    <w:p w14:paraId="70B22703" w14:textId="77777777" w:rsidR="008D3952" w:rsidRPr="00923F13" w:rsidRDefault="008D3952" w:rsidP="00BD4430">
      <w:pPr>
        <w:jc w:val="both"/>
        <w:rPr>
          <w:rFonts w:cstheme="minorHAnsi"/>
          <w:color w:val="2F5496" w:themeColor="accent1" w:themeShade="BF"/>
          <w:sz w:val="24"/>
          <w:szCs w:val="24"/>
        </w:rPr>
      </w:pPr>
    </w:p>
    <w:p w14:paraId="6A6817A8" w14:textId="77777777" w:rsidR="008D3952" w:rsidRPr="00923F13" w:rsidRDefault="008D3952" w:rsidP="00BD4430">
      <w:pPr>
        <w:jc w:val="both"/>
        <w:rPr>
          <w:rFonts w:cstheme="minorHAnsi"/>
          <w:color w:val="2F5496" w:themeColor="accent1" w:themeShade="BF"/>
          <w:sz w:val="24"/>
          <w:szCs w:val="24"/>
        </w:rPr>
      </w:pPr>
    </w:p>
    <w:p w14:paraId="60C78F15" w14:textId="77777777" w:rsidR="008D3952" w:rsidRPr="00923F13" w:rsidRDefault="008D3952" w:rsidP="007F6227">
      <w:pPr>
        <w:spacing w:after="120" w:line="240" w:lineRule="auto"/>
        <w:jc w:val="both"/>
        <w:rPr>
          <w:rFonts w:cstheme="minorHAnsi"/>
          <w:color w:val="2F5496" w:themeColor="accent1" w:themeShade="BF"/>
          <w:sz w:val="24"/>
          <w:szCs w:val="24"/>
        </w:rPr>
      </w:pPr>
    </w:p>
    <w:p w14:paraId="6F8936BB" w14:textId="7A3BDD21" w:rsidR="003A2AD8" w:rsidRPr="00BD4430" w:rsidRDefault="49665192" w:rsidP="007F6227">
      <w:pPr>
        <w:spacing w:after="120" w:line="240" w:lineRule="auto"/>
        <w:jc w:val="both"/>
        <w:rPr>
          <w:rFonts w:cstheme="minorHAnsi"/>
          <w:i/>
          <w:iCs/>
          <w:kern w:val="0"/>
          <w:sz w:val="24"/>
          <w:szCs w:val="24"/>
        </w:rPr>
      </w:pPr>
      <w:r w:rsidRPr="00BD4430">
        <w:rPr>
          <w:rFonts w:cstheme="minorHAnsi"/>
          <w:i/>
          <w:iCs/>
          <w:color w:val="000000" w:themeColor="text1"/>
          <w:sz w:val="24"/>
          <w:szCs w:val="24"/>
        </w:rPr>
        <w:t xml:space="preserve">Disclaimer: The information contained in this Q&amp;A is intended for general guidance only, to help the industry understand the REACH Restriction </w:t>
      </w:r>
      <w:r w:rsidR="00482A13" w:rsidRPr="00BD4430">
        <w:rPr>
          <w:rFonts w:cstheme="minorHAnsi"/>
          <w:i/>
          <w:iCs/>
          <w:color w:val="000000" w:themeColor="text1"/>
          <w:sz w:val="24"/>
          <w:szCs w:val="24"/>
        </w:rPr>
        <w:t xml:space="preserve">on Synthetic Polymer Microparticles </w:t>
      </w:r>
      <w:r w:rsidRPr="00BD4430">
        <w:rPr>
          <w:rFonts w:cstheme="minorHAnsi"/>
          <w:i/>
          <w:iCs/>
          <w:color w:val="000000" w:themeColor="text1"/>
          <w:sz w:val="24"/>
          <w:szCs w:val="24"/>
        </w:rPr>
        <w:t xml:space="preserve">published in the OJ on 25 September 2023. The Q&amp;A was compiled with the support of the </w:t>
      </w:r>
      <w:proofErr w:type="spellStart"/>
      <w:r w:rsidRPr="00BD4430">
        <w:rPr>
          <w:rFonts w:cstheme="minorHAnsi"/>
          <w:i/>
          <w:iCs/>
          <w:color w:val="000000" w:themeColor="text1"/>
          <w:sz w:val="24"/>
          <w:szCs w:val="24"/>
        </w:rPr>
        <w:t>Cefic</w:t>
      </w:r>
      <w:proofErr w:type="spellEnd"/>
      <w:r w:rsidRPr="00BD4430">
        <w:rPr>
          <w:rFonts w:cstheme="minorHAnsi"/>
          <w:i/>
          <w:iCs/>
          <w:color w:val="000000" w:themeColor="text1"/>
          <w:sz w:val="24"/>
          <w:szCs w:val="24"/>
        </w:rPr>
        <w:t xml:space="preserve"> network of experts on microplastics. Whilst the information is provided in good faith and has been based on the best information currently available, it is to be relied upon at the user’s own risk. No representations or warranties are made with regards to its completeness or accuracy and no liability will be accepted by </w:t>
      </w:r>
      <w:proofErr w:type="spellStart"/>
      <w:r w:rsidRPr="00BD4430">
        <w:rPr>
          <w:rFonts w:cstheme="minorHAnsi"/>
          <w:i/>
          <w:iCs/>
          <w:color w:val="000000" w:themeColor="text1"/>
          <w:sz w:val="24"/>
          <w:szCs w:val="24"/>
        </w:rPr>
        <w:t>Cefic</w:t>
      </w:r>
      <w:proofErr w:type="spellEnd"/>
      <w:r w:rsidRPr="00BD4430">
        <w:rPr>
          <w:rFonts w:cstheme="minorHAnsi"/>
          <w:i/>
          <w:iCs/>
          <w:color w:val="000000" w:themeColor="text1"/>
          <w:sz w:val="24"/>
          <w:szCs w:val="24"/>
        </w:rPr>
        <w:t xml:space="preserve"> nor any company participating in </w:t>
      </w:r>
      <w:proofErr w:type="spellStart"/>
      <w:r w:rsidRPr="00BD4430">
        <w:rPr>
          <w:rFonts w:cstheme="minorHAnsi"/>
          <w:i/>
          <w:iCs/>
          <w:color w:val="000000" w:themeColor="text1"/>
          <w:sz w:val="24"/>
          <w:szCs w:val="24"/>
        </w:rPr>
        <w:t>Cefic</w:t>
      </w:r>
      <w:proofErr w:type="spellEnd"/>
      <w:r w:rsidRPr="00BD4430">
        <w:rPr>
          <w:rFonts w:cstheme="minorHAnsi"/>
          <w:i/>
          <w:iCs/>
          <w:color w:val="000000" w:themeColor="text1"/>
          <w:sz w:val="24"/>
          <w:szCs w:val="24"/>
        </w:rPr>
        <w:t xml:space="preserve"> for damages of any nature whatsoever resulting from the use of or reliance on the information. This document does not necessarily represent the views of any company participating in </w:t>
      </w:r>
      <w:proofErr w:type="spellStart"/>
      <w:r w:rsidRPr="00BD4430">
        <w:rPr>
          <w:rFonts w:cstheme="minorHAnsi"/>
          <w:i/>
          <w:iCs/>
          <w:color w:val="000000" w:themeColor="text1"/>
          <w:sz w:val="24"/>
          <w:szCs w:val="24"/>
        </w:rPr>
        <w:t>Cefic</w:t>
      </w:r>
      <w:proofErr w:type="spellEnd"/>
      <w:r w:rsidRPr="00BD4430">
        <w:rPr>
          <w:rFonts w:cstheme="minorHAnsi"/>
          <w:i/>
          <w:iCs/>
          <w:color w:val="000000" w:themeColor="text1"/>
          <w:sz w:val="24"/>
          <w:szCs w:val="24"/>
        </w:rPr>
        <w:t>.</w:t>
      </w:r>
    </w:p>
    <w:p w14:paraId="4620273D" w14:textId="77777777" w:rsidR="005A51AC" w:rsidRPr="00BD4430" w:rsidRDefault="005A51AC" w:rsidP="007F6227">
      <w:pPr>
        <w:autoSpaceDE w:val="0"/>
        <w:autoSpaceDN w:val="0"/>
        <w:adjustRightInd w:val="0"/>
        <w:spacing w:after="120" w:line="240" w:lineRule="auto"/>
        <w:jc w:val="both"/>
        <w:rPr>
          <w:rFonts w:cstheme="minorHAnsi"/>
          <w:color w:val="000000"/>
          <w:kern w:val="0"/>
          <w:sz w:val="24"/>
          <w:szCs w:val="24"/>
          <w14:ligatures w14:val="none"/>
        </w:rPr>
      </w:pPr>
    </w:p>
    <w:p w14:paraId="0E352941" w14:textId="659F3592" w:rsidR="003A2AD8" w:rsidRPr="00242741" w:rsidRDefault="005A51AC" w:rsidP="007F6227">
      <w:pPr>
        <w:spacing w:after="120" w:line="240" w:lineRule="auto"/>
        <w:jc w:val="center"/>
        <w:rPr>
          <w:rFonts w:cstheme="minorHAnsi"/>
          <w:b/>
          <w:bCs/>
          <w:i/>
          <w:iCs/>
          <w:color w:val="C00000"/>
          <w:sz w:val="24"/>
          <w:szCs w:val="24"/>
        </w:rPr>
      </w:pPr>
      <w:bookmarkStart w:id="0" w:name="_Hlk168560196"/>
      <w:proofErr w:type="spellStart"/>
      <w:r w:rsidRPr="00242741">
        <w:rPr>
          <w:rFonts w:cstheme="minorHAnsi"/>
          <w:b/>
          <w:bCs/>
          <w:i/>
          <w:iCs/>
          <w:color w:val="C00000"/>
          <w:sz w:val="24"/>
          <w:szCs w:val="24"/>
        </w:rPr>
        <w:t>Cefic</w:t>
      </w:r>
      <w:proofErr w:type="spellEnd"/>
      <w:r w:rsidRPr="00242741">
        <w:rPr>
          <w:rFonts w:cstheme="minorHAnsi"/>
          <w:b/>
          <w:bCs/>
          <w:i/>
          <w:iCs/>
          <w:color w:val="C00000"/>
          <w:sz w:val="24"/>
          <w:szCs w:val="24"/>
        </w:rPr>
        <w:t xml:space="preserve"> strongly recommends that </w:t>
      </w:r>
      <w:r w:rsidR="008D3952" w:rsidRPr="00242741">
        <w:rPr>
          <w:rFonts w:cstheme="minorHAnsi"/>
          <w:b/>
          <w:bCs/>
          <w:i/>
          <w:iCs/>
          <w:color w:val="C00000"/>
          <w:sz w:val="24"/>
          <w:szCs w:val="24"/>
        </w:rPr>
        <w:t>companies</w:t>
      </w:r>
      <w:r w:rsidRPr="00242741">
        <w:rPr>
          <w:rFonts w:cstheme="minorHAnsi"/>
          <w:b/>
          <w:bCs/>
          <w:i/>
          <w:iCs/>
          <w:color w:val="C00000"/>
          <w:sz w:val="24"/>
          <w:szCs w:val="24"/>
        </w:rPr>
        <w:t xml:space="preserve"> continue to assess their legal responsibility with regards to </w:t>
      </w:r>
      <w:bookmarkStart w:id="1" w:name="_Hlk168560809"/>
      <w:r w:rsidRPr="00242741">
        <w:rPr>
          <w:rFonts w:cstheme="minorHAnsi"/>
          <w:b/>
          <w:bCs/>
          <w:i/>
          <w:iCs/>
          <w:color w:val="C00000"/>
          <w:sz w:val="24"/>
          <w:szCs w:val="24"/>
        </w:rPr>
        <w:t xml:space="preserve">REACH </w:t>
      </w:r>
      <w:r w:rsidR="000E6153">
        <w:rPr>
          <w:rFonts w:cstheme="minorHAnsi"/>
          <w:b/>
          <w:bCs/>
          <w:i/>
          <w:iCs/>
          <w:color w:val="C00000"/>
          <w:sz w:val="24"/>
          <w:szCs w:val="24"/>
        </w:rPr>
        <w:t xml:space="preserve">Synthetic Polymer </w:t>
      </w:r>
      <w:r w:rsidR="000E6153" w:rsidRPr="00242741">
        <w:rPr>
          <w:rFonts w:cstheme="minorHAnsi"/>
          <w:b/>
          <w:bCs/>
          <w:i/>
          <w:iCs/>
          <w:color w:val="C00000"/>
          <w:sz w:val="24"/>
          <w:szCs w:val="24"/>
        </w:rPr>
        <w:t>M</w:t>
      </w:r>
      <w:r w:rsidR="000E6153">
        <w:rPr>
          <w:rFonts w:cstheme="minorHAnsi"/>
          <w:b/>
          <w:bCs/>
          <w:i/>
          <w:iCs/>
          <w:color w:val="C00000"/>
          <w:sz w:val="24"/>
          <w:szCs w:val="24"/>
        </w:rPr>
        <w:t>icroparticles</w:t>
      </w:r>
      <w:r w:rsidRPr="00242741">
        <w:rPr>
          <w:rFonts w:cstheme="minorHAnsi"/>
          <w:b/>
          <w:bCs/>
          <w:i/>
          <w:iCs/>
          <w:color w:val="C00000"/>
          <w:sz w:val="24"/>
          <w:szCs w:val="24"/>
        </w:rPr>
        <w:t xml:space="preserve"> </w:t>
      </w:r>
      <w:bookmarkEnd w:id="1"/>
      <w:r w:rsidRPr="00242741">
        <w:rPr>
          <w:rFonts w:cstheme="minorHAnsi"/>
          <w:b/>
          <w:bCs/>
          <w:i/>
          <w:iCs/>
          <w:color w:val="C00000"/>
          <w:sz w:val="24"/>
          <w:szCs w:val="24"/>
        </w:rPr>
        <w:t>Restriction.</w:t>
      </w:r>
    </w:p>
    <w:bookmarkEnd w:id="0"/>
    <w:p w14:paraId="20A7587A" w14:textId="77777777" w:rsidR="008D3952" w:rsidRPr="00BD4430" w:rsidRDefault="008D3952" w:rsidP="007F6227">
      <w:pPr>
        <w:spacing w:after="120" w:line="240" w:lineRule="auto"/>
        <w:jc w:val="both"/>
        <w:rPr>
          <w:rFonts w:cstheme="minorHAnsi"/>
          <w:b/>
          <w:bCs/>
          <w:i/>
          <w:iCs/>
          <w:color w:val="000000" w:themeColor="text1"/>
          <w:sz w:val="24"/>
          <w:szCs w:val="24"/>
        </w:rPr>
      </w:pPr>
    </w:p>
    <w:p w14:paraId="31C25369" w14:textId="77777777" w:rsidR="008D3952" w:rsidRPr="00BD4430" w:rsidRDefault="008D3952" w:rsidP="007F6227">
      <w:pPr>
        <w:spacing w:after="120" w:line="240" w:lineRule="auto"/>
        <w:jc w:val="both"/>
        <w:rPr>
          <w:rFonts w:cstheme="minorHAnsi"/>
          <w:b/>
          <w:bCs/>
          <w:i/>
          <w:iCs/>
          <w:color w:val="000000" w:themeColor="text1"/>
          <w:sz w:val="24"/>
          <w:szCs w:val="24"/>
        </w:rPr>
      </w:pPr>
    </w:p>
    <w:p w14:paraId="169876DD" w14:textId="77777777" w:rsidR="008D3952" w:rsidRPr="00BD4430" w:rsidRDefault="008D3952" w:rsidP="007F6227">
      <w:pPr>
        <w:spacing w:after="120" w:line="240" w:lineRule="auto"/>
        <w:jc w:val="both"/>
        <w:rPr>
          <w:rFonts w:cstheme="minorHAnsi"/>
          <w:b/>
          <w:bCs/>
          <w:i/>
          <w:iCs/>
          <w:color w:val="000000" w:themeColor="text1"/>
          <w:sz w:val="24"/>
          <w:szCs w:val="24"/>
        </w:rPr>
      </w:pPr>
    </w:p>
    <w:sdt>
      <w:sdtPr>
        <w:rPr>
          <w:rFonts w:asciiTheme="minorHAnsi" w:eastAsiaTheme="minorHAnsi" w:hAnsiTheme="minorHAnsi" w:cstheme="minorBidi"/>
          <w:color w:val="auto"/>
          <w:kern w:val="2"/>
          <w:sz w:val="22"/>
          <w:szCs w:val="22"/>
          <w14:ligatures w14:val="standardContextual"/>
        </w:rPr>
        <w:id w:val="207162565"/>
        <w:docPartObj>
          <w:docPartGallery w:val="Table of Contents"/>
          <w:docPartUnique/>
        </w:docPartObj>
      </w:sdtPr>
      <w:sdtEndPr>
        <w:rPr>
          <w:b/>
          <w:bCs/>
          <w:noProof/>
        </w:rPr>
      </w:sdtEndPr>
      <w:sdtContent>
        <w:p w14:paraId="7D79F55E" w14:textId="77777777" w:rsidR="00E0208F" w:rsidRDefault="00E0208F" w:rsidP="00FF79FF">
          <w:pPr>
            <w:pStyle w:val="Sisukorrapealkiri"/>
            <w:jc w:val="both"/>
          </w:pPr>
          <w:r>
            <w:t>Table of Contents</w:t>
          </w:r>
        </w:p>
        <w:p w14:paraId="0E2BF98B" w14:textId="527043F7" w:rsidR="00D32230" w:rsidRDefault="00D32230" w:rsidP="00267F45">
          <w:pPr>
            <w:pStyle w:val="SK1"/>
            <w:tabs>
              <w:tab w:val="right" w:leader="dot" w:pos="9350"/>
            </w:tabs>
            <w:jc w:val="center"/>
            <w:rPr>
              <w:rFonts w:cstheme="minorBidi"/>
              <w:noProof/>
              <w:kern w:val="2"/>
              <w:sz w:val="24"/>
              <w:szCs w:val="24"/>
              <w14:ligatures w14:val="standardContextual"/>
            </w:rPr>
          </w:pPr>
          <w:r>
            <w:fldChar w:fldCharType="begin"/>
          </w:r>
          <w:r>
            <w:instrText xml:space="preserve"> TOC \o "1-3" \h \z \u </w:instrText>
          </w:r>
          <w:r>
            <w:fldChar w:fldCharType="separate"/>
          </w:r>
          <w:hyperlink w:anchor="_Toc170394053" w:history="1">
            <w:r w:rsidRPr="00AA7838">
              <w:rPr>
                <w:rStyle w:val="Hperlink"/>
                <w:rFonts w:cstheme="minorHAnsi"/>
                <w:b/>
                <w:bCs/>
                <w:noProof/>
              </w:rPr>
              <w:t>Introduction</w:t>
            </w:r>
            <w:r>
              <w:rPr>
                <w:noProof/>
                <w:webHidden/>
              </w:rPr>
              <w:tab/>
            </w:r>
            <w:r>
              <w:rPr>
                <w:noProof/>
                <w:webHidden/>
              </w:rPr>
              <w:fldChar w:fldCharType="begin"/>
            </w:r>
            <w:r>
              <w:rPr>
                <w:noProof/>
                <w:webHidden/>
              </w:rPr>
              <w:instrText xml:space="preserve"> PAGEREF _Toc170394053 \h </w:instrText>
            </w:r>
            <w:r>
              <w:rPr>
                <w:noProof/>
                <w:webHidden/>
              </w:rPr>
            </w:r>
            <w:r>
              <w:rPr>
                <w:noProof/>
                <w:webHidden/>
              </w:rPr>
              <w:fldChar w:fldCharType="separate"/>
            </w:r>
            <w:r w:rsidR="00FF79FF">
              <w:rPr>
                <w:noProof/>
                <w:webHidden/>
              </w:rPr>
              <w:t>3</w:t>
            </w:r>
            <w:r>
              <w:rPr>
                <w:noProof/>
                <w:webHidden/>
              </w:rPr>
              <w:fldChar w:fldCharType="end"/>
            </w:r>
          </w:hyperlink>
        </w:p>
        <w:p w14:paraId="4810F900" w14:textId="5DDFF532" w:rsidR="00D32230" w:rsidRDefault="00CB220B" w:rsidP="00267F45">
          <w:pPr>
            <w:pStyle w:val="SK3"/>
            <w:jc w:val="center"/>
            <w:rPr>
              <w:rFonts w:cstheme="minorBidi"/>
              <w:noProof/>
              <w:color w:val="auto"/>
              <w:kern w:val="2"/>
              <w14:ligatures w14:val="standardContextual"/>
            </w:rPr>
          </w:pPr>
          <w:hyperlink w:anchor="_Toc170394054" w:history="1">
            <w:r w:rsidR="00D32230" w:rsidRPr="00AA7838">
              <w:rPr>
                <w:rStyle w:val="Hperlink"/>
                <w:noProof/>
                <w:lang w:val="fr-BE"/>
              </w:rPr>
              <w:t>1.SCOPE</w:t>
            </w:r>
            <w:r w:rsidR="00020F11">
              <w:rPr>
                <w:rStyle w:val="Hperlink"/>
                <w:noProof/>
                <w:lang w:val="fr-BE"/>
              </w:rPr>
              <w:t xml:space="preserve"> </w:t>
            </w:r>
            <w:r w:rsidR="00D32230" w:rsidRPr="00AA7838">
              <w:rPr>
                <w:rStyle w:val="Hperlink"/>
                <w:noProof/>
                <w:lang w:val="fr-BE"/>
              </w:rPr>
              <w:t>and DEFINITIONS</w:t>
            </w:r>
            <w:r w:rsidR="00D32230">
              <w:rPr>
                <w:noProof/>
                <w:webHidden/>
              </w:rPr>
              <w:tab/>
            </w:r>
            <w:r w:rsidR="00D32230">
              <w:rPr>
                <w:noProof/>
                <w:webHidden/>
              </w:rPr>
              <w:fldChar w:fldCharType="begin"/>
            </w:r>
            <w:r w:rsidR="00D32230">
              <w:rPr>
                <w:noProof/>
                <w:webHidden/>
              </w:rPr>
              <w:instrText xml:space="preserve"> PAGEREF _Toc170394054 \h </w:instrText>
            </w:r>
            <w:r w:rsidR="00D32230">
              <w:rPr>
                <w:noProof/>
                <w:webHidden/>
              </w:rPr>
            </w:r>
            <w:r w:rsidR="00D32230">
              <w:rPr>
                <w:noProof/>
                <w:webHidden/>
              </w:rPr>
              <w:fldChar w:fldCharType="separate"/>
            </w:r>
            <w:r w:rsidR="00FF79FF">
              <w:rPr>
                <w:noProof/>
                <w:webHidden/>
              </w:rPr>
              <w:t>4</w:t>
            </w:r>
            <w:r w:rsidR="00D32230">
              <w:rPr>
                <w:noProof/>
                <w:webHidden/>
              </w:rPr>
              <w:fldChar w:fldCharType="end"/>
            </w:r>
          </w:hyperlink>
        </w:p>
        <w:p w14:paraId="4E2D54FC" w14:textId="73CE6D3B" w:rsidR="00D32230" w:rsidRDefault="00CB220B" w:rsidP="00267F45">
          <w:pPr>
            <w:pStyle w:val="SK3"/>
            <w:jc w:val="center"/>
            <w:rPr>
              <w:rFonts w:cstheme="minorBidi"/>
              <w:noProof/>
              <w:color w:val="auto"/>
              <w:kern w:val="2"/>
              <w14:ligatures w14:val="standardContextual"/>
            </w:rPr>
          </w:pPr>
          <w:hyperlink w:anchor="_Toc170394055" w:history="1">
            <w:r w:rsidR="00D32230" w:rsidRPr="00AA7838">
              <w:rPr>
                <w:rStyle w:val="Hperlink"/>
                <w:rFonts w:cstheme="minorHAnsi"/>
                <w:noProof/>
                <w:lang w:val="fr-BE"/>
              </w:rPr>
              <w:t>2.</w:t>
            </w:r>
            <w:r w:rsidR="00D32230" w:rsidRPr="00AA7838">
              <w:rPr>
                <w:rStyle w:val="Hperlink"/>
                <w:noProof/>
                <w:lang w:val="fr-BE"/>
              </w:rPr>
              <w:t>DEROGATIONS</w:t>
            </w:r>
            <w:r w:rsidR="00D32230">
              <w:rPr>
                <w:noProof/>
                <w:webHidden/>
              </w:rPr>
              <w:tab/>
            </w:r>
            <w:r w:rsidR="00D32230">
              <w:rPr>
                <w:noProof/>
                <w:webHidden/>
              </w:rPr>
              <w:fldChar w:fldCharType="begin"/>
            </w:r>
            <w:r w:rsidR="00D32230">
              <w:rPr>
                <w:noProof/>
                <w:webHidden/>
              </w:rPr>
              <w:instrText xml:space="preserve"> PAGEREF _Toc170394055 \h </w:instrText>
            </w:r>
            <w:r w:rsidR="00D32230">
              <w:rPr>
                <w:noProof/>
                <w:webHidden/>
              </w:rPr>
            </w:r>
            <w:r w:rsidR="00D32230">
              <w:rPr>
                <w:noProof/>
                <w:webHidden/>
              </w:rPr>
              <w:fldChar w:fldCharType="separate"/>
            </w:r>
            <w:r w:rsidR="00FF79FF">
              <w:rPr>
                <w:noProof/>
                <w:webHidden/>
              </w:rPr>
              <w:t>8</w:t>
            </w:r>
            <w:r w:rsidR="00D32230">
              <w:rPr>
                <w:noProof/>
                <w:webHidden/>
              </w:rPr>
              <w:fldChar w:fldCharType="end"/>
            </w:r>
          </w:hyperlink>
        </w:p>
        <w:p w14:paraId="3C22152C" w14:textId="51416A1E" w:rsidR="00D32230" w:rsidRDefault="00CB220B" w:rsidP="00267F45">
          <w:pPr>
            <w:pStyle w:val="SK3"/>
            <w:jc w:val="center"/>
            <w:rPr>
              <w:rFonts w:cstheme="minorBidi"/>
              <w:noProof/>
              <w:color w:val="auto"/>
              <w:kern w:val="2"/>
              <w14:ligatures w14:val="standardContextual"/>
            </w:rPr>
          </w:pPr>
          <w:hyperlink w:anchor="_Toc170394056" w:history="1">
            <w:r w:rsidR="00D32230" w:rsidRPr="00AA7838">
              <w:rPr>
                <w:rStyle w:val="Hperlink"/>
                <w:rFonts w:cstheme="minorHAnsi"/>
                <w:noProof/>
                <w:lang w:val="fr-BE"/>
              </w:rPr>
              <w:t>3.</w:t>
            </w:r>
            <w:r w:rsidR="00D32230" w:rsidRPr="00AA7838">
              <w:rPr>
                <w:rStyle w:val="Hperlink"/>
                <w:noProof/>
                <w:lang w:val="fr-BE"/>
              </w:rPr>
              <w:t>TRANSITION PERIODS</w:t>
            </w:r>
            <w:r w:rsidR="00D32230">
              <w:rPr>
                <w:noProof/>
                <w:webHidden/>
              </w:rPr>
              <w:tab/>
            </w:r>
            <w:r w:rsidR="00D32230">
              <w:rPr>
                <w:noProof/>
                <w:webHidden/>
              </w:rPr>
              <w:fldChar w:fldCharType="begin"/>
            </w:r>
            <w:r w:rsidR="00D32230">
              <w:rPr>
                <w:noProof/>
                <w:webHidden/>
              </w:rPr>
              <w:instrText xml:space="preserve"> PAGEREF _Toc170394056 \h </w:instrText>
            </w:r>
            <w:r w:rsidR="00D32230">
              <w:rPr>
                <w:noProof/>
                <w:webHidden/>
              </w:rPr>
            </w:r>
            <w:r w:rsidR="00D32230">
              <w:rPr>
                <w:noProof/>
                <w:webHidden/>
              </w:rPr>
              <w:fldChar w:fldCharType="separate"/>
            </w:r>
            <w:r w:rsidR="00FF79FF">
              <w:rPr>
                <w:noProof/>
                <w:webHidden/>
              </w:rPr>
              <w:t>11</w:t>
            </w:r>
            <w:r w:rsidR="00D32230">
              <w:rPr>
                <w:noProof/>
                <w:webHidden/>
              </w:rPr>
              <w:fldChar w:fldCharType="end"/>
            </w:r>
          </w:hyperlink>
        </w:p>
        <w:p w14:paraId="029319B9" w14:textId="5590DA23" w:rsidR="00D32230" w:rsidRDefault="00CB220B" w:rsidP="00267F45">
          <w:pPr>
            <w:pStyle w:val="SK3"/>
            <w:jc w:val="center"/>
            <w:rPr>
              <w:rFonts w:cstheme="minorBidi"/>
              <w:noProof/>
              <w:color w:val="auto"/>
              <w:kern w:val="2"/>
              <w14:ligatures w14:val="standardContextual"/>
            </w:rPr>
          </w:pPr>
          <w:hyperlink w:anchor="_Toc170394057" w:history="1">
            <w:r w:rsidR="00D32230" w:rsidRPr="00AA7838">
              <w:rPr>
                <w:rStyle w:val="Hperlink"/>
                <w:rFonts w:cstheme="minorHAnsi"/>
                <w:noProof/>
                <w:lang w:val="fr-BE"/>
              </w:rPr>
              <w:t>4.</w:t>
            </w:r>
            <w:r w:rsidR="00D32230" w:rsidRPr="00AA7838">
              <w:rPr>
                <w:rStyle w:val="Hperlink"/>
                <w:noProof/>
                <w:lang w:val="fr-BE"/>
              </w:rPr>
              <w:t>INSTRUCTIONS for USE and DISPOSAL</w:t>
            </w:r>
            <w:r w:rsidR="00D32230">
              <w:rPr>
                <w:noProof/>
                <w:webHidden/>
              </w:rPr>
              <w:tab/>
            </w:r>
            <w:r w:rsidR="00D32230">
              <w:rPr>
                <w:noProof/>
                <w:webHidden/>
              </w:rPr>
              <w:fldChar w:fldCharType="begin"/>
            </w:r>
            <w:r w:rsidR="00D32230">
              <w:rPr>
                <w:noProof/>
                <w:webHidden/>
              </w:rPr>
              <w:instrText xml:space="preserve"> PAGEREF _Toc170394057 \h </w:instrText>
            </w:r>
            <w:r w:rsidR="00D32230">
              <w:rPr>
                <w:noProof/>
                <w:webHidden/>
              </w:rPr>
            </w:r>
            <w:r w:rsidR="00D32230">
              <w:rPr>
                <w:noProof/>
                <w:webHidden/>
              </w:rPr>
              <w:fldChar w:fldCharType="separate"/>
            </w:r>
            <w:r w:rsidR="00FF79FF">
              <w:rPr>
                <w:noProof/>
                <w:webHidden/>
              </w:rPr>
              <w:t>14</w:t>
            </w:r>
            <w:r w:rsidR="00D32230">
              <w:rPr>
                <w:noProof/>
                <w:webHidden/>
              </w:rPr>
              <w:fldChar w:fldCharType="end"/>
            </w:r>
          </w:hyperlink>
        </w:p>
        <w:p w14:paraId="604E6E6D" w14:textId="310D575E" w:rsidR="00D32230" w:rsidRDefault="00CB220B" w:rsidP="00267F45">
          <w:pPr>
            <w:pStyle w:val="SK3"/>
            <w:jc w:val="center"/>
            <w:rPr>
              <w:noProof/>
            </w:rPr>
          </w:pPr>
          <w:hyperlink w:anchor="_Toc170394058" w:history="1">
            <w:r w:rsidR="00D32230" w:rsidRPr="00AA7838">
              <w:rPr>
                <w:rStyle w:val="Hperlink"/>
                <w:rFonts w:cstheme="minorHAnsi"/>
                <w:noProof/>
                <w:lang w:val="fr-BE"/>
              </w:rPr>
              <w:t>5.</w:t>
            </w:r>
            <w:r w:rsidR="00D32230" w:rsidRPr="00AA7838">
              <w:rPr>
                <w:rStyle w:val="Hperlink"/>
                <w:noProof/>
                <w:lang w:val="fr-BE"/>
              </w:rPr>
              <w:t>REPORTING</w:t>
            </w:r>
            <w:r w:rsidR="00D32230">
              <w:rPr>
                <w:noProof/>
                <w:webHidden/>
              </w:rPr>
              <w:tab/>
            </w:r>
            <w:r w:rsidR="00D32230">
              <w:rPr>
                <w:noProof/>
                <w:webHidden/>
              </w:rPr>
              <w:fldChar w:fldCharType="begin"/>
            </w:r>
            <w:r w:rsidR="00D32230">
              <w:rPr>
                <w:noProof/>
                <w:webHidden/>
              </w:rPr>
              <w:instrText xml:space="preserve"> PAGEREF _Toc170394058 \h </w:instrText>
            </w:r>
            <w:r w:rsidR="00D32230">
              <w:rPr>
                <w:noProof/>
                <w:webHidden/>
              </w:rPr>
            </w:r>
            <w:r w:rsidR="00D32230">
              <w:rPr>
                <w:noProof/>
                <w:webHidden/>
              </w:rPr>
              <w:fldChar w:fldCharType="separate"/>
            </w:r>
            <w:r w:rsidR="00FF79FF">
              <w:rPr>
                <w:noProof/>
                <w:webHidden/>
              </w:rPr>
              <w:t>16</w:t>
            </w:r>
            <w:r w:rsidR="00D32230">
              <w:rPr>
                <w:noProof/>
                <w:webHidden/>
              </w:rPr>
              <w:fldChar w:fldCharType="end"/>
            </w:r>
          </w:hyperlink>
        </w:p>
        <w:p w14:paraId="449BFF52" w14:textId="1DA7CD9C" w:rsidR="00864A1C" w:rsidRPr="00864A1C" w:rsidRDefault="00864A1C" w:rsidP="00267F45">
          <w:pPr>
            <w:rPr>
              <w:noProof/>
            </w:rPr>
          </w:pPr>
          <w:r>
            <w:rPr>
              <w:noProof/>
            </w:rPr>
            <w:t>PART II</w:t>
          </w:r>
        </w:p>
        <w:p w14:paraId="3BEF297C" w14:textId="67DD8524" w:rsidR="00D32230" w:rsidRDefault="00CB220B" w:rsidP="00267F45">
          <w:pPr>
            <w:pStyle w:val="SK3"/>
            <w:jc w:val="center"/>
            <w:rPr>
              <w:rFonts w:cstheme="minorBidi"/>
              <w:noProof/>
              <w:color w:val="auto"/>
              <w:kern w:val="2"/>
              <w14:ligatures w14:val="standardContextual"/>
            </w:rPr>
          </w:pPr>
          <w:hyperlink w:anchor="_Toc170394059" w:history="1">
            <w:r w:rsidR="00D32230" w:rsidRPr="00AA7838">
              <w:rPr>
                <w:rStyle w:val="Hperlink"/>
                <w:noProof/>
              </w:rPr>
              <w:t>6.SCOPE and Definitions</w:t>
            </w:r>
            <w:r w:rsidR="00D32230">
              <w:rPr>
                <w:noProof/>
                <w:webHidden/>
              </w:rPr>
              <w:tab/>
            </w:r>
            <w:r w:rsidR="00D32230">
              <w:rPr>
                <w:noProof/>
                <w:webHidden/>
              </w:rPr>
              <w:fldChar w:fldCharType="begin"/>
            </w:r>
            <w:r w:rsidR="00D32230">
              <w:rPr>
                <w:noProof/>
                <w:webHidden/>
              </w:rPr>
              <w:instrText xml:space="preserve"> PAGEREF _Toc170394059 \h </w:instrText>
            </w:r>
            <w:r w:rsidR="00D32230">
              <w:rPr>
                <w:noProof/>
                <w:webHidden/>
              </w:rPr>
            </w:r>
            <w:r w:rsidR="00D32230">
              <w:rPr>
                <w:noProof/>
                <w:webHidden/>
              </w:rPr>
              <w:fldChar w:fldCharType="separate"/>
            </w:r>
            <w:r w:rsidR="00FF79FF">
              <w:rPr>
                <w:noProof/>
                <w:webHidden/>
              </w:rPr>
              <w:t>18</w:t>
            </w:r>
            <w:r w:rsidR="00D32230">
              <w:rPr>
                <w:noProof/>
                <w:webHidden/>
              </w:rPr>
              <w:fldChar w:fldCharType="end"/>
            </w:r>
          </w:hyperlink>
        </w:p>
        <w:p w14:paraId="61175B61" w14:textId="3849A7AC" w:rsidR="00D32230" w:rsidRDefault="00CB220B" w:rsidP="00267F45">
          <w:pPr>
            <w:pStyle w:val="SK3"/>
            <w:jc w:val="center"/>
            <w:rPr>
              <w:rFonts w:cstheme="minorBidi"/>
              <w:noProof/>
              <w:color w:val="auto"/>
              <w:kern w:val="2"/>
              <w14:ligatures w14:val="standardContextual"/>
            </w:rPr>
          </w:pPr>
          <w:hyperlink w:anchor="_Toc170394060" w:history="1">
            <w:r w:rsidR="00D32230" w:rsidRPr="00AA7838">
              <w:rPr>
                <w:rStyle w:val="Hperlink"/>
                <w:noProof/>
              </w:rPr>
              <w:t>7.DEROGATIONS</w:t>
            </w:r>
            <w:r w:rsidR="00D32230">
              <w:rPr>
                <w:noProof/>
                <w:webHidden/>
              </w:rPr>
              <w:tab/>
            </w:r>
            <w:r w:rsidR="00D32230">
              <w:rPr>
                <w:noProof/>
                <w:webHidden/>
              </w:rPr>
              <w:fldChar w:fldCharType="begin"/>
            </w:r>
            <w:r w:rsidR="00D32230">
              <w:rPr>
                <w:noProof/>
                <w:webHidden/>
              </w:rPr>
              <w:instrText xml:space="preserve"> PAGEREF _Toc170394060 \h </w:instrText>
            </w:r>
            <w:r w:rsidR="00D32230">
              <w:rPr>
                <w:noProof/>
                <w:webHidden/>
              </w:rPr>
            </w:r>
            <w:r w:rsidR="00D32230">
              <w:rPr>
                <w:noProof/>
                <w:webHidden/>
              </w:rPr>
              <w:fldChar w:fldCharType="separate"/>
            </w:r>
            <w:r w:rsidR="00FF79FF">
              <w:rPr>
                <w:noProof/>
                <w:webHidden/>
              </w:rPr>
              <w:t>19</w:t>
            </w:r>
            <w:r w:rsidR="00D32230">
              <w:rPr>
                <w:noProof/>
                <w:webHidden/>
              </w:rPr>
              <w:fldChar w:fldCharType="end"/>
            </w:r>
          </w:hyperlink>
        </w:p>
        <w:p w14:paraId="5A385FE3" w14:textId="7CB2330B" w:rsidR="00D32230" w:rsidRDefault="00CB220B" w:rsidP="00267F45">
          <w:pPr>
            <w:pStyle w:val="SK3"/>
            <w:jc w:val="center"/>
            <w:rPr>
              <w:rFonts w:cstheme="minorBidi"/>
              <w:noProof/>
              <w:color w:val="auto"/>
              <w:kern w:val="2"/>
              <w14:ligatures w14:val="standardContextual"/>
            </w:rPr>
          </w:pPr>
          <w:hyperlink w:anchor="_Toc170394071" w:history="1">
            <w:r w:rsidR="00D32230" w:rsidRPr="00AA7838">
              <w:rPr>
                <w:rStyle w:val="Hperlink"/>
                <w:noProof/>
              </w:rPr>
              <w:t>8.TRANSITION PERIODS</w:t>
            </w:r>
            <w:r w:rsidR="00D32230">
              <w:rPr>
                <w:noProof/>
                <w:webHidden/>
              </w:rPr>
              <w:tab/>
            </w:r>
            <w:r w:rsidR="00D32230">
              <w:rPr>
                <w:noProof/>
                <w:webHidden/>
              </w:rPr>
              <w:fldChar w:fldCharType="begin"/>
            </w:r>
            <w:r w:rsidR="00D32230">
              <w:rPr>
                <w:noProof/>
                <w:webHidden/>
              </w:rPr>
              <w:instrText xml:space="preserve"> PAGEREF _Toc170394071 \h </w:instrText>
            </w:r>
            <w:r w:rsidR="00D32230">
              <w:rPr>
                <w:noProof/>
                <w:webHidden/>
              </w:rPr>
            </w:r>
            <w:r w:rsidR="00D32230">
              <w:rPr>
                <w:noProof/>
                <w:webHidden/>
              </w:rPr>
              <w:fldChar w:fldCharType="separate"/>
            </w:r>
            <w:r w:rsidR="00FF79FF">
              <w:rPr>
                <w:noProof/>
                <w:webHidden/>
              </w:rPr>
              <w:t>21</w:t>
            </w:r>
            <w:r w:rsidR="00D32230">
              <w:rPr>
                <w:noProof/>
                <w:webHidden/>
              </w:rPr>
              <w:fldChar w:fldCharType="end"/>
            </w:r>
          </w:hyperlink>
        </w:p>
        <w:p w14:paraId="0CB46E4D" w14:textId="5B5D2AB9" w:rsidR="00D32230" w:rsidRDefault="00CB220B" w:rsidP="00267F45">
          <w:pPr>
            <w:pStyle w:val="SK3"/>
            <w:jc w:val="center"/>
            <w:rPr>
              <w:rFonts w:cstheme="minorBidi"/>
              <w:noProof/>
              <w:color w:val="auto"/>
              <w:kern w:val="2"/>
              <w14:ligatures w14:val="standardContextual"/>
            </w:rPr>
          </w:pPr>
          <w:hyperlink w:anchor="_Toc170394074" w:history="1">
            <w:r w:rsidR="00D32230" w:rsidRPr="00AA7838">
              <w:rPr>
                <w:rStyle w:val="Hperlink"/>
                <w:noProof/>
              </w:rPr>
              <w:t>9.INSTRUCTIONS FOR USE AND DISPOSAL</w:t>
            </w:r>
            <w:r w:rsidR="00D32230">
              <w:rPr>
                <w:noProof/>
                <w:webHidden/>
              </w:rPr>
              <w:tab/>
            </w:r>
            <w:r w:rsidR="00D32230">
              <w:rPr>
                <w:noProof/>
                <w:webHidden/>
              </w:rPr>
              <w:fldChar w:fldCharType="begin"/>
            </w:r>
            <w:r w:rsidR="00D32230">
              <w:rPr>
                <w:noProof/>
                <w:webHidden/>
              </w:rPr>
              <w:instrText xml:space="preserve"> PAGEREF _Toc170394074 \h </w:instrText>
            </w:r>
            <w:r w:rsidR="00D32230">
              <w:rPr>
                <w:noProof/>
                <w:webHidden/>
              </w:rPr>
            </w:r>
            <w:r w:rsidR="00D32230">
              <w:rPr>
                <w:noProof/>
                <w:webHidden/>
              </w:rPr>
              <w:fldChar w:fldCharType="separate"/>
            </w:r>
            <w:r w:rsidR="00FF79FF">
              <w:rPr>
                <w:noProof/>
                <w:webHidden/>
              </w:rPr>
              <w:t>21</w:t>
            </w:r>
            <w:r w:rsidR="00D32230">
              <w:rPr>
                <w:noProof/>
                <w:webHidden/>
              </w:rPr>
              <w:fldChar w:fldCharType="end"/>
            </w:r>
          </w:hyperlink>
        </w:p>
        <w:p w14:paraId="00F83028" w14:textId="203CF39E" w:rsidR="00D32230" w:rsidRDefault="00CB220B" w:rsidP="00267F45">
          <w:pPr>
            <w:pStyle w:val="SK3"/>
            <w:jc w:val="center"/>
            <w:rPr>
              <w:rFonts w:cstheme="minorBidi"/>
              <w:noProof/>
              <w:color w:val="auto"/>
              <w:kern w:val="2"/>
              <w14:ligatures w14:val="standardContextual"/>
            </w:rPr>
          </w:pPr>
          <w:hyperlink w:anchor="_Toc170394075" w:history="1">
            <w:r w:rsidR="00D32230" w:rsidRPr="00AA7838">
              <w:rPr>
                <w:rStyle w:val="Hperlink"/>
                <w:noProof/>
              </w:rPr>
              <w:t>10.REPORTING</w:t>
            </w:r>
            <w:r w:rsidR="00D32230">
              <w:rPr>
                <w:noProof/>
                <w:webHidden/>
              </w:rPr>
              <w:tab/>
            </w:r>
            <w:r w:rsidR="00D32230">
              <w:rPr>
                <w:noProof/>
                <w:webHidden/>
              </w:rPr>
              <w:fldChar w:fldCharType="begin"/>
            </w:r>
            <w:r w:rsidR="00D32230">
              <w:rPr>
                <w:noProof/>
                <w:webHidden/>
              </w:rPr>
              <w:instrText xml:space="preserve"> PAGEREF _Toc170394075 \h </w:instrText>
            </w:r>
            <w:r w:rsidR="00D32230">
              <w:rPr>
                <w:noProof/>
                <w:webHidden/>
              </w:rPr>
            </w:r>
            <w:r w:rsidR="00D32230">
              <w:rPr>
                <w:noProof/>
                <w:webHidden/>
              </w:rPr>
              <w:fldChar w:fldCharType="separate"/>
            </w:r>
            <w:r w:rsidR="00FF79FF">
              <w:rPr>
                <w:noProof/>
                <w:webHidden/>
              </w:rPr>
              <w:t>26</w:t>
            </w:r>
            <w:r w:rsidR="00D32230">
              <w:rPr>
                <w:noProof/>
                <w:webHidden/>
              </w:rPr>
              <w:fldChar w:fldCharType="end"/>
            </w:r>
          </w:hyperlink>
        </w:p>
        <w:p w14:paraId="4C5C1A24" w14:textId="68529790" w:rsidR="00D32230" w:rsidRDefault="00267F45" w:rsidP="00267F45">
          <w:pPr>
            <w:pStyle w:val="SK2"/>
            <w:tabs>
              <w:tab w:val="right" w:leader="dot" w:pos="9350"/>
            </w:tabs>
            <w:jc w:val="center"/>
            <w:rPr>
              <w:rFonts w:eastAsiaTheme="minorEastAsia"/>
              <w:noProof/>
              <w:sz w:val="24"/>
              <w:szCs w:val="24"/>
            </w:rPr>
          </w:pPr>
          <w:r>
            <w:rPr>
              <w:noProof/>
            </w:rPr>
            <w:t xml:space="preserve"> </w:t>
          </w:r>
          <w:hyperlink w:anchor="_Toc170394076" w:history="1">
            <w:r w:rsidR="00D32230" w:rsidRPr="00AA7838">
              <w:rPr>
                <w:rStyle w:val="Hperlink"/>
                <w:noProof/>
              </w:rPr>
              <w:t>REPORTING DURING TRANSPORTATION</w:t>
            </w:r>
            <w:r w:rsidR="00D32230">
              <w:rPr>
                <w:noProof/>
                <w:webHidden/>
              </w:rPr>
              <w:tab/>
            </w:r>
            <w:r w:rsidR="00D32230">
              <w:rPr>
                <w:noProof/>
                <w:webHidden/>
              </w:rPr>
              <w:fldChar w:fldCharType="begin"/>
            </w:r>
            <w:r w:rsidR="00D32230">
              <w:rPr>
                <w:noProof/>
                <w:webHidden/>
              </w:rPr>
              <w:instrText xml:space="preserve"> PAGEREF _Toc170394076 \h </w:instrText>
            </w:r>
            <w:r w:rsidR="00D32230">
              <w:rPr>
                <w:noProof/>
                <w:webHidden/>
              </w:rPr>
            </w:r>
            <w:r w:rsidR="00D32230">
              <w:rPr>
                <w:noProof/>
                <w:webHidden/>
              </w:rPr>
              <w:fldChar w:fldCharType="separate"/>
            </w:r>
            <w:r w:rsidR="00FF79FF">
              <w:rPr>
                <w:noProof/>
                <w:webHidden/>
              </w:rPr>
              <w:t>28</w:t>
            </w:r>
            <w:r w:rsidR="00D32230">
              <w:rPr>
                <w:noProof/>
                <w:webHidden/>
              </w:rPr>
              <w:fldChar w:fldCharType="end"/>
            </w:r>
          </w:hyperlink>
        </w:p>
        <w:p w14:paraId="0463A5FC" w14:textId="438D500C" w:rsidR="00D32230" w:rsidRDefault="00CB220B" w:rsidP="00267F45">
          <w:pPr>
            <w:pStyle w:val="SK3"/>
            <w:jc w:val="center"/>
            <w:rPr>
              <w:rFonts w:cstheme="minorBidi"/>
              <w:noProof/>
              <w:color w:val="auto"/>
              <w:kern w:val="2"/>
              <w14:ligatures w14:val="standardContextual"/>
            </w:rPr>
          </w:pPr>
          <w:hyperlink w:anchor="_Toc170394077" w:history="1">
            <w:r w:rsidR="00D32230" w:rsidRPr="00AA7838">
              <w:rPr>
                <w:rStyle w:val="Hperlink"/>
                <w:noProof/>
              </w:rPr>
              <w:t>11.LABELLING</w:t>
            </w:r>
            <w:r w:rsidR="00D32230">
              <w:rPr>
                <w:noProof/>
                <w:webHidden/>
              </w:rPr>
              <w:tab/>
            </w:r>
            <w:r w:rsidR="00D32230">
              <w:rPr>
                <w:noProof/>
                <w:webHidden/>
              </w:rPr>
              <w:fldChar w:fldCharType="begin"/>
            </w:r>
            <w:r w:rsidR="00D32230">
              <w:rPr>
                <w:noProof/>
                <w:webHidden/>
              </w:rPr>
              <w:instrText xml:space="preserve"> PAGEREF _Toc170394077 \h </w:instrText>
            </w:r>
            <w:r w:rsidR="00D32230">
              <w:rPr>
                <w:noProof/>
                <w:webHidden/>
              </w:rPr>
            </w:r>
            <w:r w:rsidR="00D32230">
              <w:rPr>
                <w:noProof/>
                <w:webHidden/>
              </w:rPr>
              <w:fldChar w:fldCharType="separate"/>
            </w:r>
            <w:r w:rsidR="00FF79FF">
              <w:rPr>
                <w:noProof/>
                <w:webHidden/>
              </w:rPr>
              <w:t>36</w:t>
            </w:r>
            <w:r w:rsidR="00D32230">
              <w:rPr>
                <w:noProof/>
                <w:webHidden/>
              </w:rPr>
              <w:fldChar w:fldCharType="end"/>
            </w:r>
          </w:hyperlink>
        </w:p>
        <w:p w14:paraId="7DE35763" w14:textId="4D235D81" w:rsidR="00D32230" w:rsidRDefault="00CB220B" w:rsidP="00267F45">
          <w:pPr>
            <w:pStyle w:val="SK3"/>
            <w:jc w:val="center"/>
            <w:rPr>
              <w:rFonts w:cstheme="minorBidi"/>
              <w:noProof/>
              <w:color w:val="auto"/>
              <w:kern w:val="2"/>
              <w14:ligatures w14:val="standardContextual"/>
            </w:rPr>
          </w:pPr>
          <w:hyperlink w:anchor="_Toc170394078" w:history="1">
            <w:r w:rsidR="00D32230" w:rsidRPr="00AA7838">
              <w:rPr>
                <w:rStyle w:val="Hperlink"/>
                <w:noProof/>
              </w:rPr>
              <w:t>12.BIODEGRADATION TESTING PROPOSAL</w:t>
            </w:r>
            <w:r w:rsidR="00D32230">
              <w:rPr>
                <w:noProof/>
                <w:webHidden/>
              </w:rPr>
              <w:tab/>
            </w:r>
            <w:r w:rsidR="00D32230">
              <w:rPr>
                <w:noProof/>
                <w:webHidden/>
              </w:rPr>
              <w:fldChar w:fldCharType="begin"/>
            </w:r>
            <w:r w:rsidR="00D32230">
              <w:rPr>
                <w:noProof/>
                <w:webHidden/>
              </w:rPr>
              <w:instrText xml:space="preserve"> PAGEREF _Toc170394078 \h </w:instrText>
            </w:r>
            <w:r w:rsidR="00D32230">
              <w:rPr>
                <w:noProof/>
                <w:webHidden/>
              </w:rPr>
            </w:r>
            <w:r w:rsidR="00D32230">
              <w:rPr>
                <w:noProof/>
                <w:webHidden/>
              </w:rPr>
              <w:fldChar w:fldCharType="separate"/>
            </w:r>
            <w:r w:rsidR="00FF79FF">
              <w:rPr>
                <w:noProof/>
                <w:webHidden/>
              </w:rPr>
              <w:t>37</w:t>
            </w:r>
            <w:r w:rsidR="00D32230">
              <w:rPr>
                <w:noProof/>
                <w:webHidden/>
              </w:rPr>
              <w:fldChar w:fldCharType="end"/>
            </w:r>
          </w:hyperlink>
        </w:p>
        <w:p w14:paraId="159C5C91" w14:textId="60C6EB43" w:rsidR="00D32230" w:rsidRDefault="00CB220B" w:rsidP="00267F45">
          <w:pPr>
            <w:pStyle w:val="SK3"/>
            <w:jc w:val="center"/>
            <w:rPr>
              <w:rFonts w:cstheme="minorBidi"/>
              <w:noProof/>
              <w:color w:val="auto"/>
              <w:kern w:val="2"/>
              <w14:ligatures w14:val="standardContextual"/>
            </w:rPr>
          </w:pPr>
          <w:hyperlink w:anchor="_Toc170394079" w:history="1">
            <w:r w:rsidR="00D32230" w:rsidRPr="00AA7838">
              <w:rPr>
                <w:rStyle w:val="Hperlink"/>
                <w:noProof/>
              </w:rPr>
              <w:t>13.SOLUBILITY TESTING PROPOSAL</w:t>
            </w:r>
            <w:r w:rsidR="00D32230">
              <w:rPr>
                <w:noProof/>
                <w:webHidden/>
              </w:rPr>
              <w:tab/>
            </w:r>
            <w:r w:rsidR="00D32230">
              <w:rPr>
                <w:noProof/>
                <w:webHidden/>
              </w:rPr>
              <w:fldChar w:fldCharType="begin"/>
            </w:r>
            <w:r w:rsidR="00D32230">
              <w:rPr>
                <w:noProof/>
                <w:webHidden/>
              </w:rPr>
              <w:instrText xml:space="preserve"> PAGEREF _Toc170394079 \h </w:instrText>
            </w:r>
            <w:r w:rsidR="00D32230">
              <w:rPr>
                <w:noProof/>
                <w:webHidden/>
              </w:rPr>
            </w:r>
            <w:r w:rsidR="00D32230">
              <w:rPr>
                <w:noProof/>
                <w:webHidden/>
              </w:rPr>
              <w:fldChar w:fldCharType="separate"/>
            </w:r>
            <w:r w:rsidR="00FF79FF">
              <w:rPr>
                <w:noProof/>
                <w:webHidden/>
              </w:rPr>
              <w:t>39</w:t>
            </w:r>
            <w:r w:rsidR="00D32230">
              <w:rPr>
                <w:noProof/>
                <w:webHidden/>
              </w:rPr>
              <w:fldChar w:fldCharType="end"/>
            </w:r>
          </w:hyperlink>
        </w:p>
        <w:p w14:paraId="4AC70332" w14:textId="6415B257" w:rsidR="00E0208F" w:rsidRPr="00FF4302" w:rsidRDefault="00D32230" w:rsidP="00267F45">
          <w:pPr>
            <w:jc w:val="center"/>
            <w:rPr>
              <w:rFonts w:eastAsiaTheme="minorEastAsia" w:cs="Times New Roman"/>
              <w:kern w:val="0"/>
              <w14:ligatures w14:val="none"/>
            </w:rPr>
          </w:pPr>
          <w:r>
            <w:rPr>
              <w:rFonts w:eastAsiaTheme="minorEastAsia" w:cs="Times New Roman"/>
              <w:kern w:val="0"/>
              <w14:ligatures w14:val="none"/>
            </w:rPr>
            <w:fldChar w:fldCharType="end"/>
          </w:r>
        </w:p>
      </w:sdtContent>
    </w:sdt>
    <w:p w14:paraId="144A4AFB" w14:textId="77777777" w:rsidR="00727A16" w:rsidRPr="00BD4430" w:rsidRDefault="00727A16" w:rsidP="007F6227">
      <w:pPr>
        <w:spacing w:after="120" w:line="240" w:lineRule="auto"/>
        <w:jc w:val="both"/>
        <w:rPr>
          <w:rFonts w:cstheme="minorHAnsi"/>
          <w:b/>
          <w:bCs/>
          <w:sz w:val="24"/>
          <w:szCs w:val="24"/>
        </w:rPr>
      </w:pPr>
      <w:r w:rsidRPr="00BD4430">
        <w:rPr>
          <w:rFonts w:cstheme="minorHAnsi"/>
          <w:b/>
          <w:bCs/>
          <w:sz w:val="24"/>
          <w:szCs w:val="24"/>
        </w:rPr>
        <w:br w:type="page"/>
      </w:r>
    </w:p>
    <w:p w14:paraId="3B4664C1" w14:textId="6F473762" w:rsidR="0075311A" w:rsidRPr="0015125D" w:rsidRDefault="0075311A" w:rsidP="007F6227">
      <w:pPr>
        <w:pStyle w:val="Pealkiri1"/>
        <w:spacing w:before="0" w:after="120" w:line="240" w:lineRule="auto"/>
        <w:rPr>
          <w:rFonts w:asciiTheme="minorHAnsi" w:hAnsiTheme="minorHAnsi" w:cstheme="minorHAnsi"/>
          <w:b/>
          <w:bCs/>
          <w:color w:val="4472C4" w:themeColor="accent1"/>
        </w:rPr>
      </w:pPr>
      <w:bookmarkStart w:id="2" w:name="_Toc170394053"/>
      <w:r w:rsidRPr="0015125D">
        <w:rPr>
          <w:rFonts w:asciiTheme="minorHAnsi" w:hAnsiTheme="minorHAnsi" w:cstheme="minorHAnsi"/>
          <w:b/>
          <w:bCs/>
          <w:color w:val="4472C4" w:themeColor="accent1"/>
        </w:rPr>
        <w:lastRenderedPageBreak/>
        <w:t>Introduction</w:t>
      </w:r>
      <w:bookmarkEnd w:id="2"/>
    </w:p>
    <w:p w14:paraId="4EEB1A27" w14:textId="77777777" w:rsidR="00B4370B" w:rsidRDefault="00B4370B" w:rsidP="007F6227">
      <w:pPr>
        <w:spacing w:after="120" w:line="240" w:lineRule="auto"/>
        <w:jc w:val="both"/>
        <w:rPr>
          <w:rFonts w:cstheme="minorHAnsi"/>
        </w:rPr>
      </w:pPr>
    </w:p>
    <w:p w14:paraId="3F8B9908" w14:textId="32AC1E02" w:rsidR="0075311A" w:rsidRDefault="5BAFA0EE" w:rsidP="44E903EC">
      <w:pPr>
        <w:spacing w:after="120" w:line="240" w:lineRule="auto"/>
        <w:jc w:val="both"/>
      </w:pPr>
      <w:r w:rsidRPr="44E903EC">
        <w:t xml:space="preserve">This document aims at compiling </w:t>
      </w:r>
      <w:r w:rsidR="231C979D" w:rsidRPr="44E903EC">
        <w:t xml:space="preserve">a </w:t>
      </w:r>
      <w:r w:rsidR="678F0203" w:rsidRPr="44E903EC">
        <w:t xml:space="preserve">list of </w:t>
      </w:r>
      <w:r w:rsidR="231C979D" w:rsidRPr="44E903EC">
        <w:t xml:space="preserve">the </w:t>
      </w:r>
      <w:r w:rsidRPr="44E903EC">
        <w:t xml:space="preserve">key questions that </w:t>
      </w:r>
      <w:proofErr w:type="spellStart"/>
      <w:r w:rsidRPr="44E903EC">
        <w:t>Cefic</w:t>
      </w:r>
      <w:proofErr w:type="spellEnd"/>
      <w:r w:rsidRPr="44E903EC">
        <w:t xml:space="preserve"> member companies and partner associations have regarding the application of the REACH Annex XVII Restriction o</w:t>
      </w:r>
      <w:r w:rsidR="5BC06EF3" w:rsidRPr="44E903EC">
        <w:t>n</w:t>
      </w:r>
      <w:r w:rsidRPr="44E903EC">
        <w:t xml:space="preserve"> </w:t>
      </w:r>
      <w:r w:rsidR="4C272911" w:rsidRPr="44E903EC">
        <w:t>Synthetic P</w:t>
      </w:r>
      <w:r w:rsidRPr="44E903EC">
        <w:t xml:space="preserve">olymer </w:t>
      </w:r>
      <w:r w:rsidR="4C272911" w:rsidRPr="44E903EC">
        <w:t>M</w:t>
      </w:r>
      <w:r w:rsidRPr="44E903EC">
        <w:t>icroparticles</w:t>
      </w:r>
      <w:r w:rsidR="64BD32EA" w:rsidRPr="44E903EC">
        <w:t xml:space="preserve"> (</w:t>
      </w:r>
      <w:r w:rsidR="30A7C395" w:rsidRPr="44E903EC">
        <w:t xml:space="preserve">hereby </w:t>
      </w:r>
      <w:r w:rsidR="218FA408" w:rsidRPr="44E903EC">
        <w:t>referred to as SPM in the entire guidance</w:t>
      </w:r>
      <w:r w:rsidR="2A64BFCF" w:rsidRPr="44E903EC">
        <w:t>)</w:t>
      </w:r>
      <w:r w:rsidRPr="44E903EC">
        <w:t xml:space="preserve">. </w:t>
      </w:r>
    </w:p>
    <w:p w14:paraId="2621FAF5" w14:textId="77777777" w:rsidR="007F6227" w:rsidRPr="00B4370B" w:rsidRDefault="007F6227" w:rsidP="007F6227">
      <w:pPr>
        <w:spacing w:after="120" w:line="240" w:lineRule="auto"/>
        <w:jc w:val="both"/>
        <w:rPr>
          <w:rFonts w:cstheme="minorHAnsi"/>
        </w:rPr>
      </w:pPr>
    </w:p>
    <w:p w14:paraId="697AA304" w14:textId="46F336B5" w:rsidR="0075311A" w:rsidRDefault="0075311A" w:rsidP="007F6227">
      <w:pPr>
        <w:spacing w:after="120" w:line="240" w:lineRule="auto"/>
        <w:jc w:val="both"/>
        <w:rPr>
          <w:rFonts w:cstheme="minorHAnsi"/>
          <w:b/>
          <w:bCs/>
          <w:color w:val="C00000"/>
        </w:rPr>
      </w:pPr>
      <w:r w:rsidRPr="00B4370B">
        <w:rPr>
          <w:rFonts w:cstheme="minorHAnsi"/>
          <w:b/>
          <w:bCs/>
          <w:color w:val="C00000"/>
        </w:rPr>
        <w:t xml:space="preserve">The present document does NOT represent any legal advice but only some considerations which follow </w:t>
      </w:r>
      <w:proofErr w:type="spellStart"/>
      <w:r w:rsidRPr="00B4370B">
        <w:rPr>
          <w:rFonts w:cstheme="minorHAnsi"/>
          <w:b/>
          <w:bCs/>
          <w:color w:val="C00000"/>
        </w:rPr>
        <w:t>Cefic’s</w:t>
      </w:r>
      <w:proofErr w:type="spellEnd"/>
      <w:r w:rsidRPr="00B4370B">
        <w:rPr>
          <w:rFonts w:cstheme="minorHAnsi"/>
          <w:b/>
          <w:bCs/>
          <w:color w:val="C00000"/>
        </w:rPr>
        <w:t xml:space="preserve"> </w:t>
      </w:r>
      <w:r w:rsidR="001B057B" w:rsidRPr="00B4370B">
        <w:rPr>
          <w:rFonts w:cstheme="minorHAnsi"/>
          <w:b/>
          <w:bCs/>
          <w:color w:val="C00000"/>
        </w:rPr>
        <w:t>reading</w:t>
      </w:r>
      <w:r w:rsidRPr="00B4370B">
        <w:rPr>
          <w:rFonts w:cstheme="minorHAnsi"/>
          <w:b/>
          <w:bCs/>
          <w:color w:val="C00000"/>
        </w:rPr>
        <w:t xml:space="preserve"> of the </w:t>
      </w:r>
      <w:r w:rsidR="00361B8A">
        <w:rPr>
          <w:rFonts w:cstheme="minorHAnsi"/>
          <w:b/>
          <w:bCs/>
          <w:color w:val="C00000"/>
        </w:rPr>
        <w:t>r</w:t>
      </w:r>
      <w:r w:rsidR="00381C64">
        <w:rPr>
          <w:rFonts w:cstheme="minorHAnsi"/>
          <w:b/>
          <w:bCs/>
          <w:color w:val="C00000"/>
        </w:rPr>
        <w:t>estriction</w:t>
      </w:r>
      <w:r w:rsidRPr="00B4370B">
        <w:rPr>
          <w:rFonts w:cstheme="minorHAnsi"/>
          <w:b/>
          <w:bCs/>
          <w:color w:val="C00000"/>
        </w:rPr>
        <w:t>.</w:t>
      </w:r>
    </w:p>
    <w:p w14:paraId="61E52020" w14:textId="77777777" w:rsidR="007F6227" w:rsidRPr="00B4370B" w:rsidRDefault="007F6227" w:rsidP="007F6227">
      <w:pPr>
        <w:spacing w:after="120" w:line="240" w:lineRule="auto"/>
        <w:jc w:val="both"/>
        <w:rPr>
          <w:rFonts w:cstheme="minorHAnsi"/>
          <w:b/>
          <w:bCs/>
          <w:color w:val="C00000"/>
        </w:rPr>
      </w:pPr>
    </w:p>
    <w:p w14:paraId="5407B086" w14:textId="77777777" w:rsidR="007F6227" w:rsidRDefault="0075311A" w:rsidP="007F6227">
      <w:pPr>
        <w:spacing w:after="120" w:line="240" w:lineRule="auto"/>
        <w:jc w:val="both"/>
        <w:rPr>
          <w:rFonts w:cstheme="minorHAnsi"/>
        </w:rPr>
      </w:pPr>
      <w:r w:rsidRPr="00B4370B">
        <w:rPr>
          <w:rFonts w:cstheme="minorHAnsi"/>
        </w:rPr>
        <w:t xml:space="preserve">This document is intended to be a living document which can periodically be </w:t>
      </w:r>
      <w:r w:rsidR="00F74723" w:rsidRPr="00B4370B">
        <w:rPr>
          <w:rFonts w:cstheme="minorHAnsi"/>
        </w:rPr>
        <w:t>updated</w:t>
      </w:r>
      <w:r w:rsidR="007F6227">
        <w:rPr>
          <w:rFonts w:cstheme="minorHAnsi"/>
        </w:rPr>
        <w:t>.</w:t>
      </w:r>
    </w:p>
    <w:p w14:paraId="20CCCBDD" w14:textId="75FBB2CF" w:rsidR="0075311A" w:rsidRPr="00B4370B" w:rsidRDefault="0075311A" w:rsidP="007F6227">
      <w:pPr>
        <w:spacing w:after="120" w:line="240" w:lineRule="auto"/>
        <w:jc w:val="both"/>
        <w:rPr>
          <w:rFonts w:cstheme="minorHAnsi"/>
        </w:rPr>
      </w:pPr>
      <w:r w:rsidRPr="00B4370B">
        <w:rPr>
          <w:rFonts w:cstheme="minorHAnsi"/>
        </w:rPr>
        <w:t xml:space="preserve"> </w:t>
      </w:r>
    </w:p>
    <w:p w14:paraId="1E11B35F" w14:textId="357A2386" w:rsidR="00AB1958" w:rsidRPr="00B4370B" w:rsidRDefault="40243D55" w:rsidP="319AA753">
      <w:pPr>
        <w:spacing w:after="120" w:line="240" w:lineRule="auto"/>
        <w:jc w:val="both"/>
      </w:pPr>
      <w:r w:rsidRPr="179B87A2">
        <w:t xml:space="preserve">The final text of the REACH </w:t>
      </w:r>
      <w:r w:rsidR="67AB116E" w:rsidRPr="179B87A2">
        <w:t>Restriction</w:t>
      </w:r>
      <w:r w:rsidRPr="179B87A2">
        <w:t xml:space="preserve"> on </w:t>
      </w:r>
      <w:r w:rsidR="095459AE" w:rsidRPr="179B87A2">
        <w:t>S</w:t>
      </w:r>
      <w:r w:rsidR="00270F52">
        <w:t>PM</w:t>
      </w:r>
      <w:r w:rsidR="095459AE" w:rsidRPr="179B87A2">
        <w:t xml:space="preserve"> </w:t>
      </w:r>
      <w:r w:rsidR="074C0746" w:rsidRPr="179B87A2">
        <w:t>(Commission Regulation (EU) 2023/2055) of 25 September 2023 can be found</w:t>
      </w:r>
      <w:r w:rsidR="154B5912" w:rsidRPr="179B87A2">
        <w:t xml:space="preserve"> </w:t>
      </w:r>
      <w:r w:rsidR="77C401F3" w:rsidRPr="179B87A2">
        <w:t xml:space="preserve">via </w:t>
      </w:r>
      <w:r w:rsidR="1FCA2C2A" w:rsidRPr="179B87A2">
        <w:t>the following link</w:t>
      </w:r>
      <w:r w:rsidR="154B5912" w:rsidRPr="179B87A2">
        <w:t>:</w:t>
      </w:r>
    </w:p>
    <w:p w14:paraId="12AB7182" w14:textId="10B2521D" w:rsidR="00AC05DA" w:rsidRPr="00B4370B" w:rsidRDefault="00CB220B" w:rsidP="007F6227">
      <w:pPr>
        <w:spacing w:after="120" w:line="240" w:lineRule="auto"/>
        <w:jc w:val="both"/>
        <w:rPr>
          <w:rFonts w:cstheme="minorHAnsi"/>
        </w:rPr>
      </w:pPr>
      <w:hyperlink r:id="rId11" w:history="1">
        <w:r w:rsidR="00AC05DA" w:rsidRPr="00B4370B">
          <w:rPr>
            <w:rStyle w:val="Hperlink"/>
            <w:rFonts w:cstheme="minorHAnsi"/>
          </w:rPr>
          <w:t>Commission Regulation (EU) 2023/… of 25</w:t>
        </w:r>
        <w:r w:rsidR="006F7D63">
          <w:rPr>
            <w:rStyle w:val="Hperlink"/>
            <w:rFonts w:cstheme="minorHAnsi"/>
          </w:rPr>
          <w:t xml:space="preserve"> </w:t>
        </w:r>
        <w:r w:rsidR="00AC05DA" w:rsidRPr="00B4370B">
          <w:rPr>
            <w:rStyle w:val="Hperlink"/>
            <w:rFonts w:cstheme="minorHAnsi"/>
          </w:rPr>
          <w:t xml:space="preserve">September 2023 amending Annex XVII to Regulation (EC) No 1907/2006 of the European Parliament and of the Council concerning the Registration, Evaluation, </w:t>
        </w:r>
        <w:r w:rsidR="00270F52" w:rsidRPr="00B4370B">
          <w:rPr>
            <w:rStyle w:val="Hperlink"/>
            <w:rFonts w:cstheme="minorHAnsi"/>
          </w:rPr>
          <w:t>Authorization</w:t>
        </w:r>
        <w:r w:rsidR="00AC05DA" w:rsidRPr="00B4370B">
          <w:rPr>
            <w:rStyle w:val="Hperlink"/>
            <w:rFonts w:cstheme="minorHAnsi"/>
          </w:rPr>
          <w:t xml:space="preserve"> and </w:t>
        </w:r>
        <w:r w:rsidR="00381C64">
          <w:rPr>
            <w:rStyle w:val="Hperlink"/>
            <w:rFonts w:cstheme="minorHAnsi"/>
          </w:rPr>
          <w:t>Restriction</w:t>
        </w:r>
        <w:r w:rsidR="00AC05DA" w:rsidRPr="00B4370B">
          <w:rPr>
            <w:rStyle w:val="Hperlink"/>
            <w:rFonts w:cstheme="minorHAnsi"/>
          </w:rPr>
          <w:t xml:space="preserve"> of Chemicals (REACH) as regards </w:t>
        </w:r>
        <w:r w:rsidR="00D31513">
          <w:rPr>
            <w:rStyle w:val="Hperlink"/>
            <w:rFonts w:cstheme="minorHAnsi"/>
          </w:rPr>
          <w:t>SPM</w:t>
        </w:r>
        <w:r w:rsidR="00AC05DA" w:rsidRPr="00B4370B">
          <w:rPr>
            <w:rStyle w:val="Hperlink"/>
            <w:rFonts w:cstheme="minorHAnsi"/>
          </w:rPr>
          <w:t xml:space="preserve"> (europa.eu)</w:t>
        </w:r>
      </w:hyperlink>
    </w:p>
    <w:p w14:paraId="7B622C0A" w14:textId="77777777" w:rsidR="004E4A7D" w:rsidRPr="00B4370B" w:rsidRDefault="004E4A7D" w:rsidP="007F6227">
      <w:pPr>
        <w:spacing w:after="120" w:line="240" w:lineRule="auto"/>
        <w:jc w:val="both"/>
        <w:rPr>
          <w:rFonts w:cstheme="minorHAnsi"/>
        </w:rPr>
      </w:pPr>
    </w:p>
    <w:p w14:paraId="7124862A" w14:textId="77777777" w:rsidR="008D3952" w:rsidRPr="00B4370B" w:rsidRDefault="008D3952" w:rsidP="007F6227">
      <w:pPr>
        <w:spacing w:after="120" w:line="240" w:lineRule="auto"/>
        <w:jc w:val="both"/>
        <w:rPr>
          <w:rFonts w:cstheme="minorHAnsi"/>
        </w:rPr>
      </w:pPr>
    </w:p>
    <w:p w14:paraId="3558BB6D" w14:textId="77777777" w:rsidR="008D3952" w:rsidRPr="00B4370B" w:rsidRDefault="008D3952" w:rsidP="007F6227">
      <w:pPr>
        <w:spacing w:after="120" w:line="240" w:lineRule="auto"/>
        <w:jc w:val="both"/>
        <w:rPr>
          <w:rFonts w:cstheme="minorHAnsi"/>
        </w:rPr>
      </w:pPr>
    </w:p>
    <w:p w14:paraId="63833D24" w14:textId="77777777" w:rsidR="008D3952" w:rsidRPr="00B4370B" w:rsidRDefault="008D3952" w:rsidP="007F6227">
      <w:pPr>
        <w:spacing w:after="120" w:line="240" w:lineRule="auto"/>
        <w:jc w:val="both"/>
        <w:rPr>
          <w:rFonts w:cstheme="minorHAnsi"/>
        </w:rPr>
      </w:pPr>
    </w:p>
    <w:p w14:paraId="7A4FBF52" w14:textId="77777777" w:rsidR="008D3952" w:rsidRPr="00B4370B" w:rsidRDefault="008D3952" w:rsidP="007F6227">
      <w:pPr>
        <w:spacing w:after="120" w:line="240" w:lineRule="auto"/>
        <w:jc w:val="both"/>
        <w:rPr>
          <w:rFonts w:cstheme="minorHAnsi"/>
        </w:rPr>
      </w:pPr>
    </w:p>
    <w:p w14:paraId="22AE0FFF" w14:textId="77777777" w:rsidR="008D3952" w:rsidRPr="00B4370B" w:rsidRDefault="008D3952" w:rsidP="007F6227">
      <w:pPr>
        <w:spacing w:after="120" w:line="240" w:lineRule="auto"/>
        <w:jc w:val="both"/>
        <w:rPr>
          <w:rFonts w:cstheme="minorHAnsi"/>
        </w:rPr>
      </w:pPr>
    </w:p>
    <w:p w14:paraId="239CAFDE" w14:textId="77777777" w:rsidR="008D3952" w:rsidRPr="00B4370B" w:rsidRDefault="008D3952" w:rsidP="007F6227">
      <w:pPr>
        <w:spacing w:after="120" w:line="240" w:lineRule="auto"/>
        <w:jc w:val="both"/>
        <w:rPr>
          <w:rFonts w:cstheme="minorHAnsi"/>
        </w:rPr>
      </w:pPr>
    </w:p>
    <w:p w14:paraId="0CE1D46B" w14:textId="77777777" w:rsidR="008D3952" w:rsidRPr="00B4370B" w:rsidRDefault="008D3952" w:rsidP="007F6227">
      <w:pPr>
        <w:spacing w:after="120" w:line="240" w:lineRule="auto"/>
        <w:jc w:val="both"/>
        <w:rPr>
          <w:rFonts w:cstheme="minorHAnsi"/>
        </w:rPr>
      </w:pPr>
    </w:p>
    <w:p w14:paraId="692A8949" w14:textId="77777777" w:rsidR="008D3952" w:rsidRPr="00B4370B" w:rsidRDefault="008D3952" w:rsidP="007F6227">
      <w:pPr>
        <w:spacing w:after="120" w:line="240" w:lineRule="auto"/>
        <w:jc w:val="both"/>
        <w:rPr>
          <w:rFonts w:cstheme="minorHAnsi"/>
        </w:rPr>
      </w:pPr>
    </w:p>
    <w:p w14:paraId="453858FC" w14:textId="77777777" w:rsidR="008D3952" w:rsidRPr="00B4370B" w:rsidRDefault="008D3952" w:rsidP="007F6227">
      <w:pPr>
        <w:spacing w:after="120" w:line="240" w:lineRule="auto"/>
        <w:jc w:val="both"/>
        <w:rPr>
          <w:rFonts w:cstheme="minorHAnsi"/>
        </w:rPr>
      </w:pPr>
    </w:p>
    <w:p w14:paraId="51C40374" w14:textId="6AC3B6C3" w:rsidR="00B4370B" w:rsidRDefault="00B4370B" w:rsidP="007F6227">
      <w:pPr>
        <w:spacing w:after="120" w:line="240" w:lineRule="auto"/>
        <w:rPr>
          <w:rFonts w:cstheme="minorHAnsi"/>
          <w:sz w:val="24"/>
          <w:szCs w:val="24"/>
        </w:rPr>
      </w:pPr>
      <w:r w:rsidRPr="00B4370B">
        <w:rPr>
          <w:rFonts w:cstheme="minorHAnsi"/>
        </w:rPr>
        <w:br w:type="page"/>
      </w:r>
    </w:p>
    <w:p w14:paraId="0F151A95" w14:textId="782E3FCA" w:rsidR="00443C97" w:rsidRPr="004B16D8" w:rsidRDefault="0AB6A9CD" w:rsidP="008A4391">
      <w:pPr>
        <w:pStyle w:val="Pealkiri1"/>
        <w:numPr>
          <w:ilvl w:val="0"/>
          <w:numId w:val="11"/>
        </w:numPr>
        <w:rPr>
          <w:lang w:val="fr-BE"/>
        </w:rPr>
      </w:pPr>
      <w:bookmarkStart w:id="3" w:name="_Toc170394054"/>
      <w:r w:rsidRPr="3F987C44">
        <w:rPr>
          <w:lang w:val="fr-BE"/>
        </w:rPr>
        <w:lastRenderedPageBreak/>
        <w:t xml:space="preserve">SCOPE </w:t>
      </w:r>
      <w:r w:rsidR="670C5569" w:rsidRPr="3F987C44">
        <w:rPr>
          <w:lang w:val="fr-BE"/>
        </w:rPr>
        <w:t>and DEFINITION</w:t>
      </w:r>
      <w:r w:rsidR="28C1B6F5" w:rsidRPr="3F987C44">
        <w:rPr>
          <w:lang w:val="fr-BE"/>
        </w:rPr>
        <w:t>S</w:t>
      </w:r>
      <w:bookmarkEnd w:id="3"/>
    </w:p>
    <w:p w14:paraId="615B6FDD" w14:textId="3E35625C" w:rsidR="1A53CFCC" w:rsidRPr="005840E6" w:rsidRDefault="1A53CFCC" w:rsidP="0E4AD4B9">
      <w:pPr>
        <w:rPr>
          <w:b/>
          <w:bCs/>
        </w:rPr>
      </w:pPr>
    </w:p>
    <w:p w14:paraId="02F18FFA" w14:textId="38AA083C" w:rsidR="38077084" w:rsidRPr="00DA2A28" w:rsidRDefault="175AB44B" w:rsidP="008A4391">
      <w:pPr>
        <w:pStyle w:val="Pealkiri2"/>
        <w:numPr>
          <w:ilvl w:val="0"/>
          <w:numId w:val="12"/>
        </w:numPr>
        <w:ind w:left="142" w:hanging="218"/>
      </w:pPr>
      <w:r w:rsidRPr="00DA2A28">
        <w:t xml:space="preserve">What is an ‘SPM’ Synthetic </w:t>
      </w:r>
      <w:r w:rsidR="6F5E01D0" w:rsidRPr="00DA2A28">
        <w:t>P</w:t>
      </w:r>
      <w:r w:rsidRPr="00DA2A28">
        <w:t xml:space="preserve">olymer </w:t>
      </w:r>
      <w:r w:rsidR="19F0ED0B" w:rsidRPr="00DA2A28">
        <w:t>M</w:t>
      </w:r>
      <w:r w:rsidRPr="00DA2A28">
        <w:t xml:space="preserve">icroparticle in the </w:t>
      </w:r>
      <w:r w:rsidR="10DDE46F" w:rsidRPr="00DA2A28">
        <w:t>SPM restriction?</w:t>
      </w:r>
    </w:p>
    <w:p w14:paraId="716621BC" w14:textId="6F9E1DD5" w:rsidR="368740D3" w:rsidRDefault="368740D3" w:rsidP="368740D3">
      <w:pPr>
        <w:spacing w:after="120" w:line="240" w:lineRule="auto"/>
        <w:jc w:val="both"/>
        <w:rPr>
          <w:b/>
          <w:bCs/>
          <w:color w:val="0070C0"/>
        </w:rPr>
      </w:pPr>
    </w:p>
    <w:tbl>
      <w:tblPr>
        <w:tblStyle w:val="Kontuurtabel"/>
        <w:tblW w:w="0" w:type="auto"/>
        <w:tblLook w:val="04A0" w:firstRow="1" w:lastRow="0" w:firstColumn="1" w:lastColumn="0" w:noHBand="0" w:noVBand="1"/>
      </w:tblPr>
      <w:tblGrid>
        <w:gridCol w:w="9350"/>
      </w:tblGrid>
      <w:tr w:rsidR="00923F13" w:rsidRPr="00BD4430" w14:paraId="6F7D74FB" w14:textId="77777777" w:rsidTr="2EF265A1">
        <w:tc>
          <w:tcPr>
            <w:tcW w:w="9350" w:type="dxa"/>
          </w:tcPr>
          <w:p w14:paraId="67DBA304" w14:textId="2D9BC324" w:rsidR="00923F13" w:rsidRPr="00BD4430" w:rsidRDefault="00923F13" w:rsidP="007F6227">
            <w:pPr>
              <w:spacing w:after="120"/>
              <w:jc w:val="both"/>
              <w:rPr>
                <w:rFonts w:cstheme="minorHAnsi"/>
              </w:rPr>
            </w:pPr>
            <w:r w:rsidRPr="00BD4430">
              <w:rPr>
                <w:rFonts w:cstheme="minorHAnsi"/>
                <w:b/>
                <w:bCs/>
              </w:rPr>
              <w:t>Synthetic solid polymer</w:t>
            </w:r>
            <w:r w:rsidRPr="00BD4430">
              <w:rPr>
                <w:rFonts w:cstheme="minorHAnsi"/>
              </w:rPr>
              <w:t xml:space="preserve"> meeting following conditions </w:t>
            </w:r>
            <w:r w:rsidRPr="00BD4430">
              <w:rPr>
                <w:rFonts w:cstheme="minorHAnsi"/>
                <w:b/>
                <w:bCs/>
                <w:u w:val="single"/>
              </w:rPr>
              <w:t>are in the scope</w:t>
            </w:r>
            <w:r w:rsidRPr="00BD4430">
              <w:rPr>
                <w:rFonts w:cstheme="minorHAnsi"/>
              </w:rPr>
              <w:t xml:space="preserve"> of the </w:t>
            </w:r>
            <w:r w:rsidR="00381C64">
              <w:rPr>
                <w:rFonts w:cstheme="minorHAnsi"/>
              </w:rPr>
              <w:t>restriction</w:t>
            </w:r>
            <w:r w:rsidRPr="00BD4430">
              <w:rPr>
                <w:rFonts w:cstheme="minorHAnsi"/>
              </w:rPr>
              <w:t xml:space="preserve">: </w:t>
            </w:r>
          </w:p>
          <w:p w14:paraId="7009C078" w14:textId="77777777" w:rsidR="00923F13" w:rsidRPr="00BD4430" w:rsidRDefault="00923F13" w:rsidP="008A4391">
            <w:pPr>
              <w:pStyle w:val="Loendilik"/>
              <w:numPr>
                <w:ilvl w:val="0"/>
                <w:numId w:val="6"/>
              </w:numPr>
              <w:spacing w:before="0" w:after="120" w:line="240" w:lineRule="auto"/>
              <w:jc w:val="both"/>
              <w:rPr>
                <w:rFonts w:asciiTheme="minorHAnsi" w:hAnsiTheme="minorHAnsi" w:cstheme="minorHAnsi"/>
                <w:color w:val="auto"/>
              </w:rPr>
            </w:pPr>
            <w:r w:rsidRPr="00BD4430">
              <w:rPr>
                <w:rFonts w:asciiTheme="minorHAnsi" w:hAnsiTheme="minorHAnsi" w:cstheme="minorHAnsi"/>
                <w:color w:val="auto"/>
              </w:rPr>
              <w:t xml:space="preserve">where </w:t>
            </w:r>
            <w:r w:rsidRPr="00BD4430">
              <w:rPr>
                <w:rFonts w:asciiTheme="minorHAnsi" w:hAnsiTheme="minorHAnsi" w:cstheme="minorHAnsi"/>
                <w:b/>
                <w:bCs/>
                <w:color w:val="auto"/>
              </w:rPr>
              <w:t xml:space="preserve">≥ 1% w/w </w:t>
            </w:r>
            <w:r w:rsidRPr="00BD4430">
              <w:rPr>
                <w:rFonts w:asciiTheme="minorHAnsi" w:hAnsiTheme="minorHAnsi" w:cstheme="minorHAnsi"/>
                <w:color w:val="auto"/>
              </w:rPr>
              <w:t>of particles have</w:t>
            </w:r>
          </w:p>
          <w:p w14:paraId="4129AAA3" w14:textId="7A16B9EC" w:rsidR="00923F13" w:rsidRPr="00BD4430" w:rsidRDefault="3FE31119" w:rsidP="008A4391">
            <w:pPr>
              <w:pStyle w:val="Loendilik"/>
              <w:numPr>
                <w:ilvl w:val="0"/>
                <w:numId w:val="6"/>
              </w:numPr>
              <w:spacing w:before="0" w:after="120" w:line="240" w:lineRule="auto"/>
              <w:jc w:val="both"/>
              <w:rPr>
                <w:rFonts w:asciiTheme="minorHAnsi" w:hAnsiTheme="minorHAnsi" w:cstheme="minorBidi"/>
                <w:color w:val="auto"/>
              </w:rPr>
            </w:pPr>
            <w:r w:rsidRPr="2EF265A1">
              <w:rPr>
                <w:rFonts w:asciiTheme="minorHAnsi" w:hAnsiTheme="minorHAnsi" w:cstheme="minorBidi"/>
                <w:color w:val="auto"/>
              </w:rPr>
              <w:t xml:space="preserve">all dimensions </w:t>
            </w:r>
            <w:r w:rsidRPr="2EF265A1">
              <w:rPr>
                <w:rFonts w:asciiTheme="minorHAnsi" w:hAnsiTheme="minorHAnsi" w:cstheme="minorBidi"/>
                <w:b/>
                <w:bCs/>
                <w:color w:val="auto"/>
              </w:rPr>
              <w:t>0.1μm</w:t>
            </w:r>
            <w:r w:rsidR="00DA6D40" w:rsidRPr="00DA6D40">
              <w:rPr>
                <w:rFonts w:asciiTheme="minorHAnsi" w:hAnsiTheme="minorHAnsi" w:cstheme="minorBidi"/>
                <w:b/>
                <w:bCs/>
                <w:color w:val="auto"/>
                <w:vertAlign w:val="superscript"/>
              </w:rPr>
              <w:t>1</w:t>
            </w:r>
            <w:r w:rsidRPr="2EF265A1">
              <w:rPr>
                <w:rFonts w:asciiTheme="minorHAnsi" w:hAnsiTheme="minorHAnsi" w:cstheme="minorBidi"/>
                <w:b/>
                <w:bCs/>
                <w:color w:val="auto"/>
              </w:rPr>
              <w:t xml:space="preserve"> ≤ x ≤ 5mm</w:t>
            </w:r>
            <w:r w:rsidRPr="2EF265A1">
              <w:rPr>
                <w:rFonts w:asciiTheme="minorHAnsi" w:hAnsiTheme="minorHAnsi" w:cstheme="minorBidi"/>
                <w:color w:val="auto"/>
              </w:rPr>
              <w:t>, or</w:t>
            </w:r>
          </w:p>
          <w:p w14:paraId="05036D1C" w14:textId="54E77D0F" w:rsidR="00923F13" w:rsidRPr="007F6227" w:rsidRDefault="00923F13" w:rsidP="008A4391">
            <w:pPr>
              <w:pStyle w:val="Loendilik"/>
              <w:numPr>
                <w:ilvl w:val="0"/>
                <w:numId w:val="6"/>
              </w:numPr>
              <w:spacing w:before="0" w:after="120" w:line="240" w:lineRule="auto"/>
              <w:jc w:val="both"/>
              <w:rPr>
                <w:rFonts w:asciiTheme="minorHAnsi" w:hAnsiTheme="minorHAnsi" w:cstheme="minorHAnsi"/>
                <w:color w:val="auto"/>
              </w:rPr>
            </w:pPr>
            <w:r w:rsidRPr="00BD4430">
              <w:rPr>
                <w:rFonts w:asciiTheme="minorHAnsi" w:hAnsiTheme="minorHAnsi" w:cstheme="minorHAnsi"/>
                <w:color w:val="auto"/>
              </w:rPr>
              <w:t xml:space="preserve">a length of </w:t>
            </w:r>
            <w:r w:rsidRPr="00BD4430">
              <w:rPr>
                <w:rFonts w:asciiTheme="minorHAnsi" w:hAnsiTheme="minorHAnsi" w:cstheme="minorHAnsi"/>
                <w:b/>
                <w:bCs/>
                <w:color w:val="auto"/>
              </w:rPr>
              <w:t>0.3μm</w:t>
            </w:r>
            <w:r w:rsidR="00DA6D40" w:rsidRPr="00DA6D40">
              <w:rPr>
                <w:rFonts w:asciiTheme="minorHAnsi" w:hAnsiTheme="minorHAnsi" w:cstheme="minorHAnsi"/>
                <w:b/>
                <w:bCs/>
                <w:color w:val="auto"/>
                <w:vertAlign w:val="superscript"/>
              </w:rPr>
              <w:t>1</w:t>
            </w:r>
            <w:r w:rsidRPr="00BD4430">
              <w:rPr>
                <w:rFonts w:asciiTheme="minorHAnsi" w:hAnsiTheme="minorHAnsi" w:cstheme="minorHAnsi"/>
                <w:b/>
                <w:bCs/>
                <w:color w:val="auto"/>
              </w:rPr>
              <w:t xml:space="preserve"> ≤ x ≤ 15mm</w:t>
            </w:r>
            <w:r w:rsidRPr="00BD4430">
              <w:rPr>
                <w:rFonts w:asciiTheme="minorHAnsi" w:hAnsiTheme="minorHAnsi" w:cstheme="minorHAnsi"/>
                <w:color w:val="auto"/>
              </w:rPr>
              <w:t xml:space="preserve"> and length to diameter ratio of &gt;3</w:t>
            </w:r>
          </w:p>
        </w:tc>
      </w:tr>
    </w:tbl>
    <w:p w14:paraId="51847796" w14:textId="536AACCE" w:rsidR="1A53CFCC" w:rsidRDefault="1A53CFCC" w:rsidP="1A53CFCC">
      <w:pPr>
        <w:spacing w:after="120" w:line="240" w:lineRule="auto"/>
        <w:jc w:val="both"/>
        <w:rPr>
          <w:b/>
          <w:bCs/>
          <w:sz w:val="24"/>
          <w:szCs w:val="24"/>
        </w:rPr>
      </w:pPr>
    </w:p>
    <w:p w14:paraId="2518DFC3" w14:textId="536AACCE" w:rsidR="18B7FF6B" w:rsidRDefault="18B7FF6B" w:rsidP="451DAF60">
      <w:pPr>
        <w:spacing w:after="120" w:line="240" w:lineRule="auto"/>
        <w:jc w:val="both"/>
        <w:rPr>
          <w:b/>
          <w:bCs/>
          <w:sz w:val="24"/>
          <w:szCs w:val="24"/>
        </w:rPr>
      </w:pPr>
      <w:r w:rsidRPr="1A53CFCC">
        <w:rPr>
          <w:b/>
          <w:bCs/>
          <w:sz w:val="24"/>
          <w:szCs w:val="24"/>
        </w:rPr>
        <w:t>Decision flowchart to understand whether the material is included or excluded from the restriction</w:t>
      </w:r>
    </w:p>
    <w:p w14:paraId="4919F4AC" w14:textId="51CEDC6D" w:rsidR="451DAF60" w:rsidRDefault="451DAF60" w:rsidP="451DAF60">
      <w:pPr>
        <w:spacing w:after="120" w:line="240" w:lineRule="auto"/>
        <w:jc w:val="both"/>
      </w:pPr>
    </w:p>
    <w:p w14:paraId="287963E2" w14:textId="113BD297" w:rsidR="03D0CDAC" w:rsidRDefault="03D0CDAC" w:rsidP="5824F594">
      <w:pPr>
        <w:spacing w:after="120" w:line="240" w:lineRule="auto"/>
        <w:jc w:val="both"/>
      </w:pPr>
      <w:r>
        <w:rPr>
          <w:noProof/>
        </w:rPr>
        <w:drawing>
          <wp:inline distT="0" distB="0" distL="0" distR="0" wp14:anchorId="77FDCC0D" wp14:editId="35D13FDE">
            <wp:extent cx="6292286" cy="2227784"/>
            <wp:effectExtent l="0" t="0" r="0" b="6350"/>
            <wp:docPr id="20598458" name="Grafik 373979123"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397912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2286" cy="2227784"/>
                    </a:xfrm>
                    <a:prstGeom prst="rect">
                      <a:avLst/>
                    </a:prstGeom>
                  </pic:spPr>
                </pic:pic>
              </a:graphicData>
            </a:graphic>
          </wp:inline>
        </w:drawing>
      </w:r>
    </w:p>
    <w:p w14:paraId="5BD58587" w14:textId="113BD297" w:rsidR="5824F594" w:rsidRDefault="5824F594" w:rsidP="5824F594">
      <w:pPr>
        <w:spacing w:after="120" w:line="240" w:lineRule="auto"/>
        <w:jc w:val="both"/>
      </w:pPr>
    </w:p>
    <w:p w14:paraId="372F15A5" w14:textId="72705D72" w:rsidR="6CF774D6" w:rsidRPr="00A6785A" w:rsidRDefault="7E0C8DD5" w:rsidP="008A4391">
      <w:pPr>
        <w:pStyle w:val="Pealkiri2"/>
        <w:numPr>
          <w:ilvl w:val="1"/>
          <w:numId w:val="13"/>
        </w:numPr>
        <w:ind w:left="0" w:firstLine="0"/>
      </w:pPr>
      <w:r w:rsidRPr="00A6785A">
        <w:t>What is meant by ‘exclusion’ in the SPM restriction?</w:t>
      </w:r>
    </w:p>
    <w:p w14:paraId="54995CAC" w14:textId="54DC53F7" w:rsidR="00923F13" w:rsidRDefault="0F9E5D7E" w:rsidP="00B54FD2">
      <w:pPr>
        <w:tabs>
          <w:tab w:val="left" w:pos="0"/>
        </w:tabs>
        <w:spacing w:after="120" w:line="240" w:lineRule="auto"/>
        <w:jc w:val="both"/>
      </w:pPr>
      <w:r>
        <w:t xml:space="preserve">A polymer </w:t>
      </w:r>
      <w:r w:rsidRPr="52F92EB8">
        <w:rPr>
          <w:b/>
          <w:bCs/>
          <w:u w:val="single"/>
        </w:rPr>
        <w:t>excluded</w:t>
      </w:r>
      <w:r>
        <w:t xml:space="preserve"> from the </w:t>
      </w:r>
      <w:r w:rsidR="04ECE37A">
        <w:t>r</w:t>
      </w:r>
      <w:r w:rsidR="6ACCE1EA">
        <w:t>estriction</w:t>
      </w:r>
      <w:r>
        <w:t xml:space="preserve"> means that the polymer is out of the scope of the </w:t>
      </w:r>
      <w:r w:rsidR="00DB4C61">
        <w:t>SPM</w:t>
      </w:r>
      <w:r w:rsidR="0A8A25F3">
        <w:t xml:space="preserve"> </w:t>
      </w:r>
      <w:r w:rsidR="04ECE37A">
        <w:t>r</w:t>
      </w:r>
      <w:r w:rsidR="6ACCE1EA">
        <w:t>estriction</w:t>
      </w:r>
      <w:r w:rsidR="0A8A25F3">
        <w:t xml:space="preserve"> </w:t>
      </w:r>
      <w:r>
        <w:t>and can be placed on the market without any limitations.</w:t>
      </w:r>
    </w:p>
    <w:p w14:paraId="51AFFF42" w14:textId="061D5C6A" w:rsidR="6F068E67" w:rsidRPr="009F6E13" w:rsidRDefault="7F34BF0A" w:rsidP="008A4391">
      <w:pPr>
        <w:pStyle w:val="Pealkiri2"/>
        <w:numPr>
          <w:ilvl w:val="1"/>
          <w:numId w:val="13"/>
        </w:numPr>
        <w:ind w:left="0" w:firstLine="0"/>
      </w:pPr>
      <w:r w:rsidRPr="009F6E13">
        <w:t>What is meant by ‘derogation’ in the SPM restriction?</w:t>
      </w:r>
    </w:p>
    <w:p w14:paraId="4FBD2185" w14:textId="77777777" w:rsidR="00D664B0" w:rsidRDefault="325652F1" w:rsidP="007F6227">
      <w:pPr>
        <w:spacing w:after="120" w:line="240" w:lineRule="auto"/>
        <w:jc w:val="both"/>
      </w:pPr>
      <w:r>
        <w:t xml:space="preserve">A polymer or a specific use </w:t>
      </w:r>
      <w:r w:rsidRPr="74C7D435">
        <w:rPr>
          <w:b/>
          <w:bCs/>
          <w:u w:val="single"/>
        </w:rPr>
        <w:t>derogated</w:t>
      </w:r>
      <w:r>
        <w:t xml:space="preserve"> refers to a polymer or use that is within the scope of the </w:t>
      </w:r>
      <w:r w:rsidR="7BD9C59E">
        <w:t>restriction</w:t>
      </w:r>
      <w:r>
        <w:t xml:space="preserve"> but, because of specific provisions </w:t>
      </w:r>
      <w:r w:rsidR="7A63DFCF">
        <w:t>laid</w:t>
      </w:r>
      <w:r>
        <w:t xml:space="preserve"> down in the legal text, </w:t>
      </w:r>
      <w:r w:rsidR="27740D27">
        <w:t>is allowed</w:t>
      </w:r>
      <w:r>
        <w:t xml:space="preserve"> to be placed on the market. However, additional requirements exist for these materials/uses, including Instructions for Use and Disposal and Reporting.  </w:t>
      </w:r>
    </w:p>
    <w:p w14:paraId="44DB6291" w14:textId="29D71CE3" w:rsidR="007D6DAD" w:rsidRDefault="00705CC3" w:rsidP="007F6227">
      <w:pPr>
        <w:spacing w:after="120" w:line="240" w:lineRule="auto"/>
        <w:jc w:val="both"/>
        <w:rPr>
          <w:rFonts w:cstheme="minorHAnsi"/>
          <w:sz w:val="18"/>
          <w:szCs w:val="18"/>
        </w:rPr>
      </w:pPr>
      <w:r w:rsidRPr="00D664B0">
        <w:rPr>
          <w:rFonts w:cstheme="minorHAnsi"/>
          <w:sz w:val="18"/>
          <w:szCs w:val="18"/>
          <w:vertAlign w:val="superscript"/>
        </w:rPr>
        <w:t>1</w:t>
      </w:r>
      <w:r w:rsidR="00B4776A" w:rsidRPr="00D664B0">
        <w:rPr>
          <w:rFonts w:cstheme="minorHAnsi"/>
          <w:sz w:val="18"/>
          <w:szCs w:val="18"/>
        </w:rPr>
        <w:t>It is stated in Recital 32 that</w:t>
      </w:r>
      <w:r w:rsidR="00697CAE">
        <w:rPr>
          <w:rFonts w:cstheme="minorHAnsi"/>
          <w:sz w:val="18"/>
          <w:szCs w:val="18"/>
        </w:rPr>
        <w:t xml:space="preserve"> the</w:t>
      </w:r>
      <w:r w:rsidR="00B4776A" w:rsidRPr="00D664B0">
        <w:rPr>
          <w:rFonts w:cstheme="minorHAnsi"/>
          <w:sz w:val="18"/>
          <w:szCs w:val="18"/>
        </w:rPr>
        <w:t xml:space="preserve"> restriction includes </w:t>
      </w:r>
      <w:r w:rsidR="0079239F" w:rsidRPr="00D664B0">
        <w:rPr>
          <w:rFonts w:cstheme="minorHAnsi"/>
          <w:sz w:val="18"/>
          <w:szCs w:val="18"/>
        </w:rPr>
        <w:t>a</w:t>
      </w:r>
      <w:r w:rsidR="00CD4370" w:rsidRPr="00D664B0">
        <w:rPr>
          <w:rFonts w:cstheme="minorHAnsi"/>
          <w:sz w:val="18"/>
          <w:szCs w:val="18"/>
        </w:rPr>
        <w:t xml:space="preserve"> temporary </w:t>
      </w:r>
      <w:r w:rsidR="00D45B7B" w:rsidRPr="00D664B0">
        <w:rPr>
          <w:rFonts w:cstheme="minorHAnsi"/>
          <w:sz w:val="18"/>
          <w:szCs w:val="18"/>
        </w:rPr>
        <w:t xml:space="preserve">100 nm size limit for enforcement when analytical methods and accompanying </w:t>
      </w:r>
      <w:r w:rsidR="00ED0D74" w:rsidRPr="00D664B0">
        <w:rPr>
          <w:rFonts w:cstheme="minorHAnsi"/>
          <w:sz w:val="18"/>
          <w:szCs w:val="18"/>
        </w:rPr>
        <w:t xml:space="preserve">documentation cannot confirm the </w:t>
      </w:r>
      <w:r w:rsidR="00D664B0" w:rsidRPr="00D664B0">
        <w:rPr>
          <w:rFonts w:cstheme="minorHAnsi"/>
          <w:sz w:val="18"/>
          <w:szCs w:val="18"/>
        </w:rPr>
        <w:t>concentration</w:t>
      </w:r>
      <w:r w:rsidR="00ED0D74" w:rsidRPr="00D664B0">
        <w:rPr>
          <w:rFonts w:cstheme="minorHAnsi"/>
          <w:sz w:val="18"/>
          <w:szCs w:val="18"/>
        </w:rPr>
        <w:t xml:space="preserve"> </w:t>
      </w:r>
      <w:r w:rsidR="00D664B0" w:rsidRPr="00D664B0">
        <w:rPr>
          <w:rFonts w:cstheme="minorHAnsi"/>
          <w:sz w:val="18"/>
          <w:szCs w:val="18"/>
        </w:rPr>
        <w:t>of synthetic polymer microparticles below that size.</w:t>
      </w:r>
    </w:p>
    <w:p w14:paraId="6716A800" w14:textId="77777777" w:rsidR="00D74952" w:rsidRPr="00D664B0" w:rsidRDefault="00D74952" w:rsidP="007F6227">
      <w:pPr>
        <w:spacing w:after="120" w:line="240" w:lineRule="auto"/>
        <w:jc w:val="both"/>
        <w:rPr>
          <w:sz w:val="18"/>
          <w:szCs w:val="18"/>
        </w:rPr>
      </w:pPr>
    </w:p>
    <w:tbl>
      <w:tblPr>
        <w:tblStyle w:val="Kontuurtabel"/>
        <w:tblW w:w="9776" w:type="dxa"/>
        <w:tblLook w:val="04A0" w:firstRow="1" w:lastRow="0" w:firstColumn="1" w:lastColumn="0" w:noHBand="0" w:noVBand="1"/>
      </w:tblPr>
      <w:tblGrid>
        <w:gridCol w:w="9776"/>
      </w:tblGrid>
      <w:tr w:rsidR="00BD4430" w:rsidRPr="00BD4430" w14:paraId="29860532" w14:textId="77777777" w:rsidTr="00D74952">
        <w:tc>
          <w:tcPr>
            <w:tcW w:w="9776" w:type="dxa"/>
          </w:tcPr>
          <w:p w14:paraId="52A6EE99" w14:textId="5F577036" w:rsidR="00BD4430" w:rsidRPr="00BD4430" w:rsidRDefault="00BD4430" w:rsidP="5FA6B419">
            <w:pPr>
              <w:spacing w:after="120"/>
              <w:ind w:right="-20"/>
              <w:jc w:val="both"/>
              <w:rPr>
                <w:rFonts w:eastAsia="Calibri"/>
                <w:b/>
                <w:bCs/>
                <w:u w:val="single"/>
              </w:rPr>
            </w:pPr>
          </w:p>
          <w:p w14:paraId="25734C3B" w14:textId="7E3268EF" w:rsidR="00BD4430" w:rsidRPr="00BD4430" w:rsidRDefault="0C2C5E50" w:rsidP="008A4391">
            <w:pPr>
              <w:pStyle w:val="Pealkiri2"/>
              <w:numPr>
                <w:ilvl w:val="1"/>
                <w:numId w:val="13"/>
              </w:numPr>
              <w:spacing w:line="259" w:lineRule="auto"/>
              <w:ind w:left="317"/>
              <w:jc w:val="both"/>
            </w:pPr>
            <w:r w:rsidRPr="3E63729C">
              <w:t>Is a polymer in solution in scope of the restriction?</w:t>
            </w:r>
          </w:p>
          <w:p w14:paraId="691C36D3" w14:textId="73170F2B" w:rsidR="00BD4430" w:rsidRPr="00D64F5D" w:rsidRDefault="55AC78B3" w:rsidP="00A32647">
            <w:pPr>
              <w:spacing w:after="120"/>
              <w:ind w:right="-20"/>
              <w:jc w:val="both"/>
              <w:rPr>
                <w:b/>
                <w:bCs/>
              </w:rPr>
            </w:pPr>
            <w:r w:rsidRPr="00A32647">
              <w:t xml:space="preserve">If the polymer is placed on the market as </w:t>
            </w:r>
            <w:r w:rsidRPr="00A32647">
              <w:rPr>
                <w:b/>
                <w:bCs/>
              </w:rPr>
              <w:t>a solution with no solid particles</w:t>
            </w:r>
            <w:r w:rsidRPr="00A32647">
              <w:t xml:space="preserve"> (≥ 1% w/w), it </w:t>
            </w:r>
            <w:r w:rsidR="6D00E392" w:rsidRPr="00A32647">
              <w:t>is</w:t>
            </w:r>
            <w:r w:rsidRPr="00A32647">
              <w:t xml:space="preserve"> </w:t>
            </w:r>
            <w:r w:rsidRPr="00A32647">
              <w:rPr>
                <w:b/>
                <w:bCs/>
              </w:rPr>
              <w:t xml:space="preserve">not in the scope of the </w:t>
            </w:r>
            <w:r w:rsidR="011A09D0" w:rsidRPr="00A32647">
              <w:rPr>
                <w:b/>
                <w:bCs/>
              </w:rPr>
              <w:t>restriction</w:t>
            </w:r>
            <w:r w:rsidRPr="00A32647">
              <w:t xml:space="preserve">. </w:t>
            </w:r>
          </w:p>
          <w:p w14:paraId="193CCD1C" w14:textId="1AB35A18" w:rsidR="5FA6B419" w:rsidRDefault="0B40D7FA" w:rsidP="008A4391">
            <w:pPr>
              <w:pStyle w:val="Pealkiri2"/>
              <w:numPr>
                <w:ilvl w:val="1"/>
                <w:numId w:val="13"/>
              </w:numPr>
              <w:spacing w:line="259" w:lineRule="auto"/>
              <w:ind w:left="317"/>
            </w:pPr>
            <w:r w:rsidRPr="2ABDA66B">
              <w:t>If a polymer is solid, but dissolved in the end use, what is the consequence?</w:t>
            </w:r>
          </w:p>
          <w:p w14:paraId="7A703549" w14:textId="11804066" w:rsidR="00BD4430" w:rsidRPr="00A32647" w:rsidRDefault="4209CCFF" w:rsidP="00A32647">
            <w:pPr>
              <w:spacing w:after="120"/>
              <w:ind w:right="-20"/>
              <w:jc w:val="both"/>
            </w:pPr>
            <w:r w:rsidRPr="00A32647">
              <w:t xml:space="preserve">If </w:t>
            </w:r>
            <w:r w:rsidR="1A2512E5" w:rsidRPr="00A32647">
              <w:t xml:space="preserve">the </w:t>
            </w:r>
            <w:r w:rsidRPr="00A32647">
              <w:t xml:space="preserve">polymer is a </w:t>
            </w:r>
            <w:r w:rsidRPr="00A32647">
              <w:rPr>
                <w:b/>
                <w:bCs/>
              </w:rPr>
              <w:t>solid</w:t>
            </w:r>
            <w:r w:rsidRPr="00A32647">
              <w:t xml:space="preserve">, it might benefit from a derogation </w:t>
            </w:r>
            <w:r w:rsidR="1A2512E5" w:rsidRPr="00A32647">
              <w:t xml:space="preserve">with the </w:t>
            </w:r>
            <w:r w:rsidRPr="00A32647">
              <w:t xml:space="preserve">condition that it </w:t>
            </w:r>
            <w:r w:rsidRPr="00A32647">
              <w:rPr>
                <w:b/>
                <w:bCs/>
              </w:rPr>
              <w:t>dissolves in the solvent when used</w:t>
            </w:r>
            <w:r w:rsidRPr="00A32647">
              <w:t xml:space="preserve"> </w:t>
            </w:r>
            <w:r w:rsidRPr="00A32647">
              <w:rPr>
                <w:b/>
                <w:bCs/>
              </w:rPr>
              <w:t>by the end user (</w:t>
            </w:r>
            <w:r w:rsidRPr="00A32647">
              <w:t xml:space="preserve">properties of polymer are permanently modified). </w:t>
            </w:r>
          </w:p>
          <w:p w14:paraId="3DB91C4B" w14:textId="41209064" w:rsidR="00BD4430" w:rsidRPr="00BD4430" w:rsidRDefault="533ECD6E" w:rsidP="08355D8B">
            <w:pPr>
              <w:spacing w:after="120"/>
              <w:ind w:right="-20"/>
              <w:jc w:val="both"/>
              <w:rPr>
                <w:rFonts w:eastAsia="Calibri"/>
              </w:rPr>
            </w:pPr>
            <w:r w:rsidRPr="2ABDA66B">
              <w:rPr>
                <w:rFonts w:eastAsia="Calibri"/>
              </w:rPr>
              <w:t xml:space="preserve"> </w:t>
            </w:r>
          </w:p>
          <w:p w14:paraId="6D351C27" w14:textId="62825704" w:rsidR="00B4370B" w:rsidRPr="00B4370B" w:rsidRDefault="00BD4430" w:rsidP="007F6227">
            <w:pPr>
              <w:spacing w:after="120"/>
              <w:jc w:val="both"/>
              <w:rPr>
                <w:rFonts w:eastAsia="Calibri"/>
              </w:rPr>
            </w:pPr>
            <w:r w:rsidRPr="7D5B96C7">
              <w:rPr>
                <w:rFonts w:eastAsia="Calibri"/>
                <w:u w:val="single"/>
              </w:rPr>
              <w:t>Evidence</w:t>
            </w:r>
            <w:r w:rsidRPr="7D5B96C7">
              <w:rPr>
                <w:rFonts w:eastAsia="Calibri"/>
              </w:rPr>
              <w:t xml:space="preserve">: If it can be verified that no </w:t>
            </w:r>
            <w:r w:rsidR="00DE3AE7">
              <w:rPr>
                <w:rFonts w:eastAsia="Calibri"/>
              </w:rPr>
              <w:t>SPM</w:t>
            </w:r>
            <w:r w:rsidRPr="7D5B96C7">
              <w:rPr>
                <w:rFonts w:eastAsia="Calibri"/>
              </w:rPr>
              <w:t xml:space="preserve">, covered by the </w:t>
            </w:r>
            <w:r w:rsidR="00381C64">
              <w:rPr>
                <w:rFonts w:eastAsia="Calibri"/>
              </w:rPr>
              <w:t>restriction</w:t>
            </w:r>
            <w:r w:rsidRPr="7D5B96C7">
              <w:rPr>
                <w:rFonts w:eastAsia="Calibri"/>
              </w:rPr>
              <w:t xml:space="preserve">, are present after intended end use, the product falls under the </w:t>
            </w:r>
            <w:r w:rsidR="0057268F">
              <w:rPr>
                <w:rFonts w:eastAsia="Calibri"/>
              </w:rPr>
              <w:t>derogation</w:t>
            </w:r>
            <w:r w:rsidR="0057268F" w:rsidRPr="7D5B96C7">
              <w:rPr>
                <w:rFonts w:eastAsia="Calibri"/>
              </w:rPr>
              <w:t xml:space="preserve"> </w:t>
            </w:r>
            <w:r w:rsidRPr="7D5B96C7">
              <w:rPr>
                <w:rFonts w:eastAsia="Calibri"/>
              </w:rPr>
              <w:t xml:space="preserve">described in paragraph 5b. In this context, demonstrating that the physical properties of the </w:t>
            </w:r>
            <w:r w:rsidR="00356D96">
              <w:rPr>
                <w:rFonts w:eastAsia="Calibri"/>
              </w:rPr>
              <w:t xml:space="preserve">SPM </w:t>
            </w:r>
            <w:r w:rsidRPr="7D5B96C7">
              <w:rPr>
                <w:rFonts w:eastAsia="Calibri"/>
              </w:rPr>
              <w:t xml:space="preserve">are permanently modified is more important than the solubility itself. </w:t>
            </w:r>
          </w:p>
        </w:tc>
      </w:tr>
    </w:tbl>
    <w:p w14:paraId="26865CE8" w14:textId="77777777" w:rsidR="007F6227" w:rsidRDefault="007F6227" w:rsidP="00AF63FD">
      <w:pPr>
        <w:spacing w:after="120" w:line="240" w:lineRule="auto"/>
        <w:rPr>
          <w:rFonts w:cstheme="minorHAnsi"/>
        </w:rPr>
        <w:sectPr w:rsidR="007F6227" w:rsidSect="009E3E1A">
          <w:headerReference w:type="default" r:id="rId13"/>
          <w:footerReference w:type="default" r:id="rId14"/>
          <w:pgSz w:w="12240" w:h="15840" w:code="1"/>
          <w:pgMar w:top="1440" w:right="1440" w:bottom="1440" w:left="1440" w:header="720" w:footer="720" w:gutter="0"/>
          <w:cols w:space="720"/>
          <w:docGrid w:linePitch="360"/>
        </w:sectPr>
      </w:pPr>
    </w:p>
    <w:p w14:paraId="11019592" w14:textId="0C7E71C0" w:rsidR="00923F13" w:rsidRPr="00BD4430" w:rsidRDefault="00F30F35" w:rsidP="008A4391">
      <w:pPr>
        <w:pStyle w:val="Pealkiri2"/>
        <w:numPr>
          <w:ilvl w:val="1"/>
          <w:numId w:val="13"/>
        </w:numPr>
        <w:ind w:left="0" w:firstLine="65"/>
        <w:jc w:val="both"/>
      </w:pPr>
      <w:r w:rsidRPr="1B906119">
        <w:lastRenderedPageBreak/>
        <w:t xml:space="preserve">The definition of </w:t>
      </w:r>
      <w:r w:rsidR="00351221">
        <w:t>S</w:t>
      </w:r>
      <w:r w:rsidR="00356D96">
        <w:t xml:space="preserve">PM </w:t>
      </w:r>
      <w:r w:rsidR="00443C97" w:rsidRPr="1B906119">
        <w:rPr>
          <w:u w:val="single"/>
        </w:rPr>
        <w:t>excludes</w:t>
      </w:r>
      <w:r w:rsidRPr="1B906119">
        <w:t xml:space="preserve"> “polymers that have a solubility </w:t>
      </w:r>
      <w:r w:rsidR="000458E6" w:rsidRPr="1B906119">
        <w:t>greater than 2 g/</w:t>
      </w:r>
      <w:proofErr w:type="gramStart"/>
      <w:r w:rsidR="000458E6" w:rsidRPr="1B906119">
        <w:t>L</w:t>
      </w:r>
      <w:r w:rsidR="00EC47A5" w:rsidRPr="1B906119">
        <w:t>“ (</w:t>
      </w:r>
      <w:proofErr w:type="gramEnd"/>
      <w:r w:rsidR="000458E6" w:rsidRPr="1B906119">
        <w:t>prove</w:t>
      </w:r>
      <w:r w:rsidR="004F45B5" w:rsidRPr="1B906119">
        <w:t>n</w:t>
      </w:r>
      <w:r w:rsidR="000458E6" w:rsidRPr="1B906119">
        <w:t xml:space="preserve"> in accordance with </w:t>
      </w:r>
      <w:r w:rsidR="09D996AE" w:rsidRPr="1B906119">
        <w:t>Appendix [</w:t>
      </w:r>
      <w:r w:rsidR="009315F2">
        <w:t>16</w:t>
      </w:r>
      <w:r w:rsidR="09D996AE" w:rsidRPr="1B906119">
        <w:t>]</w:t>
      </w:r>
      <w:r w:rsidR="00EC47A5" w:rsidRPr="1B906119">
        <w:t>)</w:t>
      </w:r>
      <w:r w:rsidR="00BA46C4" w:rsidRPr="1B906119">
        <w:t xml:space="preserve">. </w:t>
      </w:r>
      <w:r w:rsidR="00A365C4" w:rsidRPr="1B906119">
        <w:t xml:space="preserve">Is this </w:t>
      </w:r>
      <w:proofErr w:type="gramStart"/>
      <w:r w:rsidR="00767E67" w:rsidRPr="1B906119">
        <w:t xml:space="preserve">correct </w:t>
      </w:r>
      <w:r w:rsidR="00282AEA" w:rsidRPr="1B906119">
        <w:t>?</w:t>
      </w:r>
      <w:proofErr w:type="gramEnd"/>
    </w:p>
    <w:p w14:paraId="41BEE1D3" w14:textId="44A0D53F" w:rsidR="00923F13" w:rsidRPr="00BD4430" w:rsidRDefault="08EEAD1A" w:rsidP="6919C32E">
      <w:pPr>
        <w:spacing w:after="120" w:line="240" w:lineRule="auto"/>
        <w:ind w:right="-20"/>
        <w:jc w:val="both"/>
        <w:rPr>
          <w:rFonts w:eastAsia="Calibri"/>
        </w:rPr>
      </w:pPr>
      <w:r w:rsidRPr="6F27231B">
        <w:rPr>
          <w:rFonts w:eastAsia="Calibri"/>
        </w:rPr>
        <w:t xml:space="preserve">Yes, </w:t>
      </w:r>
      <w:r w:rsidR="34DF24A2" w:rsidRPr="6F27231B">
        <w:rPr>
          <w:rFonts w:eastAsia="Calibri"/>
        </w:rPr>
        <w:t>w</w:t>
      </w:r>
      <w:r w:rsidR="00923F13" w:rsidRPr="6F27231B">
        <w:rPr>
          <w:rFonts w:eastAsia="Calibri"/>
        </w:rPr>
        <w:t xml:space="preserve">ith regards to solubility, </w:t>
      </w:r>
      <w:r w:rsidR="005668A7" w:rsidRPr="6F27231B">
        <w:rPr>
          <w:rFonts w:eastAsia="Calibri"/>
        </w:rPr>
        <w:t xml:space="preserve">the </w:t>
      </w:r>
      <w:r w:rsidR="00356D96">
        <w:rPr>
          <w:rFonts w:eastAsia="Calibri"/>
        </w:rPr>
        <w:t>SPM</w:t>
      </w:r>
      <w:r w:rsidR="00923F13" w:rsidRPr="6F27231B">
        <w:rPr>
          <w:rFonts w:eastAsia="Calibri"/>
        </w:rPr>
        <w:t xml:space="preserve"> </w:t>
      </w:r>
      <w:r w:rsidR="00381C64" w:rsidRPr="6F27231B">
        <w:rPr>
          <w:rFonts w:eastAsia="Calibri"/>
        </w:rPr>
        <w:t>restriction</w:t>
      </w:r>
      <w:r w:rsidR="10C16444" w:rsidRPr="6F27231B">
        <w:rPr>
          <w:rFonts w:eastAsia="Calibri"/>
        </w:rPr>
        <w:t xml:space="preserve"> only</w:t>
      </w:r>
      <w:r w:rsidR="000E6153" w:rsidRPr="6F27231B">
        <w:rPr>
          <w:rFonts w:eastAsia="Calibri"/>
        </w:rPr>
        <w:t xml:space="preserve"> </w:t>
      </w:r>
      <w:r w:rsidR="00923F13" w:rsidRPr="6F27231B">
        <w:rPr>
          <w:rFonts w:eastAsia="Calibri"/>
          <w:b/>
          <w:bCs/>
          <w:u w:val="single"/>
        </w:rPr>
        <w:t>excludes</w:t>
      </w:r>
      <w:r w:rsidR="00923F13" w:rsidRPr="6F27231B">
        <w:rPr>
          <w:rFonts w:eastAsia="Calibri"/>
        </w:rPr>
        <w:t xml:space="preserve"> polymers that are </w:t>
      </w:r>
      <w:r w:rsidR="00923F13" w:rsidRPr="6F27231B">
        <w:rPr>
          <w:rFonts w:eastAsia="Calibri"/>
          <w:b/>
          <w:bCs/>
          <w:u w:val="single"/>
        </w:rPr>
        <w:t>soluble in water</w:t>
      </w:r>
      <w:r w:rsidR="008003BA" w:rsidRPr="6F27231B">
        <w:rPr>
          <w:rFonts w:eastAsia="Calibri"/>
          <w:b/>
          <w:bCs/>
          <w:u w:val="single"/>
        </w:rPr>
        <w:t xml:space="preserve"> (</w:t>
      </w:r>
      <w:r w:rsidR="002A42E7" w:rsidRPr="6F27231B">
        <w:rPr>
          <w:rFonts w:eastAsia="Calibri"/>
          <w:b/>
          <w:bCs/>
          <w:u w:val="single"/>
        </w:rPr>
        <w:t>see Recital 13</w:t>
      </w:r>
      <w:r w:rsidR="0055523E" w:rsidRPr="6F27231B">
        <w:rPr>
          <w:rFonts w:eastAsia="Calibri"/>
          <w:b/>
          <w:bCs/>
          <w:u w:val="single"/>
        </w:rPr>
        <w:t xml:space="preserve"> below</w:t>
      </w:r>
      <w:proofErr w:type="gramStart"/>
      <w:r w:rsidR="0055523E" w:rsidRPr="6F27231B">
        <w:rPr>
          <w:rFonts w:eastAsia="Calibri"/>
          <w:b/>
          <w:bCs/>
          <w:u w:val="single"/>
        </w:rPr>
        <w:t xml:space="preserve">) </w:t>
      </w:r>
      <w:r w:rsidR="00923F13" w:rsidRPr="6F27231B">
        <w:rPr>
          <w:rFonts w:eastAsia="Calibri"/>
        </w:rPr>
        <w:t>,</w:t>
      </w:r>
      <w:proofErr w:type="gramEnd"/>
      <w:r w:rsidR="00923F13" w:rsidRPr="6F27231B">
        <w:rPr>
          <w:rFonts w:eastAsia="Calibri"/>
        </w:rPr>
        <w:t xml:space="preserve"> </w:t>
      </w:r>
      <w:r w:rsidR="00CF672C" w:rsidRPr="6F27231B">
        <w:rPr>
          <w:rFonts w:eastAsia="Calibri"/>
        </w:rPr>
        <w:t xml:space="preserve">according to the methods specified in Appendix </w:t>
      </w:r>
      <w:r w:rsidR="00970E72">
        <w:rPr>
          <w:rFonts w:eastAsia="Calibri"/>
        </w:rPr>
        <w:t>16</w:t>
      </w:r>
      <w:r w:rsidR="00CF672C" w:rsidRPr="6F27231B">
        <w:rPr>
          <w:rFonts w:eastAsia="Calibri"/>
        </w:rPr>
        <w:t xml:space="preserve">. </w:t>
      </w:r>
    </w:p>
    <w:p w14:paraId="5DBB0485" w14:textId="236F62D7" w:rsidR="00CF672C" w:rsidRDefault="00DC40AA" w:rsidP="007F6227">
      <w:pPr>
        <w:spacing w:after="120" w:line="240" w:lineRule="auto"/>
        <w:ind w:right="-20"/>
        <w:jc w:val="both"/>
        <w:rPr>
          <w:rFonts w:eastAsia="Calibri" w:cstheme="minorHAnsi"/>
        </w:rPr>
      </w:pPr>
      <w:r>
        <w:rPr>
          <w:rFonts w:eastAsia="Calibri" w:cstheme="minorHAnsi"/>
        </w:rPr>
        <w:t>S</w:t>
      </w:r>
      <w:r w:rsidR="00CF672C" w:rsidRPr="00BD4430">
        <w:rPr>
          <w:rFonts w:eastAsia="Calibri" w:cstheme="minorHAnsi"/>
        </w:rPr>
        <w:t xml:space="preserve">olubility in other solvents </w:t>
      </w:r>
      <w:r w:rsidR="00E8761B">
        <w:rPr>
          <w:rFonts w:eastAsia="Calibri" w:cstheme="minorHAnsi"/>
        </w:rPr>
        <w:t xml:space="preserve">cannot benefit from this entry. </w:t>
      </w:r>
    </w:p>
    <w:tbl>
      <w:tblPr>
        <w:tblStyle w:val="Kontuurtabel"/>
        <w:tblW w:w="0" w:type="auto"/>
        <w:tblLook w:val="04A0" w:firstRow="1" w:lastRow="0" w:firstColumn="1" w:lastColumn="0" w:noHBand="0" w:noVBand="1"/>
      </w:tblPr>
      <w:tblGrid>
        <w:gridCol w:w="9350"/>
      </w:tblGrid>
      <w:tr w:rsidR="007D6DAD" w14:paraId="33316B0E" w14:textId="77777777" w:rsidTr="007D6DAD">
        <w:tc>
          <w:tcPr>
            <w:tcW w:w="9350" w:type="dxa"/>
            <w:shd w:val="clear" w:color="auto" w:fill="DEEAF6" w:themeFill="accent5" w:themeFillTint="33"/>
          </w:tcPr>
          <w:p w14:paraId="549EFA90" w14:textId="7CB625D4" w:rsidR="007D6DAD" w:rsidRPr="00BD4430" w:rsidRDefault="007D6DAD" w:rsidP="007F6227">
            <w:pPr>
              <w:spacing w:after="120"/>
              <w:ind w:right="-20"/>
              <w:jc w:val="both"/>
              <w:rPr>
                <w:rFonts w:eastAsia="Calibri" w:cstheme="minorHAnsi"/>
                <w:i/>
                <w:iCs/>
              </w:rPr>
            </w:pPr>
            <w:r w:rsidRPr="00BD4430">
              <w:rPr>
                <w:rFonts w:eastAsia="Calibri" w:cstheme="minorHAnsi"/>
                <w:i/>
                <w:iCs/>
              </w:rPr>
              <w:t xml:space="preserve">(13) </w:t>
            </w:r>
            <w:r w:rsidRPr="00BD4430">
              <w:rPr>
                <w:rFonts w:eastAsia="Calibri" w:cstheme="minorHAnsi"/>
                <w:b/>
                <w:bCs/>
                <w:i/>
                <w:iCs/>
                <w:u w:val="single"/>
              </w:rPr>
              <w:t>Water-soluble solid polymers</w:t>
            </w:r>
            <w:r w:rsidRPr="00BD4430">
              <w:rPr>
                <w:rFonts w:eastAsia="Calibri" w:cstheme="minorHAnsi"/>
                <w:i/>
                <w:iCs/>
              </w:rPr>
              <w:t xml:space="preserve"> lose their solid state after their release into the environment, and therefore do not contribute to the identified concern. The Annex XV dossier therefore proposed internationally accepted methods to test solubility and to exclude those </w:t>
            </w:r>
            <w:r w:rsidRPr="00BD4430">
              <w:rPr>
                <w:rFonts w:eastAsia="Calibri" w:cstheme="minorHAnsi"/>
                <w:b/>
                <w:bCs/>
                <w:i/>
                <w:iCs/>
                <w:u w:val="single"/>
              </w:rPr>
              <w:t>water-soluble polymers</w:t>
            </w:r>
            <w:r w:rsidRPr="00BD4430">
              <w:rPr>
                <w:rFonts w:eastAsia="Calibri" w:cstheme="minorHAnsi"/>
                <w:i/>
                <w:iCs/>
              </w:rPr>
              <w:t xml:space="preserve"> from the scope of the </w:t>
            </w:r>
            <w:r w:rsidR="00381C64">
              <w:rPr>
                <w:rFonts w:eastAsia="Calibri" w:cstheme="minorHAnsi"/>
                <w:i/>
                <w:iCs/>
              </w:rPr>
              <w:t>restriction</w:t>
            </w:r>
            <w:r w:rsidRPr="00BD4430">
              <w:rPr>
                <w:rFonts w:eastAsia="Calibri" w:cstheme="minorHAnsi"/>
                <w:i/>
                <w:iCs/>
              </w:rPr>
              <w:t>.</w:t>
            </w:r>
          </w:p>
          <w:p w14:paraId="09A8FE53" w14:textId="2894E7A1" w:rsidR="007D6DAD" w:rsidRPr="00B4370B" w:rsidRDefault="007D6DAD" w:rsidP="007F6227">
            <w:pPr>
              <w:spacing w:after="120"/>
              <w:ind w:right="-14"/>
              <w:jc w:val="both"/>
              <w:rPr>
                <w:rFonts w:eastAsia="Calibri" w:cstheme="minorHAnsi"/>
                <w:i/>
                <w:iCs/>
              </w:rPr>
            </w:pPr>
            <w:r w:rsidRPr="00BD4430">
              <w:rPr>
                <w:rFonts w:eastAsia="Calibri" w:cstheme="minorHAnsi"/>
                <w:i/>
                <w:iCs/>
              </w:rPr>
              <w:t>§5 exemptions refer to non-industrial uses in which a synthetic polymer containing substance/ mixture is placed on the market but during end use either the microparticle is technically contained (§5 a), cease to exist (§5b) or incorporated into a solid matrix (§ 5 c). include easy examples (polymer soluble in ethanol).</w:t>
            </w:r>
          </w:p>
        </w:tc>
      </w:tr>
    </w:tbl>
    <w:p w14:paraId="0B8467F6" w14:textId="77777777" w:rsidR="00EC47A5" w:rsidRDefault="00EC47A5" w:rsidP="007F6227">
      <w:pPr>
        <w:spacing w:after="120" w:line="240" w:lineRule="auto"/>
        <w:ind w:right="-20"/>
        <w:jc w:val="both"/>
        <w:rPr>
          <w:rFonts w:cstheme="minorHAnsi"/>
          <w:b/>
          <w:bCs/>
          <w:color w:val="4472C4" w:themeColor="accent1"/>
        </w:rPr>
      </w:pPr>
    </w:p>
    <w:p w14:paraId="0D7656DC" w14:textId="7D90DF17" w:rsidR="00DE076B" w:rsidRPr="00BD4430" w:rsidRDefault="00EC47A5" w:rsidP="008A4391">
      <w:pPr>
        <w:pStyle w:val="Pealkiri2"/>
        <w:numPr>
          <w:ilvl w:val="1"/>
          <w:numId w:val="13"/>
        </w:numPr>
        <w:ind w:left="-142" w:firstLine="208"/>
        <w:rPr>
          <w:rFonts w:eastAsia="Calibri"/>
        </w:rPr>
      </w:pPr>
      <w:r w:rsidRPr="016C9091">
        <w:t xml:space="preserve">Is </w:t>
      </w:r>
      <w:r w:rsidR="78257424" w:rsidRPr="016C9091">
        <w:t xml:space="preserve">solubility </w:t>
      </w:r>
      <w:r w:rsidRPr="016C9091">
        <w:t>in solvents</w:t>
      </w:r>
      <w:r w:rsidR="00D1170B" w:rsidRPr="016C9091">
        <w:t>,</w:t>
      </w:r>
      <w:r w:rsidRPr="016C9091">
        <w:t xml:space="preserve"> other than water</w:t>
      </w:r>
      <w:r w:rsidR="00D1170B" w:rsidRPr="016C9091">
        <w:t>,</w:t>
      </w:r>
      <w:r w:rsidRPr="016C9091">
        <w:t xml:space="preserve"> also derogated by paragraph 5b?</w:t>
      </w:r>
    </w:p>
    <w:p w14:paraId="7B41C872" w14:textId="56F55F10" w:rsidR="00EC47A5" w:rsidRPr="00BD4430" w:rsidRDefault="45BE4146" w:rsidP="6F27231B">
      <w:pPr>
        <w:spacing w:after="120" w:line="240" w:lineRule="auto"/>
        <w:ind w:right="-20"/>
        <w:jc w:val="both"/>
        <w:rPr>
          <w:rFonts w:eastAsia="Calibri"/>
        </w:rPr>
      </w:pPr>
      <w:r w:rsidRPr="7A4A65E1">
        <w:rPr>
          <w:rFonts w:eastAsia="Calibri"/>
        </w:rPr>
        <w:t xml:space="preserve">Not necessarily, </w:t>
      </w:r>
      <w:r w:rsidR="3BC57A38" w:rsidRPr="7A4A65E1">
        <w:rPr>
          <w:rFonts w:eastAsia="Calibri"/>
        </w:rPr>
        <w:t>s</w:t>
      </w:r>
      <w:r w:rsidR="00EC47A5" w:rsidRPr="7A4A65E1">
        <w:rPr>
          <w:rFonts w:eastAsia="Calibri"/>
        </w:rPr>
        <w:t xml:space="preserve">olubility </w:t>
      </w:r>
      <w:r w:rsidR="00E8761B" w:rsidRPr="7A4A65E1">
        <w:rPr>
          <w:rFonts w:eastAsia="Calibri"/>
        </w:rPr>
        <w:t xml:space="preserve">in other solvents </w:t>
      </w:r>
      <w:r w:rsidR="00EC47A5" w:rsidRPr="7A4A65E1">
        <w:rPr>
          <w:rFonts w:eastAsia="Calibri"/>
        </w:rPr>
        <w:t xml:space="preserve">does not necessarily allow a derogation according to </w:t>
      </w:r>
      <w:r w:rsidR="00E8761B" w:rsidRPr="7A4A65E1">
        <w:rPr>
          <w:rFonts w:eastAsia="Calibri"/>
        </w:rPr>
        <w:t xml:space="preserve">paragraph </w:t>
      </w:r>
      <w:r w:rsidR="00EC47A5" w:rsidRPr="7A4A65E1">
        <w:rPr>
          <w:rFonts w:eastAsia="Calibri"/>
        </w:rPr>
        <w:t>5b</w:t>
      </w:r>
      <w:r w:rsidR="00E8761B" w:rsidRPr="7A4A65E1">
        <w:rPr>
          <w:rFonts w:eastAsia="Calibri"/>
        </w:rPr>
        <w:t xml:space="preserve"> of the </w:t>
      </w:r>
      <w:r w:rsidR="00381C64" w:rsidRPr="7A4A65E1">
        <w:rPr>
          <w:rFonts w:eastAsia="Calibri"/>
        </w:rPr>
        <w:t>restriction</w:t>
      </w:r>
      <w:r w:rsidR="00E8761B" w:rsidRPr="7A4A65E1">
        <w:rPr>
          <w:rFonts w:eastAsia="Calibri"/>
        </w:rPr>
        <w:t>.</w:t>
      </w:r>
      <w:r w:rsidR="00EC47A5" w:rsidRPr="7A4A65E1">
        <w:rPr>
          <w:rFonts w:eastAsia="Calibri"/>
        </w:rPr>
        <w:t xml:space="preserve"> Physical properties of </w:t>
      </w:r>
      <w:r w:rsidR="00313C59">
        <w:rPr>
          <w:rFonts w:eastAsia="Calibri"/>
        </w:rPr>
        <w:t>SPM</w:t>
      </w:r>
      <w:r w:rsidR="00EC47A5" w:rsidRPr="7A4A65E1">
        <w:rPr>
          <w:rFonts w:eastAsia="Calibri"/>
        </w:rPr>
        <w:t xml:space="preserve"> need to be permanently modifie</w:t>
      </w:r>
      <w:r w:rsidR="00E8761B" w:rsidRPr="7A4A65E1">
        <w:rPr>
          <w:rFonts w:eastAsia="Calibri"/>
        </w:rPr>
        <w:t>d</w:t>
      </w:r>
      <w:r w:rsidR="00EC47A5" w:rsidRPr="7A4A65E1">
        <w:rPr>
          <w:rFonts w:eastAsia="Calibri"/>
        </w:rPr>
        <w:t xml:space="preserve"> in a such a way that it no longer falls withing the scope of the </w:t>
      </w:r>
      <w:r w:rsidR="00381C64" w:rsidRPr="7A4A65E1">
        <w:rPr>
          <w:rFonts w:eastAsia="Calibri"/>
        </w:rPr>
        <w:t>restriction</w:t>
      </w:r>
      <w:r w:rsidR="00EC47A5" w:rsidRPr="7A4A65E1">
        <w:rPr>
          <w:rFonts w:eastAsia="Calibri"/>
        </w:rPr>
        <w:t xml:space="preserve">.  </w:t>
      </w:r>
    </w:p>
    <w:tbl>
      <w:tblPr>
        <w:tblStyle w:val="Kontuurtabel"/>
        <w:tblW w:w="0" w:type="auto"/>
        <w:tblLook w:val="04A0" w:firstRow="1" w:lastRow="0" w:firstColumn="1" w:lastColumn="0" w:noHBand="0" w:noVBand="1"/>
      </w:tblPr>
      <w:tblGrid>
        <w:gridCol w:w="9350"/>
      </w:tblGrid>
      <w:tr w:rsidR="00EC47A5" w14:paraId="2E62060C" w14:textId="77777777" w:rsidTr="00B4370B">
        <w:tc>
          <w:tcPr>
            <w:tcW w:w="9350" w:type="dxa"/>
            <w:shd w:val="clear" w:color="auto" w:fill="DEEAF6" w:themeFill="accent5" w:themeFillTint="33"/>
          </w:tcPr>
          <w:p w14:paraId="51B3586D" w14:textId="035DEF51" w:rsidR="00EC47A5" w:rsidRPr="00EC47A5" w:rsidRDefault="00600FB7" w:rsidP="007F6227">
            <w:pPr>
              <w:pStyle w:val="Loendilik"/>
              <w:spacing w:before="0" w:after="120" w:line="240" w:lineRule="auto"/>
              <w:ind w:left="0"/>
              <w:jc w:val="both"/>
              <w:rPr>
                <w:rFonts w:asciiTheme="minorHAnsi" w:hAnsiTheme="minorHAnsi" w:cstheme="minorHAnsi"/>
                <w:i/>
                <w:iCs/>
                <w:color w:val="auto"/>
              </w:rPr>
            </w:pPr>
            <w:r>
              <w:rPr>
                <w:rFonts w:asciiTheme="minorHAnsi" w:hAnsiTheme="minorHAnsi" w:cstheme="minorHAnsi"/>
                <w:i/>
                <w:iCs/>
                <w:color w:val="auto"/>
              </w:rPr>
              <w:t>(</w:t>
            </w:r>
            <w:r w:rsidR="00EC47A5" w:rsidRPr="00EC47A5">
              <w:rPr>
                <w:rFonts w:asciiTheme="minorHAnsi" w:hAnsiTheme="minorHAnsi" w:cstheme="minorHAnsi"/>
                <w:i/>
                <w:iCs/>
                <w:color w:val="auto"/>
              </w:rPr>
              <w:t>5</w:t>
            </w:r>
            <w:r>
              <w:rPr>
                <w:rFonts w:asciiTheme="minorHAnsi" w:hAnsiTheme="minorHAnsi" w:cstheme="minorHAnsi"/>
                <w:i/>
                <w:iCs/>
                <w:color w:val="auto"/>
              </w:rPr>
              <w:t xml:space="preserve">) </w:t>
            </w:r>
            <w:r w:rsidR="00EC47A5" w:rsidRPr="00EC47A5">
              <w:rPr>
                <w:rFonts w:asciiTheme="minorHAnsi" w:hAnsiTheme="minorHAnsi" w:cstheme="minorHAnsi"/>
                <w:i/>
                <w:iCs/>
                <w:color w:val="auto"/>
              </w:rPr>
              <w:t>Paragraph 1 shall not apply to the placing on the market of the following synthetic polymer microparticles, as substances on their own or in mixtures:</w:t>
            </w:r>
          </w:p>
          <w:p w14:paraId="1F44D311" w14:textId="4711CB04" w:rsidR="00EC47A5" w:rsidRPr="00EC47A5" w:rsidRDefault="00EC47A5" w:rsidP="007F6227">
            <w:pPr>
              <w:pStyle w:val="Loendilik"/>
              <w:spacing w:before="0" w:after="120" w:line="240" w:lineRule="auto"/>
              <w:ind w:left="0"/>
              <w:jc w:val="both"/>
              <w:rPr>
                <w:rFonts w:asciiTheme="minorHAnsi" w:hAnsiTheme="minorHAnsi" w:cstheme="minorHAnsi"/>
                <w:i/>
                <w:iCs/>
                <w:color w:val="auto"/>
              </w:rPr>
            </w:pPr>
            <w:r w:rsidRPr="00EC47A5">
              <w:rPr>
                <w:rFonts w:asciiTheme="minorHAnsi" w:hAnsiTheme="minorHAnsi" w:cstheme="minorHAnsi"/>
                <w:i/>
                <w:iCs/>
                <w:color w:val="auto"/>
              </w:rPr>
              <w:t>(b)</w:t>
            </w:r>
            <w:r>
              <w:rPr>
                <w:rFonts w:asciiTheme="minorHAnsi" w:hAnsiTheme="minorHAnsi" w:cstheme="minorHAnsi"/>
                <w:i/>
                <w:iCs/>
                <w:color w:val="auto"/>
              </w:rPr>
              <w:t xml:space="preserve"> </w:t>
            </w:r>
            <w:r w:rsidRPr="00EC47A5">
              <w:rPr>
                <w:rFonts w:asciiTheme="minorHAnsi" w:hAnsiTheme="minorHAnsi" w:cstheme="minorHAnsi"/>
                <w:i/>
                <w:iCs/>
                <w:color w:val="auto"/>
              </w:rPr>
              <w:t xml:space="preserve">synthetic polymer microparticles </w:t>
            </w:r>
            <w:r w:rsidRPr="00EC47A5">
              <w:rPr>
                <w:rFonts w:asciiTheme="minorHAnsi" w:hAnsiTheme="minorHAnsi" w:cstheme="minorHAnsi"/>
                <w:b/>
                <w:bCs/>
                <w:i/>
                <w:iCs/>
                <w:color w:val="auto"/>
              </w:rPr>
              <w:t>the physical properties of which are permanently modified</w:t>
            </w:r>
            <w:r w:rsidRPr="00EC47A5">
              <w:rPr>
                <w:rFonts w:asciiTheme="minorHAnsi" w:hAnsiTheme="minorHAnsi" w:cstheme="minorHAnsi"/>
                <w:i/>
                <w:iCs/>
                <w:color w:val="auto"/>
              </w:rPr>
              <w:t xml:space="preserve"> during intended end use in such a way that the </w:t>
            </w:r>
            <w:r w:rsidRPr="00EC47A5">
              <w:rPr>
                <w:rFonts w:asciiTheme="minorHAnsi" w:hAnsiTheme="minorHAnsi" w:cstheme="minorHAnsi"/>
                <w:b/>
                <w:bCs/>
                <w:i/>
                <w:iCs/>
                <w:color w:val="auto"/>
              </w:rPr>
              <w:t>polymer no longer falls within the scope</w:t>
            </w:r>
            <w:r w:rsidRPr="00EC47A5">
              <w:rPr>
                <w:rFonts w:asciiTheme="minorHAnsi" w:hAnsiTheme="minorHAnsi" w:cstheme="minorHAnsi"/>
                <w:i/>
                <w:iCs/>
                <w:color w:val="auto"/>
              </w:rPr>
              <w:t xml:space="preserve"> of this entry;</w:t>
            </w:r>
          </w:p>
        </w:tc>
      </w:tr>
    </w:tbl>
    <w:p w14:paraId="19520A77" w14:textId="77777777" w:rsidR="00EC47A5" w:rsidRDefault="00EC47A5" w:rsidP="007F6227">
      <w:pPr>
        <w:pStyle w:val="Loendilik"/>
        <w:spacing w:before="0" w:after="120" w:line="240" w:lineRule="auto"/>
        <w:ind w:left="0"/>
        <w:jc w:val="both"/>
        <w:rPr>
          <w:rFonts w:asciiTheme="minorHAnsi" w:hAnsiTheme="minorHAnsi" w:cstheme="minorHAnsi"/>
          <w:b/>
          <w:bCs/>
          <w:color w:val="4472C4" w:themeColor="accent1"/>
        </w:rPr>
      </w:pPr>
    </w:p>
    <w:p w14:paraId="59E1B238" w14:textId="71951145" w:rsidR="00DE076B" w:rsidRDefault="00157E35" w:rsidP="008A4391">
      <w:pPr>
        <w:pStyle w:val="Pealkiri2"/>
        <w:numPr>
          <w:ilvl w:val="1"/>
          <w:numId w:val="13"/>
        </w:numPr>
        <w:ind w:left="0" w:firstLine="0"/>
        <w:jc w:val="both"/>
      </w:pPr>
      <w:r w:rsidRPr="00BD4430">
        <w:t>Which methods can be applied for the determination of the solubility in solvents other than water</w:t>
      </w:r>
      <w:r w:rsidR="00AA3A2F" w:rsidRPr="00BD4430">
        <w:t>?</w:t>
      </w:r>
      <w:bookmarkStart w:id="4" w:name="_Int_6JwN8Ret"/>
    </w:p>
    <w:p w14:paraId="5C49CC93" w14:textId="4AF10838" w:rsidR="008C5DCC" w:rsidRDefault="00940609" w:rsidP="007F6227">
      <w:pPr>
        <w:spacing w:after="120" w:line="240" w:lineRule="auto"/>
        <w:jc w:val="both"/>
        <w:rPr>
          <w:rFonts w:eastAsia="Calibri" w:cstheme="minorHAnsi"/>
        </w:rPr>
      </w:pPr>
      <w:r>
        <w:rPr>
          <w:rFonts w:eastAsia="Calibri" w:cstheme="minorHAnsi"/>
        </w:rPr>
        <w:t>M</w:t>
      </w:r>
      <w:r w:rsidR="008C5DCC" w:rsidRPr="00BD4430">
        <w:rPr>
          <w:rFonts w:eastAsia="Calibri" w:cstheme="minorHAnsi"/>
        </w:rPr>
        <w:t xml:space="preserve">ethod selection is </w:t>
      </w:r>
      <w:r w:rsidR="000F08FA" w:rsidRPr="00BD4430">
        <w:rPr>
          <w:rFonts w:eastAsia="Calibri" w:cstheme="minorHAnsi"/>
        </w:rPr>
        <w:t>a case</w:t>
      </w:r>
      <w:r w:rsidR="008C5DCC" w:rsidRPr="00BD4430">
        <w:rPr>
          <w:rFonts w:eastAsia="Calibri" w:cstheme="minorHAnsi"/>
        </w:rPr>
        <w:t>-by-case decision for the respective product/material.</w:t>
      </w:r>
    </w:p>
    <w:p w14:paraId="34940FD3" w14:textId="77777777" w:rsidR="001F0AC7" w:rsidRPr="00CE083E" w:rsidRDefault="001F0AC7" w:rsidP="00DE3D42">
      <w:pPr>
        <w:pStyle w:val="Pealkiri2"/>
      </w:pPr>
    </w:p>
    <w:p w14:paraId="17843AA8" w14:textId="3E8B268C" w:rsidR="001F0AC7" w:rsidRDefault="006E2190" w:rsidP="008A4391">
      <w:pPr>
        <w:pStyle w:val="Pealkiri2"/>
        <w:numPr>
          <w:ilvl w:val="1"/>
          <w:numId w:val="13"/>
        </w:numPr>
        <w:ind w:left="426"/>
      </w:pPr>
      <w:r>
        <w:t xml:space="preserve">    </w:t>
      </w:r>
      <w:r w:rsidR="7F2F0BD2" w:rsidRPr="7261445F">
        <w:t xml:space="preserve">What is the </w:t>
      </w:r>
      <w:r w:rsidR="3C7187F0" w:rsidRPr="7261445F">
        <w:t>d</w:t>
      </w:r>
      <w:r w:rsidR="001F0AC7" w:rsidRPr="7261445F">
        <w:t xml:space="preserve">efinition of Industrial </w:t>
      </w:r>
      <w:r w:rsidR="00F01478" w:rsidRPr="7261445F">
        <w:t>S</w:t>
      </w:r>
      <w:r w:rsidR="001F0AC7" w:rsidRPr="7261445F">
        <w:t>ite</w:t>
      </w:r>
      <w:r w:rsidR="3F1EFA70" w:rsidRPr="7261445F">
        <w:t>?</w:t>
      </w:r>
    </w:p>
    <w:p w14:paraId="46CB102E" w14:textId="77777777" w:rsidR="001F0AC7" w:rsidRPr="00CE083E" w:rsidRDefault="001F0AC7" w:rsidP="006E2190">
      <w:pPr>
        <w:jc w:val="both"/>
        <w:rPr>
          <w:color w:val="000000" w:themeColor="text1"/>
        </w:rPr>
      </w:pPr>
      <w:r w:rsidRPr="00CE083E">
        <w:rPr>
          <w:color w:val="000000" w:themeColor="text1"/>
        </w:rPr>
        <w:t>There is no definition of industrial and professional use in REACH i.e. in Title 1 chapter II, but there are references to the two types of use in its definitions 13, 25 and 35, as well as in section 6 of Annex VI. In Annex XVII, the terms “industrial installation” and activity of “professional outside industrial installations” are mentioned.</w:t>
      </w:r>
    </w:p>
    <w:p w14:paraId="773883AF" w14:textId="442898FB" w:rsidR="001F0AC7" w:rsidRDefault="001F0AC7" w:rsidP="008A5781">
      <w:pPr>
        <w:tabs>
          <w:tab w:val="left" w:pos="142"/>
        </w:tabs>
        <w:jc w:val="both"/>
      </w:pPr>
      <w:r>
        <w:t xml:space="preserve">ECHA’s Guidance on Information Requirements and Chemical Safety Assessment and, specifically its </w:t>
      </w:r>
      <w:r w:rsidR="00CE083E">
        <w:t>Chapter R.12</w:t>
      </w:r>
      <w:r>
        <w:t xml:space="preserve"> on use description, recommends understanding the concept “professional” as a characteristic to distinguish between use (</w:t>
      </w:r>
      <w:proofErr w:type="spellStart"/>
      <w:r>
        <w:t>i</w:t>
      </w:r>
      <w:proofErr w:type="spellEnd"/>
      <w:r>
        <w:t xml:space="preserve">) at industrial sites and (ii) uses outside industrial sites (but not consumers or </w:t>
      </w:r>
      <w:proofErr w:type="gramStart"/>
      <w:r>
        <w:t>general public</w:t>
      </w:r>
      <w:proofErr w:type="gramEnd"/>
      <w:r>
        <w:t>).</w:t>
      </w:r>
    </w:p>
    <w:p w14:paraId="4E20BBA5" w14:textId="77777777" w:rsidR="001F0AC7" w:rsidRDefault="001F0AC7" w:rsidP="00CE083E">
      <w:pPr>
        <w:jc w:val="both"/>
      </w:pPr>
      <w:r>
        <w:lastRenderedPageBreak/>
        <w:t xml:space="preserve">Typical examples of “uses at industrial site”, the ECHA guidance mentions are the following:  </w:t>
      </w:r>
    </w:p>
    <w:p w14:paraId="58CB9882" w14:textId="77777777" w:rsidR="001F0AC7" w:rsidRPr="00E751C5" w:rsidRDefault="001F0AC7" w:rsidP="008A4391">
      <w:pPr>
        <w:pStyle w:val="Loendilik"/>
        <w:numPr>
          <w:ilvl w:val="0"/>
          <w:numId w:val="9"/>
        </w:numPr>
        <w:spacing w:before="0" w:line="252" w:lineRule="auto"/>
        <w:jc w:val="both"/>
        <w:rPr>
          <w:rFonts w:eastAsia="Times New Roman"/>
          <w:color w:val="000000" w:themeColor="text1"/>
        </w:rPr>
      </w:pPr>
      <w:r w:rsidRPr="00E751C5">
        <w:rPr>
          <w:rFonts w:eastAsia="Times New Roman"/>
          <w:color w:val="000000" w:themeColor="text1"/>
        </w:rPr>
        <w:t xml:space="preserve">Production of cars and other </w:t>
      </w:r>
      <w:proofErr w:type="gramStart"/>
      <w:r w:rsidRPr="00E751C5">
        <w:rPr>
          <w:rFonts w:eastAsia="Times New Roman"/>
          <w:color w:val="000000" w:themeColor="text1"/>
        </w:rPr>
        <w:t>vehicles;</w:t>
      </w:r>
      <w:proofErr w:type="gramEnd"/>
      <w:r w:rsidRPr="00E751C5">
        <w:rPr>
          <w:rFonts w:eastAsia="Times New Roman"/>
          <w:color w:val="000000" w:themeColor="text1"/>
        </w:rPr>
        <w:t xml:space="preserve"> </w:t>
      </w:r>
    </w:p>
    <w:p w14:paraId="15A69ED4" w14:textId="77777777" w:rsidR="001F0AC7" w:rsidRPr="00E751C5" w:rsidRDefault="001F0AC7" w:rsidP="008A4391">
      <w:pPr>
        <w:pStyle w:val="Loendilik"/>
        <w:numPr>
          <w:ilvl w:val="0"/>
          <w:numId w:val="9"/>
        </w:numPr>
        <w:spacing w:before="0" w:line="252" w:lineRule="auto"/>
        <w:jc w:val="both"/>
        <w:rPr>
          <w:rFonts w:eastAsia="Times New Roman"/>
          <w:color w:val="000000" w:themeColor="text1"/>
        </w:rPr>
      </w:pPr>
      <w:r w:rsidRPr="00E751C5">
        <w:rPr>
          <w:rFonts w:eastAsia="Times New Roman"/>
          <w:color w:val="000000" w:themeColor="text1"/>
        </w:rPr>
        <w:t xml:space="preserve">Production of </w:t>
      </w:r>
      <w:proofErr w:type="gramStart"/>
      <w:r w:rsidRPr="00E751C5">
        <w:rPr>
          <w:rFonts w:eastAsia="Times New Roman"/>
          <w:color w:val="000000" w:themeColor="text1"/>
        </w:rPr>
        <w:t>paper;</w:t>
      </w:r>
      <w:proofErr w:type="gramEnd"/>
      <w:r w:rsidRPr="00E751C5">
        <w:rPr>
          <w:rFonts w:eastAsia="Times New Roman"/>
          <w:color w:val="000000" w:themeColor="text1"/>
        </w:rPr>
        <w:t xml:space="preserve"> </w:t>
      </w:r>
    </w:p>
    <w:p w14:paraId="3427D833" w14:textId="77777777" w:rsidR="001F0AC7" w:rsidRDefault="001F0AC7" w:rsidP="008A4391">
      <w:pPr>
        <w:pStyle w:val="Loendilik"/>
        <w:numPr>
          <w:ilvl w:val="0"/>
          <w:numId w:val="9"/>
        </w:numPr>
        <w:spacing w:before="0" w:line="252" w:lineRule="auto"/>
        <w:jc w:val="both"/>
        <w:rPr>
          <w:rFonts w:eastAsia="Times New Roman"/>
          <w:color w:val="000000" w:themeColor="text1"/>
        </w:rPr>
      </w:pPr>
      <w:r w:rsidRPr="00E751C5">
        <w:rPr>
          <w:rFonts w:eastAsia="Times New Roman"/>
          <w:color w:val="000000" w:themeColor="text1"/>
        </w:rPr>
        <w:t>Textile dyeing and finishing and</w:t>
      </w:r>
    </w:p>
    <w:p w14:paraId="3D41274F" w14:textId="7A8273E5" w:rsidR="00E751C5" w:rsidRPr="00E751C5" w:rsidRDefault="00E751C5" w:rsidP="008A4391">
      <w:pPr>
        <w:pStyle w:val="Loendilik"/>
        <w:numPr>
          <w:ilvl w:val="0"/>
          <w:numId w:val="9"/>
        </w:numPr>
        <w:spacing w:before="0" w:line="252" w:lineRule="auto"/>
        <w:jc w:val="both"/>
        <w:rPr>
          <w:rFonts w:eastAsia="Times New Roman"/>
          <w:color w:val="000000" w:themeColor="text1"/>
        </w:rPr>
      </w:pPr>
      <w:r>
        <w:rPr>
          <w:rFonts w:eastAsia="Times New Roman"/>
          <w:color w:val="000000" w:themeColor="text1"/>
        </w:rPr>
        <w:t>Production of semicondu</w:t>
      </w:r>
      <w:r w:rsidR="009B15AD">
        <w:rPr>
          <w:rFonts w:eastAsia="Times New Roman"/>
          <w:color w:val="000000" w:themeColor="text1"/>
        </w:rPr>
        <w:t>ctors</w:t>
      </w:r>
    </w:p>
    <w:p w14:paraId="7CCA1496" w14:textId="77777777" w:rsidR="002D4606" w:rsidRPr="009B15AD" w:rsidRDefault="002D4606" w:rsidP="009B15AD">
      <w:pPr>
        <w:pStyle w:val="Loendilik"/>
        <w:spacing w:before="0" w:line="252" w:lineRule="auto"/>
        <w:jc w:val="both"/>
        <w:rPr>
          <w:rFonts w:eastAsia="Times New Roman"/>
        </w:rPr>
      </w:pPr>
    </w:p>
    <w:p w14:paraId="65052094" w14:textId="151A7656" w:rsidR="002D4606" w:rsidRPr="009B15AD" w:rsidRDefault="4057912B" w:rsidP="008A4391">
      <w:pPr>
        <w:pStyle w:val="Pealkiri2"/>
        <w:numPr>
          <w:ilvl w:val="1"/>
          <w:numId w:val="13"/>
        </w:numPr>
        <w:ind w:left="-142" w:firstLine="142"/>
        <w:jc w:val="both"/>
        <w:rPr>
          <w:kern w:val="0"/>
        </w:rPr>
      </w:pPr>
      <w:r w:rsidRPr="7261445F">
        <w:t xml:space="preserve">What is the </w:t>
      </w:r>
      <w:r w:rsidR="5E199A33" w:rsidRPr="7261445F">
        <w:t>d</w:t>
      </w:r>
      <w:r w:rsidR="009A2C7E" w:rsidRPr="7261445F">
        <w:t xml:space="preserve">efinition of </w:t>
      </w:r>
      <w:r w:rsidR="002D4606" w:rsidRPr="7261445F">
        <w:t>End users</w:t>
      </w:r>
      <w:r w:rsidR="558205C9" w:rsidRPr="7261445F">
        <w:t>?</w:t>
      </w:r>
    </w:p>
    <w:p w14:paraId="10BFBB17" w14:textId="68BE5529" w:rsidR="002D4606" w:rsidRDefault="002D4606" w:rsidP="000C6332">
      <w:pPr>
        <w:jc w:val="both"/>
      </w:pPr>
      <w:proofErr w:type="gramStart"/>
      <w:r>
        <w:t>Similar to</w:t>
      </w:r>
      <w:proofErr w:type="gramEnd"/>
      <w:r>
        <w:t xml:space="preserve"> the definition of industrial site, REACH does not contain a definition of end user as such, but there are some mentions of the concept in</w:t>
      </w:r>
      <w:r w:rsidR="007A3EAA">
        <w:t xml:space="preserve"> its</w:t>
      </w:r>
      <w:r>
        <w:t xml:space="preserve"> Annex V: ‘’substances which result from a chemical reaction occurring upon end use of other substances, mixtures or articles and which are not themselves manufactured, imported or placed on the market’’.</w:t>
      </w:r>
    </w:p>
    <w:p w14:paraId="2679155C" w14:textId="52C1FEF9" w:rsidR="002D4606" w:rsidRDefault="002D4606" w:rsidP="000C6332">
      <w:pPr>
        <w:jc w:val="both"/>
      </w:pPr>
      <w:r>
        <w:t xml:space="preserve">ECHA website also gives some </w:t>
      </w:r>
      <w:r w:rsidR="00BC5A36">
        <w:t>explanation on</w:t>
      </w:r>
      <w:r>
        <w:t xml:space="preserve"> end users, in the context of explanation of downstream users: end users are those that use substances or mixtures but do not supply them further downstream. Examples include users of adhesives, coatings and inks, lubricants, cleaning agents, solvents and chemical reagents like bleaching products. </w:t>
      </w:r>
    </w:p>
    <w:p w14:paraId="35D021DF" w14:textId="77777777" w:rsidR="002D4606" w:rsidRPr="00E751C5" w:rsidRDefault="002D4606" w:rsidP="00E751C5">
      <w:pPr>
        <w:spacing w:line="252" w:lineRule="auto"/>
        <w:jc w:val="both"/>
        <w:rPr>
          <w:rFonts w:eastAsia="Times New Roman"/>
        </w:rPr>
      </w:pPr>
    </w:p>
    <w:bookmarkEnd w:id="4"/>
    <w:p w14:paraId="39AC7C3F" w14:textId="2DC24770" w:rsidR="007F6227" w:rsidRDefault="007F6227">
      <w:pPr>
        <w:rPr>
          <w:rFonts w:cstheme="minorHAnsi"/>
          <w:b/>
          <w:bCs/>
        </w:rPr>
      </w:pPr>
      <w:r>
        <w:rPr>
          <w:rFonts w:cstheme="minorHAnsi"/>
          <w:b/>
          <w:bCs/>
        </w:rPr>
        <w:br w:type="page"/>
      </w:r>
    </w:p>
    <w:p w14:paraId="58B612D6" w14:textId="4030ABC3" w:rsidR="00157E35" w:rsidRPr="004B16D8" w:rsidRDefault="3BFA88A1" w:rsidP="008A4391">
      <w:pPr>
        <w:pStyle w:val="Pealkiri1"/>
        <w:numPr>
          <w:ilvl w:val="0"/>
          <w:numId w:val="11"/>
        </w:numPr>
        <w:rPr>
          <w:rFonts w:cstheme="minorHAnsi"/>
          <w:lang w:val="fr-BE"/>
        </w:rPr>
      </w:pPr>
      <w:bookmarkStart w:id="5" w:name="_Toc170394055"/>
      <w:r w:rsidRPr="428422A5">
        <w:rPr>
          <w:lang w:val="fr-BE"/>
        </w:rPr>
        <w:lastRenderedPageBreak/>
        <w:t>D</w:t>
      </w:r>
      <w:r w:rsidR="5301EEE0" w:rsidRPr="428422A5">
        <w:rPr>
          <w:lang w:val="fr-BE"/>
        </w:rPr>
        <w:t>EROGATIONS</w:t>
      </w:r>
      <w:bookmarkEnd w:id="5"/>
    </w:p>
    <w:p w14:paraId="24C0E941" w14:textId="77777777" w:rsidR="000C5920" w:rsidRPr="00BD4430" w:rsidRDefault="000C5920" w:rsidP="007F6227">
      <w:pPr>
        <w:spacing w:after="120" w:line="240" w:lineRule="auto"/>
        <w:jc w:val="both"/>
        <w:rPr>
          <w:rFonts w:cstheme="minorHAnsi"/>
          <w:i/>
          <w:iCs/>
        </w:rPr>
      </w:pPr>
    </w:p>
    <w:p w14:paraId="204ABC20" w14:textId="03379ED1" w:rsidR="00923F13" w:rsidRPr="005047BA" w:rsidRDefault="00157E35" w:rsidP="008A4391">
      <w:pPr>
        <w:pStyle w:val="Pealkiri2"/>
        <w:numPr>
          <w:ilvl w:val="0"/>
          <w:numId w:val="12"/>
        </w:numPr>
        <w:ind w:left="0" w:firstLine="0"/>
        <w:jc w:val="both"/>
      </w:pPr>
      <w:r w:rsidRPr="005047BA">
        <w:t xml:space="preserve">How to demonstrate that the polymer has been permanently modified during the intended end use in such a way that it is no longer in scope of the </w:t>
      </w:r>
      <w:r w:rsidR="00AB0BDB">
        <w:t>r</w:t>
      </w:r>
      <w:r w:rsidR="00381C64">
        <w:t>estriction</w:t>
      </w:r>
      <w:r w:rsidRPr="005047BA">
        <w:t xml:space="preserve">? </w:t>
      </w:r>
    </w:p>
    <w:p w14:paraId="4CB1D709" w14:textId="623475F9" w:rsidR="00DE076B" w:rsidRPr="00621B55" w:rsidRDefault="00012B71" w:rsidP="00F827BC">
      <w:pPr>
        <w:spacing w:before="240" w:after="240" w:line="240" w:lineRule="auto"/>
        <w:ind w:hanging="142"/>
        <w:jc w:val="both"/>
        <w:rPr>
          <w:rFonts w:ascii="Segoe UI" w:eastAsia="Segoe UI" w:hAnsi="Segoe UI" w:cs="Segoe UI"/>
          <w:color w:val="C00000"/>
          <w:sz w:val="18"/>
          <w:szCs w:val="18"/>
        </w:rPr>
      </w:pPr>
      <w:r>
        <w:rPr>
          <w:rFonts w:eastAsiaTheme="minorEastAsia"/>
        </w:rPr>
        <w:t xml:space="preserve">   </w:t>
      </w:r>
      <w:r w:rsidR="00556A15" w:rsidRPr="4151BFF1">
        <w:rPr>
          <w:rFonts w:eastAsiaTheme="minorEastAsia"/>
        </w:rPr>
        <w:t>The decision is made on a case-by-case basis depending on the product and the application/end-use.</w:t>
      </w:r>
      <w:r>
        <w:rPr>
          <w:rFonts w:eastAsiaTheme="minorEastAsia"/>
        </w:rPr>
        <w:t xml:space="preserve"> </w:t>
      </w:r>
      <w:r w:rsidR="00556A15" w:rsidRPr="4151BFF1">
        <w:rPr>
          <w:rFonts w:eastAsiaTheme="minorEastAsia"/>
        </w:rPr>
        <w:t>C</w:t>
      </w:r>
      <w:r w:rsidR="00157E35" w:rsidRPr="4151BFF1">
        <w:rPr>
          <w:rFonts w:eastAsiaTheme="minorEastAsia"/>
        </w:rPr>
        <w:t xml:space="preserve">ompanies should </w:t>
      </w:r>
      <w:r w:rsidR="00D00601" w:rsidRPr="4151BFF1">
        <w:rPr>
          <w:rFonts w:eastAsiaTheme="minorEastAsia"/>
        </w:rPr>
        <w:t>obtain</w:t>
      </w:r>
      <w:r w:rsidR="00556A15" w:rsidRPr="4151BFF1">
        <w:rPr>
          <w:rFonts w:eastAsiaTheme="minorEastAsia"/>
        </w:rPr>
        <w:t xml:space="preserve"> documentation </w:t>
      </w:r>
      <w:r w:rsidR="00157E35" w:rsidRPr="4151BFF1">
        <w:rPr>
          <w:rFonts w:eastAsiaTheme="minorEastAsia"/>
        </w:rPr>
        <w:t xml:space="preserve">based on the specific use and, if necessary, supported by individual analyses, which </w:t>
      </w:r>
      <w:r w:rsidR="00556A15" w:rsidRPr="4151BFF1">
        <w:rPr>
          <w:rFonts w:eastAsiaTheme="minorEastAsia"/>
        </w:rPr>
        <w:t>confirms whether</w:t>
      </w:r>
      <w:r w:rsidR="00157E35" w:rsidRPr="4151BFF1">
        <w:rPr>
          <w:rFonts w:eastAsiaTheme="minorEastAsia"/>
        </w:rPr>
        <w:t xml:space="preserve"> </w:t>
      </w:r>
      <w:r w:rsidR="00556A15" w:rsidRPr="4151BFF1">
        <w:rPr>
          <w:rFonts w:eastAsiaTheme="minorEastAsia"/>
        </w:rPr>
        <w:t>derogations apply.</w:t>
      </w:r>
      <w:r w:rsidR="00157E35" w:rsidRPr="4151BFF1">
        <w:rPr>
          <w:rFonts w:eastAsiaTheme="minorEastAsia"/>
        </w:rPr>
        <w:t xml:space="preserve">, e.g. the loss of the </w:t>
      </w:r>
      <w:r w:rsidR="001A12C7">
        <w:rPr>
          <w:rFonts w:eastAsiaTheme="minorEastAsia"/>
        </w:rPr>
        <w:t xml:space="preserve">SPM </w:t>
      </w:r>
      <w:r w:rsidR="00157E35" w:rsidRPr="4151BFF1">
        <w:rPr>
          <w:rFonts w:eastAsiaTheme="minorEastAsia"/>
        </w:rPr>
        <w:t>properties</w:t>
      </w:r>
      <w:r w:rsidR="06E242F8" w:rsidRPr="4151BFF1">
        <w:rPr>
          <w:rFonts w:eastAsiaTheme="minorEastAsia"/>
        </w:rPr>
        <w:t>.</w:t>
      </w:r>
      <w:r w:rsidR="00157E35" w:rsidRPr="4151BFF1">
        <w:rPr>
          <w:rFonts w:eastAsiaTheme="minorEastAsia"/>
        </w:rPr>
        <w:t xml:space="preserve"> </w:t>
      </w:r>
      <w:r w:rsidR="35C9C9C2" w:rsidRPr="4151BFF1">
        <w:rPr>
          <w:rFonts w:eastAsiaTheme="minorEastAsia"/>
        </w:rPr>
        <w:t>This applies to</w:t>
      </w:r>
      <w:r w:rsidR="00157E35" w:rsidRPr="4151BFF1">
        <w:rPr>
          <w:rFonts w:eastAsiaTheme="minorEastAsia"/>
        </w:rPr>
        <w:t xml:space="preserve"> </w:t>
      </w:r>
      <w:proofErr w:type="gramStart"/>
      <w:r w:rsidR="00157E35" w:rsidRPr="4151BFF1">
        <w:rPr>
          <w:rFonts w:eastAsiaTheme="minorEastAsia"/>
        </w:rPr>
        <w:t>professional</w:t>
      </w:r>
      <w:proofErr w:type="gramEnd"/>
      <w:r w:rsidR="3A26939E" w:rsidRPr="4151BFF1">
        <w:rPr>
          <w:rFonts w:eastAsiaTheme="minorEastAsia"/>
        </w:rPr>
        <w:t xml:space="preserve"> and consumer uses, as</w:t>
      </w:r>
      <w:r w:rsidR="5D643951" w:rsidRPr="4151BFF1">
        <w:rPr>
          <w:rFonts w:eastAsiaTheme="minorEastAsia"/>
        </w:rPr>
        <w:t xml:space="preserve"> </w:t>
      </w:r>
      <w:r w:rsidR="00157E35" w:rsidRPr="4151BFF1">
        <w:rPr>
          <w:rFonts w:eastAsiaTheme="minorEastAsia"/>
        </w:rPr>
        <w:t>industrial use</w:t>
      </w:r>
      <w:r w:rsidR="4C88C895" w:rsidRPr="4151BFF1">
        <w:rPr>
          <w:rFonts w:eastAsiaTheme="minorEastAsia"/>
        </w:rPr>
        <w:t>s</w:t>
      </w:r>
      <w:r w:rsidR="00157E35" w:rsidRPr="4151BFF1">
        <w:rPr>
          <w:rFonts w:eastAsiaTheme="minorEastAsia"/>
        </w:rPr>
        <w:t xml:space="preserve"> fall under </w:t>
      </w:r>
      <w:r w:rsidR="5F74E9AE" w:rsidRPr="4151BFF1">
        <w:rPr>
          <w:rFonts w:eastAsiaTheme="minorEastAsia"/>
        </w:rPr>
        <w:t xml:space="preserve">derogation </w:t>
      </w:r>
      <w:r w:rsidR="00157E35" w:rsidRPr="4151BFF1">
        <w:rPr>
          <w:rFonts w:eastAsiaTheme="minorEastAsia"/>
        </w:rPr>
        <w:t>4a</w:t>
      </w:r>
      <w:r w:rsidR="00157E35" w:rsidRPr="00EC445C">
        <w:rPr>
          <w:rFonts w:eastAsiaTheme="minorEastAsia"/>
          <w:color w:val="000000" w:themeColor="text1"/>
        </w:rPr>
        <w:t xml:space="preserve">). </w:t>
      </w:r>
    </w:p>
    <w:p w14:paraId="5B4C38DC" w14:textId="77777777" w:rsidR="00923F13" w:rsidRPr="00BD4430" w:rsidRDefault="00923F13" w:rsidP="00012B71">
      <w:pPr>
        <w:spacing w:after="120" w:line="240" w:lineRule="auto"/>
        <w:ind w:left="-142"/>
        <w:jc w:val="both"/>
        <w:rPr>
          <w:rFonts w:eastAsia="Calibri" w:cstheme="minorHAnsi"/>
        </w:rPr>
      </w:pPr>
    </w:p>
    <w:p w14:paraId="75110E36" w14:textId="5018006B" w:rsidR="00665638" w:rsidRPr="00665638" w:rsidRDefault="00157E35" w:rsidP="008A4391">
      <w:pPr>
        <w:pStyle w:val="Pealkiri2"/>
        <w:numPr>
          <w:ilvl w:val="1"/>
          <w:numId w:val="14"/>
        </w:numPr>
        <w:ind w:left="284" w:hanging="284"/>
        <w:jc w:val="both"/>
      </w:pPr>
      <w:r w:rsidRPr="4151BFF1">
        <w:t>In case of gel formation, can we consider</w:t>
      </w:r>
      <w:r w:rsidR="004E0D33" w:rsidRPr="4151BFF1">
        <w:t xml:space="preserve"> other conditions </w:t>
      </w:r>
      <w:r w:rsidR="00735B7A" w:rsidRPr="4151BFF1">
        <w:t>beyond</w:t>
      </w:r>
      <w:r w:rsidRPr="4151BFF1">
        <w:t xml:space="preserve"> condition 5b)</w:t>
      </w:r>
      <w:r w:rsidR="00460965" w:rsidRPr="4151BFF1">
        <w:t>?</w:t>
      </w:r>
    </w:p>
    <w:p w14:paraId="595FCA33" w14:textId="1FF5EB21" w:rsidR="00500CB7" w:rsidRPr="00BD4430" w:rsidRDefault="00012B71" w:rsidP="008A5781">
      <w:pPr>
        <w:spacing w:after="120" w:line="240" w:lineRule="auto"/>
        <w:ind w:hanging="142"/>
        <w:jc w:val="both"/>
        <w:rPr>
          <w:rFonts w:eastAsia="Calibri"/>
        </w:rPr>
      </w:pPr>
      <w:r>
        <w:rPr>
          <w:rFonts w:eastAsia="Calibri"/>
        </w:rPr>
        <w:t xml:space="preserve">   </w:t>
      </w:r>
      <w:r w:rsidR="00157E35" w:rsidRPr="1EB84062">
        <w:rPr>
          <w:rFonts w:eastAsia="Calibri"/>
        </w:rPr>
        <w:t>Gels are dispers</w:t>
      </w:r>
      <w:r w:rsidR="007D6DAD" w:rsidRPr="1EB84062">
        <w:rPr>
          <w:rFonts w:eastAsia="Calibri"/>
        </w:rPr>
        <w:t>i</w:t>
      </w:r>
      <w:r w:rsidR="472BA101" w:rsidRPr="1EB84062">
        <w:rPr>
          <w:rFonts w:eastAsia="Calibri"/>
        </w:rPr>
        <w:t>on</w:t>
      </w:r>
      <w:r w:rsidR="00157E35" w:rsidRPr="1EB84062">
        <w:rPr>
          <w:rFonts w:eastAsia="Calibri"/>
        </w:rPr>
        <w:t xml:space="preserve"> (</w:t>
      </w:r>
      <w:r w:rsidR="007D6DAD" w:rsidRPr="1EB84062">
        <w:rPr>
          <w:rFonts w:eastAsia="Calibri"/>
        </w:rPr>
        <w:t>solid</w:t>
      </w:r>
      <w:r w:rsidR="3292071F" w:rsidRPr="1EB84062">
        <w:rPr>
          <w:rFonts w:eastAsia="Calibri"/>
        </w:rPr>
        <w:t xml:space="preserve"> particles dispersed in a</w:t>
      </w:r>
      <w:r w:rsidR="00CD405B">
        <w:rPr>
          <w:rFonts w:eastAsia="Calibri"/>
        </w:rPr>
        <w:t xml:space="preserve"> </w:t>
      </w:r>
      <w:r w:rsidR="007D6DAD" w:rsidRPr="1EB84062">
        <w:rPr>
          <w:rFonts w:eastAsia="Calibri"/>
        </w:rPr>
        <w:t>liquid</w:t>
      </w:r>
      <w:r w:rsidR="213A3FB8" w:rsidRPr="1EB84062">
        <w:rPr>
          <w:rFonts w:eastAsia="Calibri"/>
        </w:rPr>
        <w:t xml:space="preserve"> phase</w:t>
      </w:r>
      <w:r w:rsidR="00157E35" w:rsidRPr="1EB84062">
        <w:rPr>
          <w:rFonts w:eastAsia="Calibri"/>
        </w:rPr>
        <w:t xml:space="preserve">). One of the basic properties of gels is that </w:t>
      </w:r>
      <w:r>
        <w:rPr>
          <w:rFonts w:eastAsia="Calibri"/>
        </w:rPr>
        <w:t xml:space="preserve">  </w:t>
      </w:r>
      <w:r w:rsidR="00157E35" w:rsidRPr="1EB84062">
        <w:rPr>
          <w:rFonts w:eastAsia="Calibri"/>
        </w:rPr>
        <w:t xml:space="preserve">they </w:t>
      </w:r>
      <w:r w:rsidR="66F0A38A" w:rsidRPr="1EB84062">
        <w:rPr>
          <w:rFonts w:eastAsia="Calibri"/>
        </w:rPr>
        <w:t>are polymers able to</w:t>
      </w:r>
      <w:r w:rsidR="00157E35" w:rsidRPr="1EB84062">
        <w:rPr>
          <w:rFonts w:eastAsia="Calibri"/>
        </w:rPr>
        <w:t xml:space="preserve"> swell in certain solvents. </w:t>
      </w:r>
      <w:r w:rsidR="00500CB7" w:rsidRPr="1EB84062">
        <w:rPr>
          <w:rFonts w:eastAsia="Calibri"/>
        </w:rPr>
        <w:t xml:space="preserve">If physical properties of a gel are permanently modified during intended end use in such a way that the polymer no longer falls within the scope of </w:t>
      </w:r>
      <w:r w:rsidR="00381C64" w:rsidRPr="1EB84062">
        <w:rPr>
          <w:rFonts w:eastAsia="Calibri"/>
        </w:rPr>
        <w:t>restriction</w:t>
      </w:r>
      <w:r w:rsidR="00A54FFC" w:rsidRPr="1EB84062">
        <w:rPr>
          <w:rFonts w:eastAsia="Calibri"/>
        </w:rPr>
        <w:t>,</w:t>
      </w:r>
      <w:r w:rsidR="00500CB7" w:rsidRPr="1EB84062">
        <w:rPr>
          <w:rFonts w:eastAsia="Calibri"/>
        </w:rPr>
        <w:t xml:space="preserve"> it is </w:t>
      </w:r>
      <w:r w:rsidR="00E04F35">
        <w:rPr>
          <w:rFonts w:eastAsia="Calibri"/>
        </w:rPr>
        <w:t>derogated</w:t>
      </w:r>
      <w:r w:rsidR="0034596B">
        <w:rPr>
          <w:rFonts w:eastAsia="Calibri"/>
        </w:rPr>
        <w:t xml:space="preserve"> subject to instructions for </w:t>
      </w:r>
      <w:r w:rsidR="001974B0">
        <w:rPr>
          <w:rFonts w:eastAsia="Calibri"/>
        </w:rPr>
        <w:t xml:space="preserve">use and </w:t>
      </w:r>
      <w:r w:rsidR="0034596B">
        <w:rPr>
          <w:rFonts w:eastAsia="Calibri"/>
        </w:rPr>
        <w:t>disposal and</w:t>
      </w:r>
      <w:r w:rsidR="001974B0">
        <w:rPr>
          <w:rFonts w:eastAsia="Calibri"/>
        </w:rPr>
        <w:t xml:space="preserve"> reporting.</w:t>
      </w:r>
      <w:r w:rsidR="0034596B">
        <w:rPr>
          <w:rFonts w:eastAsia="Calibri"/>
        </w:rPr>
        <w:t xml:space="preserve"> </w:t>
      </w:r>
    </w:p>
    <w:p w14:paraId="30C602BE" w14:textId="7BC1588F" w:rsidR="00157E35" w:rsidRPr="003D23B0" w:rsidRDefault="00012B71" w:rsidP="00F827BC">
      <w:pPr>
        <w:spacing w:after="120" w:line="240" w:lineRule="auto"/>
        <w:ind w:hanging="284"/>
        <w:jc w:val="both"/>
        <w:rPr>
          <w:rFonts w:eastAsia="Calibri" w:cstheme="minorHAnsi"/>
        </w:rPr>
      </w:pPr>
      <w:r>
        <w:rPr>
          <w:rFonts w:eastAsia="Calibri" w:cstheme="minorHAnsi"/>
        </w:rPr>
        <w:t xml:space="preserve">    </w:t>
      </w:r>
      <w:r w:rsidR="00460965" w:rsidRPr="00BD4430">
        <w:rPr>
          <w:rFonts w:eastAsia="Calibri" w:cstheme="minorHAnsi"/>
        </w:rPr>
        <w:t>G</w:t>
      </w:r>
      <w:r w:rsidR="00157E35" w:rsidRPr="00BD4430">
        <w:rPr>
          <w:rFonts w:eastAsia="Calibri" w:cstheme="minorHAnsi"/>
        </w:rPr>
        <w:t xml:space="preserve">els </w:t>
      </w:r>
      <w:r w:rsidR="00460965" w:rsidRPr="00BD4430">
        <w:rPr>
          <w:rFonts w:eastAsia="Calibri" w:cstheme="minorHAnsi"/>
        </w:rPr>
        <w:t>are specifically mentioned under</w:t>
      </w:r>
      <w:r w:rsidR="00157E35" w:rsidRPr="00BD4430">
        <w:rPr>
          <w:rFonts w:eastAsia="Calibri" w:cstheme="minorHAnsi"/>
        </w:rPr>
        <w:t xml:space="preserve"> </w:t>
      </w:r>
      <w:r w:rsidR="00DE076B" w:rsidRPr="00BD4430">
        <w:rPr>
          <w:rFonts w:eastAsia="Calibri" w:cstheme="minorHAnsi"/>
        </w:rPr>
        <w:t>R</w:t>
      </w:r>
      <w:r w:rsidR="00157E35" w:rsidRPr="00BD4430">
        <w:rPr>
          <w:rFonts w:eastAsia="Calibri" w:cstheme="minorHAnsi"/>
        </w:rPr>
        <w:t xml:space="preserve">ecital 18 </w:t>
      </w:r>
    </w:p>
    <w:tbl>
      <w:tblPr>
        <w:tblStyle w:val="Kontuurtabel"/>
        <w:tblW w:w="0" w:type="auto"/>
        <w:shd w:val="clear" w:color="auto" w:fill="D9E2F3" w:themeFill="accent1" w:themeFillTint="33"/>
        <w:tblLook w:val="04A0" w:firstRow="1" w:lastRow="0" w:firstColumn="1" w:lastColumn="0" w:noHBand="0" w:noVBand="1"/>
      </w:tblPr>
      <w:tblGrid>
        <w:gridCol w:w="9350"/>
      </w:tblGrid>
      <w:tr w:rsidR="007D6DAD" w14:paraId="58B9CF1D" w14:textId="77777777" w:rsidTr="00B4370B">
        <w:tc>
          <w:tcPr>
            <w:tcW w:w="9350" w:type="dxa"/>
            <w:shd w:val="clear" w:color="auto" w:fill="DEEAF6" w:themeFill="accent5" w:themeFillTint="33"/>
          </w:tcPr>
          <w:p w14:paraId="0C3B4459" w14:textId="1DFA9CE4" w:rsidR="007D6DAD" w:rsidRDefault="00B17A69" w:rsidP="008A5781">
            <w:pPr>
              <w:spacing w:after="120"/>
              <w:ind w:hanging="142"/>
              <w:jc w:val="both"/>
              <w:rPr>
                <w:rFonts w:eastAsia="Calibri" w:cstheme="minorHAnsi"/>
                <w:i/>
                <w:iCs/>
              </w:rPr>
            </w:pPr>
            <w:r>
              <w:rPr>
                <w:rFonts w:eastAsia="Calibri" w:cstheme="minorHAnsi"/>
                <w:i/>
                <w:iCs/>
              </w:rPr>
              <w:t xml:space="preserve">   (</w:t>
            </w:r>
            <w:r w:rsidR="007D6DAD" w:rsidRPr="00BD4430">
              <w:rPr>
                <w:rFonts w:eastAsia="Calibri" w:cstheme="minorHAnsi"/>
                <w:i/>
                <w:iCs/>
              </w:rPr>
              <w:t xml:space="preserve">18) [...] Moreover , derogations from the ban on placing on the market are proposed where the risk from releases is expected to be minimized because synthetic polymer microparticles are contained by technical means, such as those in chromatography columns, water filtering cartridges or printer toners, or </w:t>
            </w:r>
            <w:r w:rsidR="007D6DAD" w:rsidRPr="00BD4430">
              <w:rPr>
                <w:rFonts w:eastAsia="Calibri" w:cstheme="minorHAnsi"/>
                <w:b/>
                <w:bCs/>
                <w:i/>
                <w:iCs/>
                <w:u w:val="single"/>
              </w:rPr>
              <w:t xml:space="preserve">permanently lose their particle form because, for example, they swell </w:t>
            </w:r>
            <w:r w:rsidR="007D6DAD" w:rsidRPr="00BD4430">
              <w:rPr>
                <w:rFonts w:eastAsia="Calibri" w:cstheme="minorHAnsi"/>
                <w:i/>
                <w:iCs/>
              </w:rPr>
              <w:t>or form a film, like in diapers, nail polish or paint, or are permanently enclosed in a solid matrix during end use, such as fibers added to concrete or pellets used as feedstock for molded articles.</w:t>
            </w:r>
          </w:p>
        </w:tc>
      </w:tr>
    </w:tbl>
    <w:p w14:paraId="1DFEF3B9" w14:textId="77777777" w:rsidR="00B4370B" w:rsidRPr="00BD4430" w:rsidRDefault="00B4370B" w:rsidP="008A5781">
      <w:pPr>
        <w:spacing w:after="120" w:line="240" w:lineRule="auto"/>
        <w:ind w:right="-20" w:hanging="142"/>
        <w:jc w:val="both"/>
        <w:rPr>
          <w:rFonts w:eastAsia="Calibri" w:cstheme="minorHAnsi"/>
          <w:i/>
          <w:iCs/>
        </w:rPr>
      </w:pPr>
    </w:p>
    <w:p w14:paraId="3BAE11AF" w14:textId="1865A7DC" w:rsidR="00460965" w:rsidRPr="005047BA" w:rsidRDefault="00460965" w:rsidP="008A4391">
      <w:pPr>
        <w:pStyle w:val="Pealkiri2"/>
        <w:numPr>
          <w:ilvl w:val="1"/>
          <w:numId w:val="14"/>
        </w:numPr>
        <w:ind w:left="0" w:firstLine="0"/>
      </w:pPr>
      <w:r w:rsidRPr="005047BA">
        <w:t xml:space="preserve">In case of gel formation, </w:t>
      </w:r>
      <w:r w:rsidR="003F0CB3">
        <w:t>does</w:t>
      </w:r>
      <w:r w:rsidRPr="005047BA">
        <w:t xml:space="preserve"> </w:t>
      </w:r>
      <w:r w:rsidR="00177030">
        <w:t xml:space="preserve">the </w:t>
      </w:r>
      <w:r w:rsidRPr="005047BA">
        <w:t xml:space="preserve">general exclusion for polymer in liquid </w:t>
      </w:r>
      <w:r w:rsidR="001440FB" w:rsidRPr="005047BA">
        <w:t>form “</w:t>
      </w:r>
      <w:r w:rsidRPr="005047BA">
        <w:t>under conditions (d)(</w:t>
      </w:r>
      <w:proofErr w:type="spellStart"/>
      <w:r w:rsidRPr="005047BA">
        <w:t>i</w:t>
      </w:r>
      <w:proofErr w:type="spellEnd"/>
      <w:proofErr w:type="gramStart"/>
      <w:r w:rsidRPr="005047BA">
        <w:t>),(</w:t>
      </w:r>
      <w:proofErr w:type="gramEnd"/>
      <w:r w:rsidRPr="005047BA">
        <w:t>ii), (iii)</w:t>
      </w:r>
      <w:r w:rsidR="003F0CB3">
        <w:t xml:space="preserve">” </w:t>
      </w:r>
      <w:r w:rsidRPr="005047BA">
        <w:t xml:space="preserve"> </w:t>
      </w:r>
      <w:r w:rsidR="003F0CB3">
        <w:t xml:space="preserve">apply </w:t>
      </w:r>
      <w:r w:rsidRPr="005047BA">
        <w:t>?</w:t>
      </w:r>
    </w:p>
    <w:p w14:paraId="4C3B6484" w14:textId="1FC88F18" w:rsidR="00460965" w:rsidRPr="00BD4430" w:rsidRDefault="00460965" w:rsidP="00077137">
      <w:pPr>
        <w:autoSpaceDE w:val="0"/>
        <w:autoSpaceDN w:val="0"/>
        <w:adjustRightInd w:val="0"/>
        <w:spacing w:after="120" w:line="240" w:lineRule="auto"/>
        <w:rPr>
          <w:rFonts w:cstheme="minorHAnsi"/>
          <w:color w:val="000000"/>
          <w:kern w:val="0"/>
          <w14:ligatures w14:val="none"/>
        </w:rPr>
      </w:pPr>
      <w:r w:rsidRPr="00BD4430">
        <w:rPr>
          <w:rFonts w:cstheme="minorHAnsi"/>
          <w:color w:val="000000"/>
          <w:kern w:val="0"/>
          <w14:ligatures w14:val="none"/>
        </w:rPr>
        <w:t>Yes, if one can demonstrate that a substance or mixture meets any conditions stipulated in paragraph 2(d) and that less than 1 % by weight of the particles (</w:t>
      </w:r>
      <w:r w:rsidR="006A7438" w:rsidRPr="00BD4430">
        <w:rPr>
          <w:rFonts w:cstheme="minorHAnsi"/>
          <w:color w:val="000000"/>
          <w:kern w:val="0"/>
          <w14:ligatures w14:val="none"/>
        </w:rPr>
        <w:t>gels) fulfil</w:t>
      </w:r>
      <w:r w:rsidRPr="00BD4430">
        <w:rPr>
          <w:rFonts w:cstheme="minorHAnsi"/>
          <w:color w:val="000000"/>
          <w:kern w:val="0"/>
          <w14:ligatures w14:val="none"/>
        </w:rPr>
        <w:t xml:space="preserve"> either of the following </w:t>
      </w:r>
      <w:r w:rsidR="001440FB" w:rsidRPr="00BD4430">
        <w:rPr>
          <w:rFonts w:cstheme="minorHAnsi"/>
          <w:color w:val="000000"/>
          <w:kern w:val="0"/>
          <w14:ligatures w14:val="none"/>
        </w:rPr>
        <w:t>conditions.</w:t>
      </w:r>
    </w:p>
    <w:p w14:paraId="1D8BF575" w14:textId="77777777" w:rsidR="00460965" w:rsidRPr="00BD4430" w:rsidRDefault="00460965" w:rsidP="008A4391">
      <w:pPr>
        <w:pStyle w:val="Loendilik"/>
        <w:numPr>
          <w:ilvl w:val="0"/>
          <w:numId w:val="5"/>
        </w:numPr>
        <w:autoSpaceDE w:val="0"/>
        <w:autoSpaceDN w:val="0"/>
        <w:adjustRightInd w:val="0"/>
        <w:spacing w:before="0" w:after="120" w:line="240" w:lineRule="auto"/>
        <w:ind w:left="0" w:firstLine="786"/>
        <w:rPr>
          <w:rFonts w:asciiTheme="minorHAnsi" w:hAnsiTheme="minorHAnsi" w:cstheme="minorBidi"/>
          <w:color w:val="000000"/>
          <w:kern w:val="0"/>
          <w14:ligatures w14:val="none"/>
        </w:rPr>
      </w:pPr>
      <w:r w:rsidRPr="6D2BFEDF">
        <w:rPr>
          <w:rFonts w:asciiTheme="minorHAnsi" w:hAnsiTheme="minorHAnsi" w:cstheme="minorBidi"/>
          <w:color w:val="000000"/>
          <w:kern w:val="0"/>
          <w14:ligatures w14:val="none"/>
        </w:rPr>
        <w:t xml:space="preserve">all dimensions of the particles are equal to or less than 5 </w:t>
      </w:r>
      <w:proofErr w:type="gramStart"/>
      <w:r w:rsidRPr="6D2BFEDF">
        <w:rPr>
          <w:rFonts w:asciiTheme="minorHAnsi" w:hAnsiTheme="minorHAnsi" w:cstheme="minorBidi"/>
          <w:color w:val="000000"/>
          <w:kern w:val="0"/>
          <w14:ligatures w14:val="none"/>
        </w:rPr>
        <w:t>mm;</w:t>
      </w:r>
      <w:proofErr w:type="gramEnd"/>
    </w:p>
    <w:p w14:paraId="4668FBB0" w14:textId="77777777" w:rsidR="00460965" w:rsidRPr="00BD4430" w:rsidRDefault="00460965" w:rsidP="008A4391">
      <w:pPr>
        <w:pStyle w:val="Loendilik"/>
        <w:numPr>
          <w:ilvl w:val="0"/>
          <w:numId w:val="5"/>
        </w:numPr>
        <w:autoSpaceDE w:val="0"/>
        <w:autoSpaceDN w:val="0"/>
        <w:adjustRightInd w:val="0"/>
        <w:spacing w:before="0" w:after="120" w:line="240" w:lineRule="auto"/>
        <w:ind w:left="0" w:firstLine="786"/>
        <w:rPr>
          <w:rFonts w:asciiTheme="minorHAnsi" w:hAnsiTheme="minorHAnsi" w:cstheme="minorBidi"/>
          <w:color w:val="000000"/>
          <w:kern w:val="0"/>
          <w14:ligatures w14:val="none"/>
        </w:rPr>
      </w:pPr>
      <w:r w:rsidRPr="040F0695">
        <w:rPr>
          <w:rFonts w:asciiTheme="minorHAnsi" w:hAnsiTheme="minorHAnsi" w:cstheme="minorBidi"/>
          <w:color w:val="000000"/>
          <w:kern w:val="0"/>
          <w14:ligatures w14:val="none"/>
        </w:rPr>
        <w:t>the length of the particles is equal to or less than 15 mm and their length to diameter ratio is greater th</w:t>
      </w:r>
      <w:r w:rsidRPr="3F5D703F">
        <w:rPr>
          <w:rFonts w:asciiTheme="minorHAnsi" w:hAnsiTheme="minorHAnsi" w:cstheme="minorBidi"/>
          <w:color w:val="000000" w:themeColor="text1"/>
        </w:rPr>
        <w:t>an 3.</w:t>
      </w:r>
    </w:p>
    <w:p w14:paraId="793CA5B8" w14:textId="2A0B8759" w:rsidR="00460965" w:rsidRDefault="00460965" w:rsidP="008A5781">
      <w:pPr>
        <w:pStyle w:val="Loendilik"/>
        <w:spacing w:before="0" w:after="120" w:line="240" w:lineRule="auto"/>
        <w:ind w:hanging="142"/>
        <w:jc w:val="both"/>
        <w:rPr>
          <w:rFonts w:asciiTheme="minorHAnsi" w:hAnsiTheme="minorHAnsi" w:cstheme="minorBidi"/>
          <w:color w:val="000000" w:themeColor="text1"/>
        </w:rPr>
      </w:pPr>
    </w:p>
    <w:p w14:paraId="4D926256" w14:textId="68512083" w:rsidR="00460965" w:rsidRPr="00054521" w:rsidRDefault="5421ABFE" w:rsidP="008A4391">
      <w:pPr>
        <w:pStyle w:val="Pealkiri2"/>
        <w:numPr>
          <w:ilvl w:val="1"/>
          <w:numId w:val="14"/>
        </w:numPr>
        <w:ind w:left="0" w:firstLine="0"/>
        <w:jc w:val="both"/>
        <w:rPr>
          <w:kern w:val="0"/>
          <w14:ligatures w14:val="none"/>
        </w:rPr>
      </w:pPr>
      <w:r w:rsidRPr="00054521">
        <w:t xml:space="preserve">Is a raw material </w:t>
      </w:r>
      <w:r w:rsidR="6D348F7D" w:rsidRPr="00054521">
        <w:t>based on</w:t>
      </w:r>
      <w:r w:rsidRPr="00054521">
        <w:t xml:space="preserve"> inorganic particles coated with a liquid polymer in scope of the rest</w:t>
      </w:r>
      <w:r w:rsidR="07C19AA8" w:rsidRPr="00054521">
        <w:t xml:space="preserve">riction? </w:t>
      </w:r>
    </w:p>
    <w:p w14:paraId="52E18D50" w14:textId="13ED2990" w:rsidR="3F5D703F" w:rsidRPr="00054521" w:rsidRDefault="00077137" w:rsidP="008A5781">
      <w:pPr>
        <w:spacing w:after="120" w:line="240" w:lineRule="auto"/>
        <w:ind w:hanging="142"/>
        <w:jc w:val="both"/>
        <w:rPr>
          <w:rFonts w:asciiTheme="majorHAnsi" w:eastAsia="Calibri" w:hAnsiTheme="majorHAnsi" w:cstheme="majorHAnsi"/>
        </w:rPr>
      </w:pPr>
      <w:r>
        <w:rPr>
          <w:rFonts w:asciiTheme="majorHAnsi" w:eastAsia="Arial" w:hAnsiTheme="majorHAnsi" w:cstheme="majorHAnsi"/>
        </w:rPr>
        <w:t xml:space="preserve">   </w:t>
      </w:r>
      <w:r w:rsidR="73D415C3" w:rsidRPr="00C235BD">
        <w:rPr>
          <w:rFonts w:cstheme="minorHAnsi"/>
          <w:color w:val="000000"/>
          <w:kern w:val="0"/>
          <w14:ligatures w14:val="none"/>
        </w:rPr>
        <w:t xml:space="preserve">A liquid polymer is per definition out of the scope of the restriction. However, if during its end-use, </w:t>
      </w:r>
      <w:r w:rsidR="0970F874" w:rsidRPr="00C235BD">
        <w:rPr>
          <w:rFonts w:cstheme="minorHAnsi"/>
          <w:color w:val="000000"/>
          <w:kern w:val="0"/>
          <w14:ligatures w14:val="none"/>
        </w:rPr>
        <w:t xml:space="preserve">the </w:t>
      </w:r>
      <w:r w:rsidRPr="00C235BD">
        <w:rPr>
          <w:rFonts w:cstheme="minorHAnsi"/>
          <w:color w:val="000000"/>
          <w:kern w:val="0"/>
          <w14:ligatures w14:val="none"/>
        </w:rPr>
        <w:t xml:space="preserve">  </w:t>
      </w:r>
      <w:r w:rsidR="73D415C3" w:rsidRPr="00C235BD">
        <w:rPr>
          <w:rFonts w:cstheme="minorHAnsi"/>
          <w:color w:val="000000"/>
          <w:kern w:val="0"/>
          <w14:ligatures w14:val="none"/>
        </w:rPr>
        <w:t>formulation based on it is solidifying by film formation (evaporation of solvents, cross-linking, physical entanglement</w:t>
      </w:r>
      <w:r w:rsidR="1013F8A6" w:rsidRPr="00C235BD">
        <w:rPr>
          <w:rFonts w:cstheme="minorHAnsi"/>
          <w:color w:val="000000"/>
          <w:kern w:val="0"/>
          <w14:ligatures w14:val="none"/>
        </w:rPr>
        <w:t>)</w:t>
      </w:r>
      <w:r w:rsidR="73D415C3" w:rsidRPr="00C235BD">
        <w:rPr>
          <w:rFonts w:cstheme="minorHAnsi"/>
          <w:color w:val="000000"/>
          <w:kern w:val="0"/>
          <w14:ligatures w14:val="none"/>
        </w:rPr>
        <w:t xml:space="preserve">, a </w:t>
      </w:r>
      <w:r w:rsidR="1C310120" w:rsidRPr="00C235BD">
        <w:rPr>
          <w:rFonts w:cstheme="minorHAnsi"/>
          <w:color w:val="000000"/>
          <w:kern w:val="0"/>
          <w14:ligatures w14:val="none"/>
        </w:rPr>
        <w:t>solid polymer microparticle</w:t>
      </w:r>
      <w:r w:rsidR="73D415C3" w:rsidRPr="00C235BD">
        <w:rPr>
          <w:rFonts w:cstheme="minorHAnsi"/>
          <w:color w:val="000000"/>
          <w:kern w:val="0"/>
          <w14:ligatures w14:val="none"/>
        </w:rPr>
        <w:t xml:space="preserve"> is formed</w:t>
      </w:r>
      <w:r w:rsidR="452307B2" w:rsidRPr="00C235BD">
        <w:rPr>
          <w:rFonts w:cstheme="minorHAnsi"/>
          <w:color w:val="000000"/>
          <w:kern w:val="0"/>
          <w14:ligatures w14:val="none"/>
        </w:rPr>
        <w:t xml:space="preserve"> (derogation 5(b))</w:t>
      </w:r>
      <w:r w:rsidR="000E4B9E" w:rsidRPr="00C235BD">
        <w:rPr>
          <w:rFonts w:cstheme="minorHAnsi"/>
          <w:color w:val="000000"/>
          <w:kern w:val="0"/>
          <w14:ligatures w14:val="none"/>
        </w:rPr>
        <w:t xml:space="preserve">, Synthetic </w:t>
      </w:r>
      <w:r w:rsidR="00EE3EA0" w:rsidRPr="00C235BD">
        <w:rPr>
          <w:rFonts w:cstheme="minorHAnsi"/>
          <w:color w:val="000000"/>
          <w:kern w:val="0"/>
          <w14:ligatures w14:val="none"/>
        </w:rPr>
        <w:t xml:space="preserve">Polymer </w:t>
      </w:r>
      <w:r w:rsidR="000E4B9E" w:rsidRPr="00C235BD">
        <w:rPr>
          <w:rFonts w:cstheme="minorHAnsi"/>
          <w:color w:val="000000"/>
          <w:kern w:val="0"/>
          <w14:ligatures w14:val="none"/>
        </w:rPr>
        <w:t>Microparticle is</w:t>
      </w:r>
      <w:r w:rsidR="00EE3EA0" w:rsidRPr="00C235BD">
        <w:rPr>
          <w:rFonts w:cstheme="minorHAnsi"/>
          <w:color w:val="000000"/>
          <w:kern w:val="0"/>
          <w14:ligatures w14:val="none"/>
        </w:rPr>
        <w:t xml:space="preserve"> </w:t>
      </w:r>
      <w:commentRangeStart w:id="6"/>
      <w:r w:rsidR="00EE3EA0" w:rsidRPr="00C235BD">
        <w:rPr>
          <w:rFonts w:cstheme="minorHAnsi"/>
          <w:color w:val="000000"/>
          <w:kern w:val="0"/>
          <w14:ligatures w14:val="none"/>
        </w:rPr>
        <w:t>formed</w:t>
      </w:r>
      <w:commentRangeEnd w:id="6"/>
      <w:r w:rsidR="00BD299E">
        <w:rPr>
          <w:rStyle w:val="Kommentaariviide"/>
        </w:rPr>
        <w:commentReference w:id="6"/>
      </w:r>
      <w:r w:rsidR="00EE3EA0" w:rsidRPr="00C235BD">
        <w:rPr>
          <w:rFonts w:cstheme="minorHAnsi"/>
          <w:color w:val="000000"/>
          <w:kern w:val="0"/>
          <w14:ligatures w14:val="none"/>
        </w:rPr>
        <w:t>.</w:t>
      </w:r>
    </w:p>
    <w:p w14:paraId="7476A8A1" w14:textId="2C6B1AF5" w:rsidR="00DE076B" w:rsidRPr="005047BA" w:rsidRDefault="006A7438" w:rsidP="008A4391">
      <w:pPr>
        <w:pStyle w:val="Pealkiri2"/>
        <w:numPr>
          <w:ilvl w:val="1"/>
          <w:numId w:val="14"/>
        </w:numPr>
        <w:ind w:left="0" w:firstLine="0"/>
        <w:jc w:val="both"/>
      </w:pPr>
      <w:r w:rsidRPr="005047BA">
        <w:lastRenderedPageBreak/>
        <w:t>Does t</w:t>
      </w:r>
      <w:r w:rsidR="00157E35" w:rsidRPr="005047BA">
        <w:t xml:space="preserve">he application of points 5a) 5b) and 5c) exclude the obligation </w:t>
      </w:r>
      <w:r w:rsidR="00D00601">
        <w:t>for</w:t>
      </w:r>
      <w:r w:rsidR="00157E35" w:rsidRPr="005047BA">
        <w:t xml:space="preserve"> record keeping at point 11 and 12</w:t>
      </w:r>
      <w:r w:rsidRPr="005047BA">
        <w:t xml:space="preserve"> of the </w:t>
      </w:r>
      <w:r w:rsidR="004B7AB4">
        <w:t>restri</w:t>
      </w:r>
      <w:r w:rsidR="00E91656">
        <w:t>c</w:t>
      </w:r>
      <w:r w:rsidR="004B7AB4">
        <w:t>tion</w:t>
      </w:r>
      <w:r w:rsidRPr="005047BA">
        <w:t xml:space="preserve">? </w:t>
      </w:r>
      <w:r w:rsidR="00157E35" w:rsidRPr="005047BA">
        <w:t xml:space="preserve"> </w:t>
      </w:r>
    </w:p>
    <w:p w14:paraId="2EE1BDFF" w14:textId="4ED55184" w:rsidR="00157E35" w:rsidRPr="00BD4430" w:rsidRDefault="00077137" w:rsidP="008A5781">
      <w:pPr>
        <w:spacing w:after="120" w:line="240" w:lineRule="auto"/>
        <w:ind w:hanging="142"/>
        <w:jc w:val="both"/>
      </w:pPr>
      <w:r>
        <w:t xml:space="preserve">   </w:t>
      </w:r>
      <w:r w:rsidR="00157E35" w:rsidRPr="2DDFB6BD">
        <w:t xml:space="preserve">No. The last industrial supplier </w:t>
      </w:r>
      <w:r w:rsidR="00D00601" w:rsidRPr="2DDFB6BD">
        <w:t>is responsible for</w:t>
      </w:r>
      <w:r w:rsidR="00157E35" w:rsidRPr="2DDFB6BD">
        <w:t xml:space="preserve"> the reporting if derogated under paragraph 5. The </w:t>
      </w:r>
      <w:r w:rsidR="00801BB5" w:rsidRPr="2DDFB6BD">
        <w:t xml:space="preserve">derogations </w:t>
      </w:r>
      <w:r w:rsidR="00157E35" w:rsidRPr="2DDFB6BD">
        <w:t xml:space="preserve">listed in paragraph 5 apply to selected synthetic polymer microparticles (as defined in the </w:t>
      </w:r>
      <w:r w:rsidR="00381C64" w:rsidRPr="2DDFB6BD">
        <w:t>restriction</w:t>
      </w:r>
      <w:r w:rsidR="00157E35" w:rsidRPr="2DDFB6BD">
        <w:t>) that are allowed to be placed on the market. The requirements set out in paragraphs 8, 10, 11 and 12 apply to synthetic polymer microparticles placed on the market in accordance with paragraph 5.</w:t>
      </w:r>
    </w:p>
    <w:tbl>
      <w:tblPr>
        <w:tblStyle w:val="Kontuurtabel"/>
        <w:tblW w:w="0" w:type="auto"/>
        <w:shd w:val="clear" w:color="auto" w:fill="DEEAF6" w:themeFill="accent5" w:themeFillTint="33"/>
        <w:tblLook w:val="04A0" w:firstRow="1" w:lastRow="0" w:firstColumn="1" w:lastColumn="0" w:noHBand="0" w:noVBand="1"/>
      </w:tblPr>
      <w:tblGrid>
        <w:gridCol w:w="9350"/>
      </w:tblGrid>
      <w:tr w:rsidR="006A7438" w14:paraId="229A71D8" w14:textId="77777777" w:rsidTr="00DE0A28">
        <w:tc>
          <w:tcPr>
            <w:tcW w:w="9350" w:type="dxa"/>
            <w:shd w:val="clear" w:color="auto" w:fill="DEEAF6" w:themeFill="accent5" w:themeFillTint="33"/>
          </w:tcPr>
          <w:p w14:paraId="1280D29A" w14:textId="68A516CF" w:rsidR="006A7438" w:rsidRPr="001440FB" w:rsidRDefault="00FB2157" w:rsidP="00141670">
            <w:pPr>
              <w:spacing w:after="120"/>
              <w:ind w:hanging="142"/>
              <w:jc w:val="both"/>
              <w:rPr>
                <w:rFonts w:cstheme="minorHAnsi"/>
                <w:i/>
                <w:iCs/>
              </w:rPr>
            </w:pPr>
            <w:r>
              <w:rPr>
                <w:rFonts w:cstheme="minorHAnsi"/>
                <w:i/>
                <w:iCs/>
              </w:rPr>
              <w:t xml:space="preserve"> </w:t>
            </w:r>
            <w:r w:rsidR="006A7438" w:rsidRPr="001440FB">
              <w:rPr>
                <w:rFonts w:cstheme="minorHAnsi"/>
                <w:i/>
                <w:iCs/>
              </w:rPr>
              <w:t>(5)</w:t>
            </w:r>
            <w:r w:rsidR="001440FB" w:rsidRPr="001440FB">
              <w:rPr>
                <w:rFonts w:cstheme="minorHAnsi"/>
                <w:i/>
                <w:iCs/>
              </w:rPr>
              <w:t xml:space="preserve"> </w:t>
            </w:r>
            <w:r w:rsidR="006A7438" w:rsidRPr="001440FB">
              <w:rPr>
                <w:rFonts w:cstheme="minorHAnsi"/>
                <w:i/>
                <w:iCs/>
              </w:rPr>
              <w:t>Paragraph 1 shall not apply to the placing on the market of the following synthetic polymer microparticles, as substances on their own or in mixtures:</w:t>
            </w:r>
          </w:p>
          <w:p w14:paraId="7F6D3FEA" w14:textId="77777777" w:rsidR="00FB2157" w:rsidRDefault="00FB2157" w:rsidP="00141670">
            <w:pPr>
              <w:spacing w:after="120"/>
              <w:ind w:left="-142"/>
              <w:jc w:val="both"/>
              <w:rPr>
                <w:rFonts w:cstheme="minorHAnsi"/>
                <w:i/>
                <w:iCs/>
              </w:rPr>
            </w:pPr>
            <w:r>
              <w:rPr>
                <w:rFonts w:cstheme="minorHAnsi"/>
                <w:i/>
                <w:iCs/>
              </w:rPr>
              <w:t xml:space="preserve"> (</w:t>
            </w:r>
            <w:r w:rsidR="006A7438" w:rsidRPr="001440FB">
              <w:rPr>
                <w:rFonts w:cstheme="minorHAnsi"/>
                <w:i/>
                <w:iCs/>
              </w:rPr>
              <w:t xml:space="preserve">a)synthetic polymer microparticles </w:t>
            </w:r>
            <w:r w:rsidR="006A7438" w:rsidRPr="001440FB">
              <w:rPr>
                <w:rFonts w:cstheme="minorHAnsi"/>
                <w:b/>
                <w:bCs/>
                <w:i/>
                <w:iCs/>
              </w:rPr>
              <w:t>which are contained by technical means</w:t>
            </w:r>
            <w:r w:rsidR="006A7438" w:rsidRPr="001440FB">
              <w:rPr>
                <w:rFonts w:cstheme="minorHAnsi"/>
                <w:i/>
                <w:iCs/>
              </w:rPr>
              <w:t xml:space="preserve"> so that releases to the </w:t>
            </w:r>
            <w:r>
              <w:rPr>
                <w:rFonts w:cstheme="minorHAnsi"/>
                <w:i/>
                <w:iCs/>
              </w:rPr>
              <w:t xml:space="preserve">  </w:t>
            </w:r>
          </w:p>
          <w:p w14:paraId="19F449F5" w14:textId="73BA14E9" w:rsidR="006A7438" w:rsidRPr="001440FB" w:rsidRDefault="00141670" w:rsidP="00141670">
            <w:pPr>
              <w:spacing w:after="120"/>
              <w:jc w:val="both"/>
              <w:rPr>
                <w:rFonts w:cstheme="minorHAnsi"/>
                <w:i/>
                <w:iCs/>
              </w:rPr>
            </w:pPr>
            <w:r>
              <w:rPr>
                <w:rFonts w:cstheme="minorHAnsi"/>
                <w:i/>
                <w:iCs/>
              </w:rPr>
              <w:t>e</w:t>
            </w:r>
            <w:r w:rsidR="006A7438" w:rsidRPr="001440FB">
              <w:rPr>
                <w:rFonts w:cstheme="minorHAnsi"/>
                <w:i/>
                <w:iCs/>
              </w:rPr>
              <w:t xml:space="preserve">nvironment </w:t>
            </w:r>
            <w:proofErr w:type="gramStart"/>
            <w:r w:rsidR="006A7438" w:rsidRPr="001440FB">
              <w:rPr>
                <w:rFonts w:cstheme="minorHAnsi"/>
                <w:i/>
                <w:iCs/>
              </w:rPr>
              <w:t>are</w:t>
            </w:r>
            <w:proofErr w:type="gramEnd"/>
            <w:r w:rsidR="006A7438" w:rsidRPr="001440FB">
              <w:rPr>
                <w:rFonts w:cstheme="minorHAnsi"/>
                <w:i/>
                <w:iCs/>
              </w:rPr>
              <w:t xml:space="preserve"> prevented when used in accordance with the instructions for use during the intended end use;</w:t>
            </w:r>
          </w:p>
          <w:p w14:paraId="04390B15" w14:textId="3284100D" w:rsidR="006A7438" w:rsidRPr="001440FB" w:rsidRDefault="00141670" w:rsidP="00141670">
            <w:pPr>
              <w:spacing w:after="120"/>
              <w:ind w:hanging="142"/>
              <w:jc w:val="both"/>
              <w:rPr>
                <w:rFonts w:cstheme="minorHAnsi"/>
                <w:i/>
                <w:iCs/>
              </w:rPr>
            </w:pPr>
            <w:r>
              <w:rPr>
                <w:rFonts w:cstheme="minorHAnsi"/>
                <w:i/>
                <w:iCs/>
              </w:rPr>
              <w:t xml:space="preserve">  (b</w:t>
            </w:r>
            <w:r w:rsidR="006A7438" w:rsidRPr="001440FB">
              <w:rPr>
                <w:rFonts w:cstheme="minorHAnsi"/>
                <w:i/>
                <w:iCs/>
              </w:rPr>
              <w:t xml:space="preserve">)synthetic polymer microparticles </w:t>
            </w:r>
            <w:r w:rsidR="006A7438" w:rsidRPr="001440FB">
              <w:rPr>
                <w:rFonts w:cstheme="minorHAnsi"/>
                <w:b/>
                <w:bCs/>
                <w:i/>
                <w:iCs/>
              </w:rPr>
              <w:t>the physical properties of which are permanently modified</w:t>
            </w:r>
            <w:r w:rsidR="006A7438" w:rsidRPr="001440FB">
              <w:rPr>
                <w:rFonts w:cstheme="minorHAnsi"/>
                <w:i/>
                <w:iCs/>
              </w:rPr>
              <w:t xml:space="preserve"> during intended end use in such a way that the polymer no longer falls within the scope of this </w:t>
            </w:r>
            <w:proofErr w:type="gramStart"/>
            <w:r w:rsidR="006A7438" w:rsidRPr="001440FB">
              <w:rPr>
                <w:rFonts w:cstheme="minorHAnsi"/>
                <w:i/>
                <w:iCs/>
              </w:rPr>
              <w:t>entry;</w:t>
            </w:r>
            <w:proofErr w:type="gramEnd"/>
          </w:p>
          <w:p w14:paraId="0DF298A4" w14:textId="204A798F" w:rsidR="006A7438" w:rsidRDefault="00141670" w:rsidP="00141670">
            <w:pPr>
              <w:spacing w:after="120"/>
              <w:ind w:hanging="142"/>
              <w:jc w:val="both"/>
              <w:rPr>
                <w:rFonts w:cstheme="minorHAnsi"/>
                <w:i/>
                <w:iCs/>
              </w:rPr>
            </w:pPr>
            <w:r>
              <w:rPr>
                <w:rFonts w:cstheme="minorHAnsi"/>
                <w:i/>
                <w:iCs/>
              </w:rPr>
              <w:t xml:space="preserve">  (c) </w:t>
            </w:r>
            <w:r w:rsidR="006A7438" w:rsidRPr="001440FB">
              <w:rPr>
                <w:rFonts w:cstheme="minorHAnsi"/>
                <w:i/>
                <w:iCs/>
              </w:rPr>
              <w:t xml:space="preserve">synthetic polymer microparticles which are </w:t>
            </w:r>
            <w:r w:rsidR="006A7438" w:rsidRPr="001440FB">
              <w:rPr>
                <w:rFonts w:cstheme="minorHAnsi"/>
                <w:b/>
                <w:bCs/>
                <w:i/>
                <w:iCs/>
              </w:rPr>
              <w:t>permanently incorporated</w:t>
            </w:r>
            <w:r w:rsidR="006A7438" w:rsidRPr="001440FB">
              <w:rPr>
                <w:rFonts w:cstheme="minorHAnsi"/>
                <w:i/>
                <w:iCs/>
              </w:rPr>
              <w:t xml:space="preserve"> into a solid matrix during intended end use.</w:t>
            </w:r>
          </w:p>
          <w:p w14:paraId="7FF8C0E9" w14:textId="68490BC1" w:rsidR="00BA1AE6" w:rsidRDefault="00141670" w:rsidP="00141670">
            <w:pPr>
              <w:spacing w:after="120"/>
              <w:ind w:hanging="142"/>
              <w:jc w:val="both"/>
              <w:rPr>
                <w:rFonts w:cstheme="minorHAnsi"/>
                <w:i/>
                <w:iCs/>
              </w:rPr>
            </w:pPr>
            <w:r>
              <w:rPr>
                <w:rFonts w:cstheme="minorHAnsi"/>
                <w:i/>
                <w:iCs/>
              </w:rPr>
              <w:t xml:space="preserve">  (8) </w:t>
            </w:r>
            <w:r w:rsidR="00D43973">
              <w:rPr>
                <w:rFonts w:cstheme="minorHAnsi"/>
                <w:i/>
                <w:iCs/>
              </w:rPr>
              <w:t xml:space="preserve">From </w:t>
            </w:r>
            <w:r w:rsidR="00841C82">
              <w:rPr>
                <w:rFonts w:cstheme="minorHAnsi"/>
                <w:i/>
                <w:iCs/>
              </w:rPr>
              <w:t>17 October 2026 suppliers of products</w:t>
            </w:r>
            <w:r w:rsidR="00E43AF4">
              <w:rPr>
                <w:rFonts w:cstheme="minorHAnsi"/>
                <w:i/>
                <w:iCs/>
              </w:rPr>
              <w:t xml:space="preserve"> containing synthetic polymer microparticles referred to in paragraph 4, point </w:t>
            </w:r>
            <w:r w:rsidR="00522B4F">
              <w:rPr>
                <w:rFonts w:cstheme="minorHAnsi"/>
                <w:i/>
                <w:iCs/>
              </w:rPr>
              <w:t>(e)</w:t>
            </w:r>
            <w:r w:rsidR="00487796">
              <w:rPr>
                <w:rFonts w:cstheme="minorHAnsi"/>
                <w:i/>
                <w:iCs/>
              </w:rPr>
              <w:t>, and from 17 October 2025 suppliers of products c</w:t>
            </w:r>
            <w:r w:rsidR="00935477">
              <w:rPr>
                <w:rFonts w:cstheme="minorHAnsi"/>
                <w:i/>
                <w:iCs/>
              </w:rPr>
              <w:t xml:space="preserve">ontaining synthetic polymer microparticles referred to in </w:t>
            </w:r>
            <w:r w:rsidR="0062091A">
              <w:rPr>
                <w:rFonts w:cstheme="minorHAnsi"/>
                <w:i/>
                <w:iCs/>
              </w:rPr>
              <w:t xml:space="preserve">paragraph 4, point (d), and paragraph 5, shall provide instructions for use </w:t>
            </w:r>
            <w:r w:rsidR="00C50D92">
              <w:rPr>
                <w:rFonts w:cstheme="minorHAnsi"/>
                <w:i/>
                <w:iCs/>
              </w:rPr>
              <w:t xml:space="preserve">and disposal </w:t>
            </w:r>
            <w:r w:rsidR="00517405">
              <w:rPr>
                <w:rFonts w:cstheme="minorHAnsi"/>
                <w:i/>
                <w:iCs/>
              </w:rPr>
              <w:t>exp</w:t>
            </w:r>
            <w:r w:rsidR="00275C7E">
              <w:rPr>
                <w:rFonts w:cstheme="minorHAnsi"/>
                <w:i/>
                <w:iCs/>
              </w:rPr>
              <w:t xml:space="preserve">laining </w:t>
            </w:r>
            <w:r w:rsidR="000640FB">
              <w:rPr>
                <w:rFonts w:cstheme="minorHAnsi"/>
                <w:i/>
                <w:iCs/>
              </w:rPr>
              <w:t xml:space="preserve">to professional users and </w:t>
            </w:r>
            <w:r w:rsidR="00B453BC">
              <w:rPr>
                <w:rFonts w:cstheme="minorHAnsi"/>
                <w:i/>
                <w:iCs/>
              </w:rPr>
              <w:t xml:space="preserve">the </w:t>
            </w:r>
            <w:proofErr w:type="gramStart"/>
            <w:r w:rsidR="00B453BC">
              <w:rPr>
                <w:rFonts w:cstheme="minorHAnsi"/>
                <w:i/>
                <w:iCs/>
              </w:rPr>
              <w:t>general public</w:t>
            </w:r>
            <w:proofErr w:type="gramEnd"/>
            <w:r w:rsidR="00B453BC">
              <w:rPr>
                <w:rFonts w:cstheme="minorHAnsi"/>
                <w:i/>
                <w:iCs/>
              </w:rPr>
              <w:t xml:space="preserve"> how to prevent releases of synthetic </w:t>
            </w:r>
            <w:r w:rsidR="00770A34">
              <w:rPr>
                <w:rFonts w:cstheme="minorHAnsi"/>
                <w:i/>
                <w:iCs/>
              </w:rPr>
              <w:t>polymer microparticles to the environment.</w:t>
            </w:r>
          </w:p>
          <w:p w14:paraId="3DCF79F4" w14:textId="6B7ACF39" w:rsidR="00770A34" w:rsidRPr="00807D9C" w:rsidRDefault="00141670" w:rsidP="00141670">
            <w:pPr>
              <w:spacing w:after="120"/>
              <w:ind w:hanging="142"/>
              <w:jc w:val="both"/>
              <w:rPr>
                <w:rFonts w:cstheme="minorHAnsi"/>
                <w:i/>
                <w:iCs/>
              </w:rPr>
            </w:pPr>
            <w:r>
              <w:rPr>
                <w:rFonts w:cstheme="minorHAnsi"/>
                <w:i/>
                <w:iCs/>
              </w:rPr>
              <w:t xml:space="preserve">  (10) </w:t>
            </w:r>
            <w:r w:rsidR="00F878E2" w:rsidRPr="00807D9C">
              <w:rPr>
                <w:rFonts w:cstheme="minorHAnsi"/>
                <w:i/>
                <w:iCs/>
              </w:rPr>
              <w:t xml:space="preserve">The information referred to in paragraphs 7,8 and 9 shall </w:t>
            </w:r>
            <w:r w:rsidR="007E343A" w:rsidRPr="00807D9C">
              <w:rPr>
                <w:rFonts w:cstheme="minorHAnsi"/>
                <w:i/>
                <w:iCs/>
              </w:rPr>
              <w:t xml:space="preserve">be provided in the form of clearly visible, legible and indelible text or, where </w:t>
            </w:r>
            <w:r w:rsidR="008237C8" w:rsidRPr="00807D9C">
              <w:rPr>
                <w:rFonts w:cstheme="minorHAnsi"/>
                <w:i/>
                <w:iCs/>
              </w:rPr>
              <w:t xml:space="preserve">appropriate regarding the information in paragraphs 7 and 8, in the form of </w:t>
            </w:r>
            <w:r w:rsidR="005E5437" w:rsidRPr="00807D9C">
              <w:rPr>
                <w:rFonts w:cstheme="minorHAnsi"/>
                <w:i/>
                <w:iCs/>
              </w:rPr>
              <w:t>pictograms…</w:t>
            </w:r>
          </w:p>
          <w:p w14:paraId="69B4A231" w14:textId="01639D5E" w:rsidR="00D456F3" w:rsidRPr="00807D9C" w:rsidRDefault="00141670" w:rsidP="00141670">
            <w:pPr>
              <w:spacing w:after="120"/>
              <w:ind w:hanging="142"/>
              <w:jc w:val="both"/>
              <w:rPr>
                <w:rFonts w:cstheme="minorHAnsi"/>
                <w:i/>
                <w:iCs/>
              </w:rPr>
            </w:pPr>
            <w:r>
              <w:rPr>
                <w:rFonts w:cstheme="minorHAnsi"/>
                <w:i/>
                <w:iCs/>
              </w:rPr>
              <w:t xml:space="preserve">   (11) </w:t>
            </w:r>
            <w:r w:rsidR="005E5437" w:rsidRPr="00807D9C">
              <w:rPr>
                <w:rFonts w:cstheme="minorHAnsi"/>
                <w:i/>
                <w:iCs/>
              </w:rPr>
              <w:t>Starting from 2026 manufacturers and industrial</w:t>
            </w:r>
            <w:r w:rsidR="00107F2B" w:rsidRPr="00807D9C">
              <w:rPr>
                <w:rFonts w:cstheme="minorHAnsi"/>
                <w:i/>
                <w:iCs/>
              </w:rPr>
              <w:t xml:space="preserve"> downstream users of Synthetic Polymer Micro</w:t>
            </w:r>
            <w:r w:rsidR="00CF36DB" w:rsidRPr="00807D9C">
              <w:rPr>
                <w:rFonts w:cstheme="minorHAnsi"/>
                <w:i/>
                <w:iCs/>
              </w:rPr>
              <w:t>particles</w:t>
            </w:r>
            <w:r w:rsidR="00D6781D" w:rsidRPr="00807D9C">
              <w:rPr>
                <w:rFonts w:cstheme="minorHAnsi"/>
                <w:i/>
                <w:iCs/>
              </w:rPr>
              <w:t xml:space="preserve"> in the form of pellets, flakes, and powders used as feedstock in plastic </w:t>
            </w:r>
            <w:r w:rsidR="00065FF5" w:rsidRPr="00807D9C">
              <w:rPr>
                <w:rFonts w:cstheme="minorHAnsi"/>
                <w:i/>
                <w:iCs/>
              </w:rPr>
              <w:t xml:space="preserve">manufacturing at industrial sites, and starting from 2027, other manufacturers of </w:t>
            </w:r>
            <w:r w:rsidR="00D55882" w:rsidRPr="00807D9C">
              <w:rPr>
                <w:rFonts w:cstheme="minorHAnsi"/>
                <w:i/>
                <w:iCs/>
              </w:rPr>
              <w:t xml:space="preserve">Synthetic </w:t>
            </w:r>
            <w:r w:rsidR="00691A64" w:rsidRPr="00807D9C">
              <w:rPr>
                <w:rFonts w:cstheme="minorHAnsi"/>
                <w:i/>
                <w:iCs/>
              </w:rPr>
              <w:t xml:space="preserve">Polymer Microparticles at industrial downstream users </w:t>
            </w:r>
            <w:r w:rsidR="00E779CC" w:rsidRPr="00807D9C">
              <w:rPr>
                <w:rFonts w:cstheme="minorHAnsi"/>
                <w:i/>
                <w:iCs/>
              </w:rPr>
              <w:t xml:space="preserve">using synthetic polymer microparticles at industrial sites shall submit the </w:t>
            </w:r>
            <w:r w:rsidR="00D456F3" w:rsidRPr="00807D9C">
              <w:rPr>
                <w:rFonts w:cstheme="minorHAnsi"/>
                <w:i/>
                <w:iCs/>
              </w:rPr>
              <w:t>following information to the Agency by 31 May of each year:</w:t>
            </w:r>
          </w:p>
          <w:p w14:paraId="24666586" w14:textId="793DF90E" w:rsidR="00D456F3" w:rsidRPr="00807D9C" w:rsidRDefault="00141670" w:rsidP="00141670">
            <w:pPr>
              <w:spacing w:after="120"/>
              <w:ind w:hanging="142"/>
              <w:jc w:val="both"/>
              <w:rPr>
                <w:rFonts w:cstheme="minorHAnsi"/>
                <w:i/>
                <w:iCs/>
              </w:rPr>
            </w:pPr>
            <w:r>
              <w:rPr>
                <w:rFonts w:cstheme="minorHAnsi"/>
                <w:i/>
                <w:iCs/>
              </w:rPr>
              <w:t xml:space="preserve">   (a) </w:t>
            </w:r>
            <w:r w:rsidR="00D456F3" w:rsidRPr="00807D9C">
              <w:rPr>
                <w:rFonts w:cstheme="minorHAnsi"/>
                <w:i/>
                <w:iCs/>
              </w:rPr>
              <w:t xml:space="preserve">a description of the uses of </w:t>
            </w:r>
            <w:r w:rsidR="00E22A41" w:rsidRPr="00807D9C">
              <w:rPr>
                <w:rFonts w:cstheme="minorHAnsi"/>
                <w:i/>
                <w:iCs/>
              </w:rPr>
              <w:t xml:space="preserve">Synthetic Polymer Microparticles in the previous </w:t>
            </w:r>
            <w:proofErr w:type="gramStart"/>
            <w:r w:rsidR="00E22A41" w:rsidRPr="00807D9C">
              <w:rPr>
                <w:rFonts w:cstheme="minorHAnsi"/>
                <w:i/>
                <w:iCs/>
              </w:rPr>
              <w:t>calendar</w:t>
            </w:r>
            <w:r w:rsidR="00B97EFF" w:rsidRPr="00807D9C">
              <w:rPr>
                <w:rFonts w:cstheme="minorHAnsi"/>
                <w:i/>
                <w:iCs/>
              </w:rPr>
              <w:t>;</w:t>
            </w:r>
            <w:proofErr w:type="gramEnd"/>
          </w:p>
          <w:p w14:paraId="60FE28D8" w14:textId="62988719" w:rsidR="00E22A41" w:rsidRPr="00807D9C" w:rsidRDefault="00141670" w:rsidP="00141670">
            <w:pPr>
              <w:spacing w:after="120"/>
              <w:ind w:hanging="142"/>
              <w:jc w:val="both"/>
              <w:rPr>
                <w:rFonts w:cstheme="minorHAnsi"/>
                <w:i/>
                <w:iCs/>
              </w:rPr>
            </w:pPr>
            <w:r>
              <w:rPr>
                <w:rFonts w:cstheme="minorHAnsi"/>
                <w:i/>
                <w:iCs/>
              </w:rPr>
              <w:t xml:space="preserve">   (b) </w:t>
            </w:r>
            <w:r w:rsidR="00E22A41" w:rsidRPr="00807D9C">
              <w:rPr>
                <w:rFonts w:cstheme="minorHAnsi"/>
                <w:i/>
                <w:iCs/>
              </w:rPr>
              <w:t xml:space="preserve">for each use of </w:t>
            </w:r>
            <w:r w:rsidR="009D6A47" w:rsidRPr="00807D9C">
              <w:rPr>
                <w:rFonts w:cstheme="minorHAnsi"/>
                <w:i/>
                <w:iCs/>
              </w:rPr>
              <w:t xml:space="preserve">Synthetic Polymer Microparticles, generic information </w:t>
            </w:r>
            <w:r w:rsidR="00757093" w:rsidRPr="00807D9C">
              <w:rPr>
                <w:rFonts w:cstheme="minorHAnsi"/>
                <w:i/>
                <w:iCs/>
              </w:rPr>
              <w:t xml:space="preserve">on the identity </w:t>
            </w:r>
            <w:r w:rsidR="00B97EFF" w:rsidRPr="00807D9C">
              <w:rPr>
                <w:rFonts w:cstheme="minorHAnsi"/>
                <w:i/>
                <w:iCs/>
              </w:rPr>
              <w:t xml:space="preserve">of the polymers </w:t>
            </w:r>
            <w:proofErr w:type="gramStart"/>
            <w:r w:rsidR="00B97EFF" w:rsidRPr="00807D9C">
              <w:rPr>
                <w:rFonts w:cstheme="minorHAnsi"/>
                <w:i/>
                <w:iCs/>
              </w:rPr>
              <w:t>used;</w:t>
            </w:r>
            <w:proofErr w:type="gramEnd"/>
          </w:p>
          <w:p w14:paraId="56D9781E" w14:textId="11A5A5B4" w:rsidR="00B97EFF" w:rsidRPr="00807D9C" w:rsidRDefault="00141670" w:rsidP="00141670">
            <w:pPr>
              <w:spacing w:after="120"/>
              <w:ind w:hanging="142"/>
              <w:jc w:val="both"/>
              <w:rPr>
                <w:rFonts w:cstheme="minorHAnsi"/>
                <w:i/>
                <w:iCs/>
              </w:rPr>
            </w:pPr>
            <w:r>
              <w:rPr>
                <w:rFonts w:cstheme="minorHAnsi"/>
                <w:i/>
                <w:iCs/>
              </w:rPr>
              <w:t xml:space="preserve">  (c)</w:t>
            </w:r>
            <w:r w:rsidR="00B97EFF" w:rsidRPr="00807D9C">
              <w:rPr>
                <w:rFonts w:cstheme="minorHAnsi"/>
                <w:i/>
                <w:iCs/>
              </w:rPr>
              <w:t>for each use of</w:t>
            </w:r>
            <w:r w:rsidR="00FB6AF3" w:rsidRPr="00807D9C">
              <w:rPr>
                <w:rFonts w:cstheme="minorHAnsi"/>
                <w:i/>
                <w:iCs/>
              </w:rPr>
              <w:t xml:space="preserve"> Synthetic </w:t>
            </w:r>
            <w:proofErr w:type="gramStart"/>
            <w:r w:rsidR="00FB6AF3" w:rsidRPr="00807D9C">
              <w:rPr>
                <w:rFonts w:cstheme="minorHAnsi"/>
                <w:i/>
                <w:iCs/>
              </w:rPr>
              <w:t>Polymer  Microparticles</w:t>
            </w:r>
            <w:proofErr w:type="gramEnd"/>
            <w:r w:rsidR="001A7798" w:rsidRPr="00807D9C">
              <w:rPr>
                <w:rFonts w:cstheme="minorHAnsi"/>
                <w:i/>
                <w:iCs/>
              </w:rPr>
              <w:t xml:space="preserve">, an estimate of the quantity of </w:t>
            </w:r>
            <w:r w:rsidR="00237881" w:rsidRPr="00807D9C">
              <w:rPr>
                <w:rFonts w:cstheme="minorHAnsi"/>
                <w:i/>
                <w:iCs/>
              </w:rPr>
              <w:t>S</w:t>
            </w:r>
            <w:r w:rsidR="001A7798" w:rsidRPr="00807D9C">
              <w:rPr>
                <w:rFonts w:cstheme="minorHAnsi"/>
                <w:i/>
                <w:iCs/>
              </w:rPr>
              <w:t xml:space="preserve">ynthetic </w:t>
            </w:r>
            <w:r w:rsidR="00237881" w:rsidRPr="00807D9C">
              <w:rPr>
                <w:rFonts w:cstheme="minorHAnsi"/>
                <w:i/>
                <w:iCs/>
              </w:rPr>
              <w:t>P</w:t>
            </w:r>
            <w:r w:rsidR="001A7798" w:rsidRPr="00807D9C">
              <w:rPr>
                <w:rFonts w:cstheme="minorHAnsi"/>
                <w:i/>
                <w:iCs/>
              </w:rPr>
              <w:t xml:space="preserve">olymer </w:t>
            </w:r>
            <w:r w:rsidR="00237881" w:rsidRPr="00807D9C">
              <w:rPr>
                <w:rFonts w:cstheme="minorHAnsi"/>
                <w:i/>
                <w:iCs/>
              </w:rPr>
              <w:t xml:space="preserve">Microparticles </w:t>
            </w:r>
            <w:r w:rsidR="00BF2360" w:rsidRPr="00807D9C">
              <w:rPr>
                <w:rFonts w:cstheme="minorHAnsi"/>
                <w:i/>
                <w:iCs/>
              </w:rPr>
              <w:t>released to the environment in the previous calendar year</w:t>
            </w:r>
            <w:r w:rsidR="000851D9" w:rsidRPr="00807D9C">
              <w:rPr>
                <w:rFonts w:cstheme="minorHAnsi"/>
                <w:i/>
                <w:iCs/>
              </w:rPr>
              <w:t>, which shall include also the quantity of Sy</w:t>
            </w:r>
            <w:r w:rsidR="00A9595F" w:rsidRPr="00807D9C">
              <w:rPr>
                <w:rFonts w:cstheme="minorHAnsi"/>
                <w:i/>
                <w:iCs/>
              </w:rPr>
              <w:t>nthetic Polymer Microparticles released to the environment during transportation.</w:t>
            </w:r>
          </w:p>
          <w:p w14:paraId="78A1CF2C" w14:textId="0B9F28C7" w:rsidR="00A9595F" w:rsidRPr="00807D9C" w:rsidRDefault="00141670" w:rsidP="00141670">
            <w:pPr>
              <w:spacing w:after="120"/>
              <w:ind w:hanging="142"/>
              <w:jc w:val="both"/>
              <w:rPr>
                <w:rFonts w:cstheme="minorHAnsi"/>
                <w:i/>
                <w:iCs/>
              </w:rPr>
            </w:pPr>
            <w:r>
              <w:rPr>
                <w:rFonts w:cstheme="minorHAnsi"/>
                <w:i/>
                <w:iCs/>
              </w:rPr>
              <w:t xml:space="preserve">  (d)</w:t>
            </w:r>
            <w:r w:rsidR="00D2738C" w:rsidRPr="00807D9C">
              <w:rPr>
                <w:rFonts w:cstheme="minorHAnsi"/>
                <w:i/>
                <w:iCs/>
              </w:rPr>
              <w:t xml:space="preserve">for each use of </w:t>
            </w:r>
            <w:r w:rsidR="008036E7" w:rsidRPr="00807D9C">
              <w:rPr>
                <w:rFonts w:cstheme="minorHAnsi"/>
                <w:i/>
                <w:iCs/>
              </w:rPr>
              <w:t xml:space="preserve">Synthetic Polymer Microparticles, a reference to the derogation laid down </w:t>
            </w:r>
            <w:r w:rsidR="004F635E" w:rsidRPr="00807D9C">
              <w:rPr>
                <w:rFonts w:cstheme="minorHAnsi"/>
                <w:i/>
                <w:iCs/>
              </w:rPr>
              <w:t xml:space="preserve">in paragraph 4, point </w:t>
            </w:r>
            <w:r w:rsidR="009C6A6E" w:rsidRPr="00807D9C">
              <w:rPr>
                <w:rFonts w:cstheme="minorHAnsi"/>
                <w:i/>
                <w:iCs/>
              </w:rPr>
              <w:t xml:space="preserve">(b), (d) or (e), or 5 </w:t>
            </w:r>
            <w:proofErr w:type="gramStart"/>
            <w:r w:rsidR="009C6A6E" w:rsidRPr="00807D9C">
              <w:rPr>
                <w:rFonts w:cstheme="minorHAnsi"/>
                <w:i/>
                <w:iCs/>
              </w:rPr>
              <w:t>point</w:t>
            </w:r>
            <w:proofErr w:type="gramEnd"/>
            <w:r w:rsidR="009C6A6E" w:rsidRPr="00807D9C">
              <w:rPr>
                <w:rFonts w:cstheme="minorHAnsi"/>
                <w:i/>
                <w:iCs/>
              </w:rPr>
              <w:t xml:space="preserve"> (a), (b)</w:t>
            </w:r>
            <w:r w:rsidR="005C1A15" w:rsidRPr="00807D9C">
              <w:rPr>
                <w:rFonts w:cstheme="minorHAnsi"/>
                <w:i/>
                <w:iCs/>
              </w:rPr>
              <w:t xml:space="preserve"> or (c).</w:t>
            </w:r>
          </w:p>
          <w:p w14:paraId="7AEE4A04" w14:textId="4C60A1F5" w:rsidR="005C1A15" w:rsidRPr="00807D9C" w:rsidRDefault="00776C0C" w:rsidP="00776C0C">
            <w:pPr>
              <w:spacing w:after="120"/>
              <w:ind w:hanging="142"/>
              <w:jc w:val="both"/>
              <w:rPr>
                <w:rFonts w:cstheme="minorHAnsi"/>
                <w:i/>
                <w:iCs/>
              </w:rPr>
            </w:pPr>
            <w:r>
              <w:rPr>
                <w:rFonts w:cstheme="minorHAnsi"/>
                <w:i/>
                <w:iCs/>
              </w:rPr>
              <w:lastRenderedPageBreak/>
              <w:t xml:space="preserve"> (</w:t>
            </w:r>
            <w:r w:rsidR="005C1A15" w:rsidRPr="00807D9C">
              <w:rPr>
                <w:rFonts w:cstheme="minorHAnsi"/>
                <w:i/>
                <w:iCs/>
              </w:rPr>
              <w:t xml:space="preserve">12) </w:t>
            </w:r>
            <w:r w:rsidR="008E3FF9" w:rsidRPr="00807D9C">
              <w:rPr>
                <w:rFonts w:cstheme="minorHAnsi"/>
                <w:i/>
                <w:iCs/>
              </w:rPr>
              <w:t xml:space="preserve">From 2027, suppliers of products containing </w:t>
            </w:r>
            <w:r w:rsidR="00164C5C" w:rsidRPr="00807D9C">
              <w:rPr>
                <w:rFonts w:cstheme="minorHAnsi"/>
                <w:i/>
                <w:iCs/>
              </w:rPr>
              <w:t xml:space="preserve">Synthetic Polymer Microparticles referred to in </w:t>
            </w:r>
            <w:r w:rsidR="00E34A52" w:rsidRPr="00807D9C">
              <w:rPr>
                <w:rFonts w:cstheme="minorHAnsi"/>
                <w:i/>
                <w:iCs/>
              </w:rPr>
              <w:t xml:space="preserve">paragraphs 4, points (b), (d) and </w:t>
            </w:r>
            <w:r w:rsidR="003C7E7E" w:rsidRPr="00807D9C">
              <w:rPr>
                <w:rFonts w:cstheme="minorHAnsi"/>
                <w:i/>
                <w:iCs/>
              </w:rPr>
              <w:t>(</w:t>
            </w:r>
            <w:proofErr w:type="gramStart"/>
            <w:r w:rsidR="003C7E7E" w:rsidRPr="00807D9C">
              <w:rPr>
                <w:rFonts w:cstheme="minorHAnsi"/>
                <w:i/>
                <w:iCs/>
              </w:rPr>
              <w:t>e )</w:t>
            </w:r>
            <w:proofErr w:type="gramEnd"/>
            <w:r w:rsidR="003C7E7E" w:rsidRPr="00807D9C">
              <w:rPr>
                <w:rFonts w:cstheme="minorHAnsi"/>
                <w:i/>
                <w:iCs/>
              </w:rPr>
              <w:t xml:space="preserve">, and paragraph 5, placed </w:t>
            </w:r>
            <w:r w:rsidR="00F61435" w:rsidRPr="00807D9C">
              <w:rPr>
                <w:rFonts w:cstheme="minorHAnsi"/>
                <w:i/>
                <w:iCs/>
              </w:rPr>
              <w:t xml:space="preserve">on the market for the first time to professional </w:t>
            </w:r>
            <w:r w:rsidR="00D870C0" w:rsidRPr="00807D9C">
              <w:rPr>
                <w:rFonts w:cstheme="minorHAnsi"/>
                <w:i/>
                <w:iCs/>
              </w:rPr>
              <w:t>users and the general public….</w:t>
            </w:r>
          </w:p>
        </w:tc>
      </w:tr>
    </w:tbl>
    <w:p w14:paraId="29A90BCD" w14:textId="77777777" w:rsidR="00224783" w:rsidRPr="00BD4430" w:rsidRDefault="00224783" w:rsidP="008A5781">
      <w:pPr>
        <w:spacing w:after="120" w:line="240" w:lineRule="auto"/>
        <w:ind w:hanging="142"/>
        <w:jc w:val="both"/>
        <w:rPr>
          <w:rFonts w:cstheme="minorHAnsi"/>
        </w:rPr>
      </w:pPr>
    </w:p>
    <w:p w14:paraId="2542A64C" w14:textId="5552DE8A" w:rsidR="00157E35" w:rsidRPr="005047BA" w:rsidRDefault="00157E35" w:rsidP="008A4391">
      <w:pPr>
        <w:pStyle w:val="Pealkiri2"/>
        <w:numPr>
          <w:ilvl w:val="1"/>
          <w:numId w:val="14"/>
        </w:numPr>
        <w:ind w:left="142" w:hanging="142"/>
        <w:jc w:val="both"/>
      </w:pPr>
      <w:r w:rsidRPr="005047BA">
        <w:t xml:space="preserve">What is meant by the term “permanently </w:t>
      </w:r>
      <w:r w:rsidR="00B460A0" w:rsidRPr="005047BA">
        <w:t>incorporated”?</w:t>
      </w:r>
    </w:p>
    <w:p w14:paraId="10DF0AB4" w14:textId="6E9C73BF" w:rsidR="009C758B" w:rsidRPr="00BD4430" w:rsidRDefault="00B732C7" w:rsidP="00B732C7">
      <w:pPr>
        <w:spacing w:after="120" w:line="240" w:lineRule="auto"/>
        <w:ind w:hanging="142"/>
        <w:jc w:val="both"/>
        <w:rPr>
          <w:rFonts w:cstheme="minorHAnsi"/>
        </w:rPr>
      </w:pPr>
      <w:r>
        <w:rPr>
          <w:rFonts w:cstheme="minorHAnsi"/>
        </w:rPr>
        <w:t xml:space="preserve">   </w:t>
      </w:r>
      <w:r w:rsidR="00157E35" w:rsidRPr="00BD4430">
        <w:rPr>
          <w:rFonts w:cstheme="minorHAnsi"/>
        </w:rPr>
        <w:t xml:space="preserve">The exact </w:t>
      </w:r>
      <w:r w:rsidR="00494316" w:rsidRPr="00BD4430">
        <w:rPr>
          <w:rFonts w:cstheme="minorHAnsi"/>
        </w:rPr>
        <w:t>applicability of</w:t>
      </w:r>
      <w:r w:rsidR="00157E35" w:rsidRPr="00BD4430">
        <w:rPr>
          <w:rFonts w:cstheme="minorHAnsi"/>
        </w:rPr>
        <w:t xml:space="preserve"> the term "permanently incorporated into a solid matrix" </w:t>
      </w:r>
      <w:r w:rsidR="00494316" w:rsidRPr="00BD4430">
        <w:rPr>
          <w:rFonts w:cstheme="minorHAnsi"/>
        </w:rPr>
        <w:t>will depend</w:t>
      </w:r>
      <w:r w:rsidR="00157E35" w:rsidRPr="00BD4430">
        <w:rPr>
          <w:rFonts w:cstheme="minorHAnsi"/>
        </w:rPr>
        <w:t xml:space="preserve"> </w:t>
      </w:r>
      <w:proofErr w:type="gramStart"/>
      <w:r w:rsidR="00157E35" w:rsidRPr="00BD4430">
        <w:rPr>
          <w:rFonts w:cstheme="minorHAnsi"/>
        </w:rPr>
        <w:t xml:space="preserve">on </w:t>
      </w:r>
      <w:r w:rsidR="006C33CB">
        <w:rPr>
          <w:rFonts w:cstheme="minorHAnsi"/>
        </w:rPr>
        <w:t xml:space="preserve"> </w:t>
      </w:r>
      <w:r w:rsidR="00157E35" w:rsidRPr="00BD4430">
        <w:rPr>
          <w:rFonts w:cstheme="minorHAnsi"/>
        </w:rPr>
        <w:t>the</w:t>
      </w:r>
      <w:proofErr w:type="gramEnd"/>
      <w:r w:rsidR="006C33CB">
        <w:rPr>
          <w:rFonts w:cstheme="minorHAnsi"/>
        </w:rPr>
        <w:t xml:space="preserve"> </w:t>
      </w:r>
      <w:r w:rsidR="00157E35" w:rsidRPr="00BD4430">
        <w:rPr>
          <w:rFonts w:cstheme="minorHAnsi"/>
        </w:rPr>
        <w:t xml:space="preserve">respective end use and </w:t>
      </w:r>
      <w:r w:rsidR="00494316" w:rsidRPr="00BD4430">
        <w:rPr>
          <w:rFonts w:cstheme="minorHAnsi"/>
        </w:rPr>
        <w:t>is</w:t>
      </w:r>
      <w:r w:rsidR="00E7649D" w:rsidRPr="00BD4430">
        <w:rPr>
          <w:rFonts w:cstheme="minorHAnsi"/>
        </w:rPr>
        <w:t xml:space="preserve"> </w:t>
      </w:r>
      <w:r w:rsidR="00157E35" w:rsidRPr="00BD4430">
        <w:rPr>
          <w:rFonts w:cstheme="minorHAnsi"/>
        </w:rPr>
        <w:t xml:space="preserve">a </w:t>
      </w:r>
      <w:r w:rsidR="00E7649D" w:rsidRPr="00BD4430">
        <w:rPr>
          <w:rFonts w:cstheme="minorHAnsi"/>
        </w:rPr>
        <w:t>case-by-case</w:t>
      </w:r>
      <w:r w:rsidR="00157E35" w:rsidRPr="00BD4430">
        <w:rPr>
          <w:rFonts w:cstheme="minorHAnsi"/>
        </w:rPr>
        <w:t xml:space="preserve"> decision</w:t>
      </w:r>
      <w:r w:rsidR="009C758B" w:rsidRPr="00BD4430">
        <w:rPr>
          <w:rFonts w:cstheme="minorHAnsi"/>
        </w:rPr>
        <w:t xml:space="preserve"> by </w:t>
      </w:r>
      <w:r w:rsidR="00D00601">
        <w:rPr>
          <w:rFonts w:cstheme="minorHAnsi"/>
        </w:rPr>
        <w:t>each</w:t>
      </w:r>
      <w:r w:rsidR="009C758B" w:rsidRPr="00BD4430">
        <w:rPr>
          <w:rFonts w:cstheme="minorHAnsi"/>
        </w:rPr>
        <w:t xml:space="preserve"> company </w:t>
      </w:r>
      <w:r w:rsidR="00C9647B">
        <w:rPr>
          <w:rFonts w:cstheme="minorHAnsi"/>
        </w:rPr>
        <w:t>considering</w:t>
      </w:r>
      <w:r w:rsidR="009C758B" w:rsidRPr="00BD4430">
        <w:rPr>
          <w:rFonts w:cstheme="minorHAnsi"/>
        </w:rPr>
        <w:t xml:space="preserve"> whether</w:t>
      </w:r>
      <w:r w:rsidR="00157E35" w:rsidRPr="00BD4430">
        <w:rPr>
          <w:rFonts w:cstheme="minorHAnsi"/>
        </w:rPr>
        <w:t xml:space="preserve"> the intentionally added synthetic polymer microparticles are released during normal</w:t>
      </w:r>
      <w:r w:rsidR="00E7649D" w:rsidRPr="00BD4430">
        <w:rPr>
          <w:rFonts w:cstheme="minorHAnsi"/>
        </w:rPr>
        <w:t xml:space="preserve"> conditions of</w:t>
      </w:r>
      <w:r w:rsidR="00157E35" w:rsidRPr="00BD4430">
        <w:rPr>
          <w:rFonts w:cstheme="minorHAnsi"/>
        </w:rPr>
        <w:t xml:space="preserve"> use</w:t>
      </w:r>
      <w:r w:rsidR="00E7649D" w:rsidRPr="00BD4430">
        <w:rPr>
          <w:rFonts w:cstheme="minorHAnsi"/>
        </w:rPr>
        <w:t>.</w:t>
      </w:r>
    </w:p>
    <w:p w14:paraId="6F4F4F52" w14:textId="5513BD8E" w:rsidR="009C758B" w:rsidRPr="00BD4430" w:rsidRDefault="006C33CB" w:rsidP="006C33CB">
      <w:pPr>
        <w:spacing w:after="120" w:line="240" w:lineRule="auto"/>
        <w:ind w:hanging="142"/>
        <w:jc w:val="both"/>
        <w:rPr>
          <w:rFonts w:cstheme="minorHAnsi"/>
        </w:rPr>
      </w:pPr>
      <w:r>
        <w:rPr>
          <w:rFonts w:cstheme="minorHAnsi"/>
        </w:rPr>
        <w:t xml:space="preserve">   </w:t>
      </w:r>
      <w:r w:rsidR="009C758B" w:rsidRPr="00BD4430">
        <w:rPr>
          <w:rFonts w:cstheme="minorHAnsi"/>
        </w:rPr>
        <w:t xml:space="preserve">Synthetic polymer microparticles that are contained by technical means in a solid are specifically mentioned under Recital 18 </w:t>
      </w:r>
    </w:p>
    <w:tbl>
      <w:tblPr>
        <w:tblStyle w:val="Kontuurtabel"/>
        <w:tblW w:w="0" w:type="auto"/>
        <w:shd w:val="clear" w:color="auto" w:fill="DEEAF6" w:themeFill="accent5" w:themeFillTint="33"/>
        <w:tblLook w:val="04A0" w:firstRow="1" w:lastRow="0" w:firstColumn="1" w:lastColumn="0" w:noHBand="0" w:noVBand="1"/>
      </w:tblPr>
      <w:tblGrid>
        <w:gridCol w:w="9350"/>
      </w:tblGrid>
      <w:tr w:rsidR="007D6DAD" w14:paraId="15C37B8C" w14:textId="77777777" w:rsidTr="00B4370B">
        <w:tc>
          <w:tcPr>
            <w:tcW w:w="9350" w:type="dxa"/>
            <w:shd w:val="clear" w:color="auto" w:fill="DEEAF6" w:themeFill="accent5" w:themeFillTint="33"/>
          </w:tcPr>
          <w:p w14:paraId="7C459DCB" w14:textId="1920360A" w:rsidR="007D6DAD" w:rsidRPr="007D6DAD" w:rsidRDefault="007D6DAD" w:rsidP="00776C0C">
            <w:pPr>
              <w:spacing w:after="120"/>
              <w:ind w:left="33" w:hanging="142"/>
              <w:jc w:val="both"/>
              <w:rPr>
                <w:rFonts w:cstheme="minorHAnsi"/>
                <w:i/>
                <w:iCs/>
              </w:rPr>
            </w:pPr>
            <w:r>
              <w:rPr>
                <w:rFonts w:cstheme="minorHAnsi"/>
                <w:i/>
                <w:iCs/>
              </w:rPr>
              <w:t xml:space="preserve">(18) </w:t>
            </w:r>
            <w:r w:rsidRPr="00BD4430">
              <w:rPr>
                <w:rFonts w:cstheme="minorHAnsi"/>
                <w:i/>
                <w:iCs/>
              </w:rPr>
              <w:t xml:space="preserve">Moreover, </w:t>
            </w:r>
            <w:r w:rsidRPr="00BD4430">
              <w:rPr>
                <w:rFonts w:cstheme="minorHAnsi"/>
                <w:b/>
                <w:bCs/>
                <w:i/>
                <w:iCs/>
              </w:rPr>
              <w:t>derogations</w:t>
            </w:r>
            <w:r w:rsidRPr="00BD4430">
              <w:rPr>
                <w:rFonts w:cstheme="minorHAnsi"/>
                <w:i/>
                <w:iCs/>
              </w:rPr>
              <w:t xml:space="preserve"> from the ban on placing on the market are proposed where the risk from </w:t>
            </w:r>
            <w:r w:rsidRPr="00BD4430">
              <w:rPr>
                <w:rFonts w:cstheme="minorHAnsi"/>
                <w:b/>
                <w:bCs/>
                <w:i/>
                <w:iCs/>
              </w:rPr>
              <w:t xml:space="preserve">releases is expected to be </w:t>
            </w:r>
            <w:r w:rsidR="00752C4F" w:rsidRPr="00BD4430">
              <w:rPr>
                <w:rFonts w:cstheme="minorHAnsi"/>
                <w:b/>
                <w:bCs/>
                <w:i/>
                <w:iCs/>
              </w:rPr>
              <w:t>minimized</w:t>
            </w:r>
            <w:r w:rsidRPr="00BD4430">
              <w:rPr>
                <w:rFonts w:cstheme="minorHAnsi"/>
                <w:i/>
                <w:iCs/>
              </w:rPr>
              <w:t xml:space="preserve"> because synthetic polymer microparticles </w:t>
            </w:r>
            <w:r w:rsidRPr="00BD4430">
              <w:rPr>
                <w:rFonts w:cstheme="minorHAnsi"/>
                <w:b/>
                <w:bCs/>
                <w:i/>
                <w:iCs/>
              </w:rPr>
              <w:t>are contained by technical means</w:t>
            </w:r>
            <w:r w:rsidRPr="00BD4430">
              <w:rPr>
                <w:rFonts w:cstheme="minorHAnsi"/>
                <w:i/>
                <w:iCs/>
              </w:rPr>
              <w:t xml:space="preserve">, such as those in chromatography columns, water filtering cartridges or printer toners, or permanently lose their particle form because, for example, they swell or form a film, like in diapers, nail polish or paint, or are permanently enclosed in a solid matrix during end use, such as </w:t>
            </w:r>
            <w:r w:rsidR="00FA30E2" w:rsidRPr="00BD4430">
              <w:rPr>
                <w:rFonts w:cstheme="minorHAnsi"/>
                <w:i/>
                <w:iCs/>
              </w:rPr>
              <w:t>fibers</w:t>
            </w:r>
            <w:r w:rsidRPr="00BD4430">
              <w:rPr>
                <w:rFonts w:cstheme="minorHAnsi"/>
                <w:i/>
                <w:iCs/>
              </w:rPr>
              <w:t xml:space="preserve"> added to concrete …</w:t>
            </w:r>
          </w:p>
        </w:tc>
      </w:tr>
    </w:tbl>
    <w:p w14:paraId="486355C5" w14:textId="77777777" w:rsidR="007D6DAD" w:rsidRDefault="007D6DAD" w:rsidP="008A5781">
      <w:pPr>
        <w:spacing w:after="120" w:line="240" w:lineRule="auto"/>
        <w:ind w:hanging="142"/>
        <w:jc w:val="both"/>
        <w:rPr>
          <w:rFonts w:cstheme="minorHAnsi"/>
        </w:rPr>
      </w:pPr>
    </w:p>
    <w:p w14:paraId="7825DF47" w14:textId="406FE99D" w:rsidR="005772BF" w:rsidRPr="005047BA" w:rsidRDefault="005772BF" w:rsidP="008A4391">
      <w:pPr>
        <w:pStyle w:val="Pealkiri2"/>
        <w:numPr>
          <w:ilvl w:val="1"/>
          <w:numId w:val="14"/>
        </w:numPr>
        <w:ind w:left="0" w:firstLine="0"/>
        <w:jc w:val="both"/>
      </w:pPr>
      <w:r w:rsidRPr="38F55471">
        <w:t>C</w:t>
      </w:r>
      <w:r w:rsidR="00157E35" w:rsidRPr="38F55471">
        <w:t xml:space="preserve">an you confirm, that the use of synthetic polymer microparticles listed in paragraph 6 are excluded from the </w:t>
      </w:r>
      <w:r w:rsidR="00381C64" w:rsidRPr="38F55471">
        <w:t>restriction</w:t>
      </w:r>
      <w:r w:rsidR="00157E35" w:rsidRPr="38F55471">
        <w:t xml:space="preserve"> of placing on the market if they are covered by paragraph 5?</w:t>
      </w:r>
    </w:p>
    <w:p w14:paraId="241B9652" w14:textId="03115669" w:rsidR="00B4370B" w:rsidRPr="00B4370B" w:rsidRDefault="00BC48E4" w:rsidP="008A5781">
      <w:pPr>
        <w:spacing w:after="120" w:line="240" w:lineRule="auto"/>
        <w:ind w:hanging="142"/>
        <w:jc w:val="both"/>
        <w:rPr>
          <w:rFonts w:cstheme="minorHAnsi"/>
        </w:rPr>
      </w:pPr>
      <w:r>
        <w:rPr>
          <w:rStyle w:val="normaltextrun"/>
          <w:rFonts w:cstheme="minorHAnsi"/>
        </w:rPr>
        <w:t xml:space="preserve">   </w:t>
      </w:r>
      <w:r w:rsidR="00157E35" w:rsidRPr="00BD4430">
        <w:rPr>
          <w:rStyle w:val="normaltextrun"/>
          <w:rFonts w:cstheme="minorHAnsi"/>
        </w:rPr>
        <w:t>No, they are derogated</w:t>
      </w:r>
      <w:r w:rsidR="00E573B5" w:rsidRPr="00BD4430">
        <w:rPr>
          <w:rStyle w:val="normaltextrun"/>
          <w:rFonts w:cstheme="minorHAnsi"/>
        </w:rPr>
        <w:t xml:space="preserve"> from the </w:t>
      </w:r>
      <w:r w:rsidR="00381C64">
        <w:rPr>
          <w:rStyle w:val="normaltextrun"/>
          <w:rFonts w:cstheme="minorHAnsi"/>
        </w:rPr>
        <w:t>restriction</w:t>
      </w:r>
      <w:r w:rsidR="00E573B5" w:rsidRPr="00BD4430">
        <w:rPr>
          <w:rStyle w:val="normaltextrun"/>
          <w:rFonts w:cstheme="minorHAnsi"/>
        </w:rPr>
        <w:t xml:space="preserve"> and</w:t>
      </w:r>
      <w:r w:rsidR="00157E35" w:rsidRPr="00BD4430">
        <w:rPr>
          <w:rStyle w:val="normaltextrun"/>
          <w:rFonts w:cstheme="minorHAnsi"/>
        </w:rPr>
        <w:t xml:space="preserve"> not excluded. The list in Paragraph 6 is a collection of temporary derogations. After the end of the transitional periods</w:t>
      </w:r>
      <w:r w:rsidR="00C9647B">
        <w:rPr>
          <w:rStyle w:val="normaltextrun"/>
          <w:rFonts w:cstheme="minorHAnsi"/>
        </w:rPr>
        <w:t xml:space="preserve"> mentioned in §</w:t>
      </w:r>
      <w:r w:rsidR="00AD2D9B">
        <w:rPr>
          <w:rStyle w:val="normaltextrun"/>
          <w:rFonts w:cstheme="minorHAnsi"/>
        </w:rPr>
        <w:t>6</w:t>
      </w:r>
      <w:r w:rsidR="00157E35" w:rsidRPr="00BD4430">
        <w:rPr>
          <w:rStyle w:val="normaltextrun"/>
          <w:rFonts w:cstheme="minorHAnsi"/>
        </w:rPr>
        <w:t xml:space="preserve">, the substance groups listed </w:t>
      </w:r>
      <w:r w:rsidR="00C9647B">
        <w:rPr>
          <w:rStyle w:val="normaltextrun"/>
          <w:rFonts w:cstheme="minorHAnsi"/>
        </w:rPr>
        <w:t>can no longer be placed on the market</w:t>
      </w:r>
      <w:r w:rsidR="00157E35" w:rsidRPr="00BD4430">
        <w:rPr>
          <w:rStyle w:val="normaltextrun"/>
          <w:rFonts w:cstheme="minorHAnsi"/>
        </w:rPr>
        <w:t>. However, if the criteria listed in paragraph 5 appl</w:t>
      </w:r>
      <w:r w:rsidR="00AD2D9B">
        <w:rPr>
          <w:rStyle w:val="normaltextrun"/>
          <w:rFonts w:cstheme="minorHAnsi"/>
        </w:rPr>
        <w:t>ies</w:t>
      </w:r>
      <w:r w:rsidR="00157E35" w:rsidRPr="00BD4430">
        <w:rPr>
          <w:rStyle w:val="normaltextrun"/>
          <w:rFonts w:cstheme="minorHAnsi"/>
        </w:rPr>
        <w:t xml:space="preserve">, individual products </w:t>
      </w:r>
      <w:r w:rsidR="00AD2D9B">
        <w:rPr>
          <w:rStyle w:val="normaltextrun"/>
          <w:rFonts w:cstheme="minorHAnsi"/>
        </w:rPr>
        <w:t xml:space="preserve">can still be placed on the market, but subjects to specific </w:t>
      </w:r>
      <w:proofErr w:type="gramStart"/>
      <w:r w:rsidR="00AD2D9B">
        <w:rPr>
          <w:rStyle w:val="normaltextrun"/>
          <w:rFonts w:cstheme="minorHAnsi"/>
        </w:rPr>
        <w:t>requirements;</w:t>
      </w:r>
      <w:proofErr w:type="gramEnd"/>
      <w:r w:rsidR="00AD2D9B">
        <w:rPr>
          <w:rStyle w:val="normaltextrun"/>
          <w:rFonts w:cstheme="minorHAnsi"/>
        </w:rPr>
        <w:t xml:space="preserve"> i.e. instructions use and disposals and reporting emissions to ECHA.</w:t>
      </w:r>
      <w:r w:rsidR="00B4370B" w:rsidRPr="005346F3">
        <w:rPr>
          <w:rFonts w:cstheme="minorHAnsi"/>
          <w:b/>
          <w:bCs/>
        </w:rPr>
        <w:br w:type="page"/>
      </w:r>
    </w:p>
    <w:p w14:paraId="50739084" w14:textId="38DA271F" w:rsidR="005772BF" w:rsidRPr="004B16D8" w:rsidRDefault="23F0506C" w:rsidP="008A4391">
      <w:pPr>
        <w:pStyle w:val="Pealkiri1"/>
        <w:numPr>
          <w:ilvl w:val="0"/>
          <w:numId w:val="11"/>
        </w:numPr>
        <w:rPr>
          <w:rFonts w:cstheme="minorHAnsi"/>
          <w:lang w:val="fr-BE"/>
        </w:rPr>
      </w:pPr>
      <w:bookmarkStart w:id="7" w:name="_Toc170394056"/>
      <w:r w:rsidRPr="428422A5">
        <w:rPr>
          <w:lang w:val="fr-BE"/>
        </w:rPr>
        <w:lastRenderedPageBreak/>
        <w:t>TRANSITION PERIODS</w:t>
      </w:r>
      <w:bookmarkEnd w:id="7"/>
    </w:p>
    <w:p w14:paraId="10A97BB5" w14:textId="77777777" w:rsidR="00B4370B" w:rsidRDefault="00B4370B" w:rsidP="007F6227">
      <w:pPr>
        <w:pStyle w:val="Loendilik"/>
        <w:spacing w:before="0" w:after="120" w:line="240" w:lineRule="auto"/>
        <w:ind w:left="0"/>
        <w:jc w:val="both"/>
        <w:rPr>
          <w:rFonts w:asciiTheme="minorHAnsi" w:hAnsiTheme="minorHAnsi" w:cstheme="minorHAnsi"/>
          <w:b/>
          <w:bCs/>
          <w:color w:val="4472C4" w:themeColor="accent1"/>
        </w:rPr>
      </w:pPr>
    </w:p>
    <w:p w14:paraId="2BBE68BA" w14:textId="4764B886" w:rsidR="00493DBE" w:rsidRPr="005047BA" w:rsidRDefault="009C6C67" w:rsidP="009C6C67">
      <w:pPr>
        <w:pStyle w:val="Pealkiri2"/>
        <w:jc w:val="both"/>
      </w:pPr>
      <w:r>
        <w:t xml:space="preserve">3.1 </w:t>
      </w:r>
      <w:r w:rsidR="00BD4430" w:rsidRPr="774C2C6A">
        <w:t>F</w:t>
      </w:r>
      <w:r w:rsidR="00157E35" w:rsidRPr="774C2C6A">
        <w:t xml:space="preserve">rom….[Publications Office, </w:t>
      </w:r>
      <w:r w:rsidR="00C7794D">
        <w:t>17 October 2028</w:t>
      </w:r>
      <w:r w:rsidR="00157E35" w:rsidRPr="774C2C6A">
        <w:t xml:space="preserve"> = 5 years after the date of entry into forc</w:t>
      </w:r>
      <w:r w:rsidR="00AF00B7" w:rsidRPr="774C2C6A">
        <w:t xml:space="preserve">e </w:t>
      </w:r>
      <w:r w:rsidR="00157E35" w:rsidRPr="774C2C6A">
        <w:t xml:space="preserve">of this amending Regulation] for products for agricultural and horticultural uses not </w:t>
      </w:r>
      <w:r w:rsidR="00BA62A8" w:rsidRPr="774C2C6A">
        <w:t xml:space="preserve">    </w:t>
      </w:r>
      <w:r w:rsidR="00157E35" w:rsidRPr="774C2C6A">
        <w:t>covered by points (g) or (h); Is it possible to provide some examples of which types of</w:t>
      </w:r>
      <w:r w:rsidR="006C6B8E" w:rsidRPr="774C2C6A">
        <w:t xml:space="preserve"> </w:t>
      </w:r>
      <w:r w:rsidR="00157E35" w:rsidRPr="774C2C6A">
        <w:t>products would fall within this category (for example, do we mean adjuvants according to</w:t>
      </w:r>
      <w:r w:rsidR="006C6B8E" w:rsidRPr="774C2C6A">
        <w:t xml:space="preserve"> </w:t>
      </w:r>
      <w:r w:rsidR="00157E35" w:rsidRPr="774C2C6A">
        <w:t xml:space="preserve">art. 2(3)(d) of Reg. 1107/2009 or instead does it refer to other products)? </w:t>
      </w:r>
    </w:p>
    <w:p w14:paraId="025561FA" w14:textId="7172A0DF" w:rsidR="00157E35" w:rsidRDefault="00157E35" w:rsidP="007F6227">
      <w:pPr>
        <w:spacing w:after="120" w:line="240" w:lineRule="auto"/>
        <w:jc w:val="both"/>
        <w:rPr>
          <w:rStyle w:val="normaltextrun"/>
          <w:rFonts w:cstheme="minorHAnsi"/>
        </w:rPr>
      </w:pPr>
      <w:r w:rsidRPr="00BD4430">
        <w:rPr>
          <w:rStyle w:val="normaltextrun"/>
          <w:rFonts w:cstheme="minorHAnsi"/>
        </w:rPr>
        <w:t xml:space="preserve">Examples are given in the </w:t>
      </w:r>
      <w:r w:rsidR="001C6DDA" w:rsidRPr="00BD4430">
        <w:rPr>
          <w:rStyle w:val="normaltextrun"/>
          <w:rFonts w:cstheme="minorHAnsi"/>
        </w:rPr>
        <w:t>R</w:t>
      </w:r>
      <w:r w:rsidRPr="00BD4430">
        <w:rPr>
          <w:rStyle w:val="normaltextrun"/>
          <w:rFonts w:cstheme="minorHAnsi"/>
        </w:rPr>
        <w:t>ecital 23. To obtain further clarification</w:t>
      </w:r>
      <w:r w:rsidR="001C6DDA" w:rsidRPr="00BD4430">
        <w:rPr>
          <w:rStyle w:val="normaltextrun"/>
          <w:rFonts w:cstheme="minorHAnsi"/>
        </w:rPr>
        <w:t xml:space="preserve"> and examples</w:t>
      </w:r>
      <w:r w:rsidRPr="00BD4430">
        <w:rPr>
          <w:rStyle w:val="normaltextrun"/>
          <w:rFonts w:cstheme="minorHAnsi"/>
        </w:rPr>
        <w:t>, the relevant trade associations should be contacted.</w:t>
      </w:r>
      <w:r w:rsidR="00095F01" w:rsidRPr="00BD4430">
        <w:rPr>
          <w:rStyle w:val="normaltextrun"/>
          <w:rFonts w:cstheme="minorHAnsi"/>
        </w:rPr>
        <w:t xml:space="preserve"> </w:t>
      </w:r>
      <w:r w:rsidR="00600FB7" w:rsidRPr="00BD4430">
        <w:rPr>
          <w:rStyle w:val="normaltextrun"/>
          <w:rFonts w:cstheme="minorHAnsi"/>
        </w:rPr>
        <w:t>Below is</w:t>
      </w:r>
      <w:r w:rsidR="00095F01" w:rsidRPr="00BD4430">
        <w:rPr>
          <w:rStyle w:val="normaltextrun"/>
          <w:rFonts w:cstheme="minorHAnsi"/>
        </w:rPr>
        <w:t xml:space="preserve"> the transcription of Recital 23.</w:t>
      </w:r>
    </w:p>
    <w:tbl>
      <w:tblPr>
        <w:tblStyle w:val="Kontuurtabel"/>
        <w:tblW w:w="0" w:type="auto"/>
        <w:shd w:val="clear" w:color="auto" w:fill="D9E2F3" w:themeFill="accent1" w:themeFillTint="33"/>
        <w:tblLook w:val="04A0" w:firstRow="1" w:lastRow="0" w:firstColumn="1" w:lastColumn="0" w:noHBand="0" w:noVBand="1"/>
      </w:tblPr>
      <w:tblGrid>
        <w:gridCol w:w="9350"/>
      </w:tblGrid>
      <w:tr w:rsidR="007D6DAD" w14:paraId="647CA395" w14:textId="77777777" w:rsidTr="00B4370B">
        <w:tc>
          <w:tcPr>
            <w:tcW w:w="9350" w:type="dxa"/>
            <w:shd w:val="clear" w:color="auto" w:fill="DEEAF6" w:themeFill="accent5" w:themeFillTint="33"/>
          </w:tcPr>
          <w:p w14:paraId="4AE8EA98" w14:textId="2386AA84" w:rsidR="007D6DAD" w:rsidRPr="007D6DAD" w:rsidRDefault="007D6DAD" w:rsidP="007F6227">
            <w:pPr>
              <w:spacing w:after="120"/>
              <w:jc w:val="both"/>
              <w:rPr>
                <w:rStyle w:val="normaltextrun"/>
                <w:rFonts w:eastAsia="Times New Roman" w:cstheme="minorHAnsi"/>
                <w:i/>
                <w:iCs/>
                <w:color w:val="333333"/>
              </w:rPr>
            </w:pPr>
            <w:r w:rsidRPr="00BD4430">
              <w:rPr>
                <w:rFonts w:cstheme="minorHAnsi"/>
                <w:i/>
                <w:iCs/>
              </w:rPr>
              <w:t xml:space="preserve"> (23) [...] </w:t>
            </w:r>
            <w:r w:rsidRPr="00BD4430">
              <w:rPr>
                <w:rFonts w:eastAsia="Times New Roman" w:cstheme="minorHAnsi"/>
                <w:i/>
                <w:iCs/>
                <w:color w:val="333333"/>
              </w:rPr>
              <w:t>As regards other agricultural and horticultural uses, such as seeds coated with colorants or lubricants or other products which are not or do not contain plant protection products, a transitional period of 5 years was considered appropriate.”</w:t>
            </w:r>
          </w:p>
        </w:tc>
      </w:tr>
    </w:tbl>
    <w:p w14:paraId="21E5D13D" w14:textId="77777777" w:rsidR="00157E35" w:rsidRPr="007D6DAD" w:rsidRDefault="00157E35" w:rsidP="007F6227">
      <w:pPr>
        <w:spacing w:after="120" w:line="240" w:lineRule="auto"/>
        <w:jc w:val="both"/>
        <w:rPr>
          <w:rStyle w:val="normaltextrun"/>
          <w:rFonts w:cstheme="minorHAnsi"/>
        </w:rPr>
      </w:pPr>
    </w:p>
    <w:p w14:paraId="155C4FB6" w14:textId="0D54771A" w:rsidR="00056203" w:rsidRPr="005047BA" w:rsidRDefault="00A85C25" w:rsidP="00FA30E2">
      <w:pPr>
        <w:pStyle w:val="Pealkiri2"/>
      </w:pPr>
      <w:r>
        <w:t>3.</w:t>
      </w:r>
      <w:r w:rsidR="009C6C67">
        <w:t>2</w:t>
      </w:r>
      <w:r>
        <w:t xml:space="preserve"> </w:t>
      </w:r>
      <w:r w:rsidR="0080483D" w:rsidRPr="0239D80B">
        <w:t>Are</w:t>
      </w:r>
      <w:r w:rsidR="00157E35" w:rsidRPr="0239D80B">
        <w:t xml:space="preserve"> there reporting obligations for transition periods?</w:t>
      </w:r>
    </w:p>
    <w:p w14:paraId="6B0F4C9B" w14:textId="1BC9A724" w:rsidR="00157E35" w:rsidRPr="00BD4430" w:rsidRDefault="001C3B21" w:rsidP="0239D80B">
      <w:pPr>
        <w:spacing w:after="120" w:line="240" w:lineRule="auto"/>
        <w:jc w:val="both"/>
        <w:rPr>
          <w:rStyle w:val="normaltextrun"/>
        </w:rPr>
      </w:pPr>
      <w:r>
        <w:rPr>
          <w:rStyle w:val="normaltextrun"/>
        </w:rPr>
        <w:t>For the chemical sector, t</w:t>
      </w:r>
      <w:r w:rsidR="00157E35" w:rsidRPr="0239D80B">
        <w:rPr>
          <w:rStyle w:val="normaltextrun"/>
        </w:rPr>
        <w:t xml:space="preserve">here </w:t>
      </w:r>
      <w:r w:rsidR="0080483D" w:rsidRPr="0239D80B">
        <w:rPr>
          <w:rStyle w:val="normaltextrun"/>
        </w:rPr>
        <w:t>are</w:t>
      </w:r>
      <w:r w:rsidR="00157E35" w:rsidRPr="0239D80B">
        <w:rPr>
          <w:rStyle w:val="normaltextrun"/>
        </w:rPr>
        <w:t xml:space="preserve"> no reporting and information duties within transition periods.</w:t>
      </w:r>
    </w:p>
    <w:p w14:paraId="420A0438" w14:textId="77777777" w:rsidR="00254EF0" w:rsidRPr="00BD4430" w:rsidRDefault="00254EF0" w:rsidP="007F6227">
      <w:pPr>
        <w:spacing w:after="120" w:line="240" w:lineRule="auto"/>
        <w:jc w:val="both"/>
        <w:rPr>
          <w:rStyle w:val="normaltextrun"/>
          <w:rFonts w:cstheme="minorHAnsi"/>
        </w:rPr>
      </w:pPr>
    </w:p>
    <w:p w14:paraId="6B694545" w14:textId="02D157F6" w:rsidR="00254EF0" w:rsidRPr="005047BA" w:rsidRDefault="00A85C25" w:rsidP="00A85C25">
      <w:pPr>
        <w:pStyle w:val="Pealkiri2"/>
      </w:pPr>
      <w:r>
        <w:t>3.</w:t>
      </w:r>
      <w:r w:rsidR="009C6C67">
        <w:t>3</w:t>
      </w:r>
      <w:r>
        <w:t xml:space="preserve"> </w:t>
      </w:r>
      <w:r w:rsidR="0080483D">
        <w:t>Are</w:t>
      </w:r>
      <w:r w:rsidR="00254EF0" w:rsidRPr="005047BA">
        <w:t xml:space="preserve"> there </w:t>
      </w:r>
      <w:r w:rsidR="00981557" w:rsidRPr="005047BA">
        <w:t>reporting</w:t>
      </w:r>
      <w:r w:rsidR="00254EF0" w:rsidRPr="005047BA">
        <w:t xml:space="preserve"> obligation</w:t>
      </w:r>
      <w:r w:rsidR="0080483D">
        <w:t>s</w:t>
      </w:r>
      <w:r w:rsidR="00254EF0" w:rsidRPr="005047BA">
        <w:t xml:space="preserve"> after </w:t>
      </w:r>
      <w:r w:rsidR="0080483D">
        <w:t xml:space="preserve">the </w:t>
      </w:r>
      <w:r w:rsidR="00254EF0" w:rsidRPr="005047BA">
        <w:t>transition period</w:t>
      </w:r>
      <w:r w:rsidR="006C00BF" w:rsidRPr="005047BA">
        <w:t>?</w:t>
      </w:r>
    </w:p>
    <w:p w14:paraId="5AE4D9F1" w14:textId="3C897CDD" w:rsidR="00254EF0" w:rsidRDefault="00254EF0" w:rsidP="09FB152F">
      <w:pPr>
        <w:spacing w:after="120" w:line="240" w:lineRule="auto"/>
        <w:jc w:val="both"/>
        <w:rPr>
          <w:rStyle w:val="normaltextrun"/>
        </w:rPr>
      </w:pPr>
      <w:r w:rsidRPr="09FB152F">
        <w:rPr>
          <w:rStyle w:val="normaltextrun"/>
        </w:rPr>
        <w:t xml:space="preserve">After the transition period, there is </w:t>
      </w:r>
      <w:r w:rsidR="007D6DAD" w:rsidRPr="09FB152F">
        <w:rPr>
          <w:rStyle w:val="normaltextrun"/>
        </w:rPr>
        <w:t xml:space="preserve">a </w:t>
      </w:r>
      <w:r w:rsidRPr="09FB152F">
        <w:rPr>
          <w:rStyle w:val="normaltextrun"/>
        </w:rPr>
        <w:t xml:space="preserve">reporting </w:t>
      </w:r>
      <w:r w:rsidR="007D6DAD" w:rsidRPr="09FB152F">
        <w:rPr>
          <w:rStyle w:val="normaltextrun"/>
        </w:rPr>
        <w:t xml:space="preserve">obligation as well as </w:t>
      </w:r>
      <w:r w:rsidR="0080483D" w:rsidRPr="09FB152F">
        <w:rPr>
          <w:rStyle w:val="normaltextrun"/>
        </w:rPr>
        <w:t xml:space="preserve">a </w:t>
      </w:r>
      <w:r w:rsidR="007D6DAD" w:rsidRPr="09FB152F">
        <w:rPr>
          <w:rStyle w:val="normaltextrun"/>
        </w:rPr>
        <w:t xml:space="preserve">duty to provide </w:t>
      </w:r>
      <w:r w:rsidRPr="09FB152F">
        <w:rPr>
          <w:rStyle w:val="normaltextrun"/>
        </w:rPr>
        <w:t xml:space="preserve">information for use and </w:t>
      </w:r>
      <w:r w:rsidR="007D6DAD" w:rsidRPr="09FB152F">
        <w:rPr>
          <w:rStyle w:val="normaltextrun"/>
        </w:rPr>
        <w:t>disposal</w:t>
      </w:r>
      <w:r w:rsidRPr="09FB152F">
        <w:rPr>
          <w:rStyle w:val="normaltextrun"/>
        </w:rPr>
        <w:t xml:space="preserve">, </w:t>
      </w:r>
      <w:r w:rsidR="007D6DAD" w:rsidRPr="09FB152F">
        <w:rPr>
          <w:rStyle w:val="normaltextrun"/>
        </w:rPr>
        <w:t xml:space="preserve">under </w:t>
      </w:r>
      <w:r w:rsidR="0080483D" w:rsidRPr="09FB152F">
        <w:rPr>
          <w:rStyle w:val="normaltextrun"/>
        </w:rPr>
        <w:t xml:space="preserve">the </w:t>
      </w:r>
      <w:r w:rsidR="007D6DAD" w:rsidRPr="09FB152F">
        <w:rPr>
          <w:rStyle w:val="normaltextrun"/>
        </w:rPr>
        <w:t xml:space="preserve">condition that </w:t>
      </w:r>
      <w:r w:rsidR="0080483D" w:rsidRPr="09FB152F">
        <w:rPr>
          <w:rStyle w:val="normaltextrun"/>
        </w:rPr>
        <w:t xml:space="preserve">the </w:t>
      </w:r>
      <w:r w:rsidRPr="09FB152F">
        <w:rPr>
          <w:rStyle w:val="normaltextrun"/>
        </w:rPr>
        <w:t>derogation</w:t>
      </w:r>
      <w:r w:rsidR="0080483D" w:rsidRPr="09FB152F">
        <w:rPr>
          <w:rStyle w:val="normaltextrun"/>
        </w:rPr>
        <w:t>,</w:t>
      </w:r>
      <w:r w:rsidRPr="09FB152F">
        <w:rPr>
          <w:rStyle w:val="normaltextrun"/>
        </w:rPr>
        <w:t xml:space="preserve"> according to </w:t>
      </w:r>
      <w:r w:rsidR="2DBB4446" w:rsidRPr="09FB152F">
        <w:rPr>
          <w:rStyle w:val="normaltextrun"/>
        </w:rPr>
        <w:t>Paragraph 5</w:t>
      </w:r>
      <w:r w:rsidR="589EC91F" w:rsidRPr="09FB152F">
        <w:rPr>
          <w:rStyle w:val="normaltextrun"/>
        </w:rPr>
        <w:t>,</w:t>
      </w:r>
      <w:r w:rsidRPr="09FB152F">
        <w:rPr>
          <w:rStyle w:val="normaltextrun"/>
        </w:rPr>
        <w:t xml:space="preserve"> can be applied. </w:t>
      </w:r>
      <w:r w:rsidR="006C00BF" w:rsidRPr="09FB152F">
        <w:rPr>
          <w:rStyle w:val="normaltextrun"/>
        </w:rPr>
        <w:t>Otherwise,</w:t>
      </w:r>
      <w:r w:rsidRPr="09FB152F">
        <w:rPr>
          <w:rStyle w:val="normaltextrun"/>
        </w:rPr>
        <w:t xml:space="preserve"> the synthetic polymer microparticle is banned from placing on the market </w:t>
      </w:r>
      <w:r w:rsidR="007D6DAD" w:rsidRPr="09FB152F">
        <w:rPr>
          <w:rStyle w:val="normaltextrun"/>
        </w:rPr>
        <w:t xml:space="preserve">at the end of transition </w:t>
      </w:r>
      <w:r w:rsidRPr="09FB152F">
        <w:rPr>
          <w:rStyle w:val="normaltextrun"/>
        </w:rPr>
        <w:t>period.</w:t>
      </w:r>
    </w:p>
    <w:p w14:paraId="707BE86D" w14:textId="77777777" w:rsidR="009A70B4" w:rsidRDefault="009A70B4" w:rsidP="09FB152F">
      <w:pPr>
        <w:spacing w:after="120" w:line="240" w:lineRule="auto"/>
        <w:jc w:val="both"/>
        <w:rPr>
          <w:rStyle w:val="normaltextrun"/>
        </w:rPr>
      </w:pPr>
    </w:p>
    <w:p w14:paraId="5FB7A649" w14:textId="77777777" w:rsidR="009A70B4" w:rsidRDefault="009A70B4" w:rsidP="09FB152F">
      <w:pPr>
        <w:spacing w:after="120" w:line="240" w:lineRule="auto"/>
        <w:jc w:val="both"/>
        <w:rPr>
          <w:rStyle w:val="normaltextrun"/>
        </w:rPr>
      </w:pPr>
    </w:p>
    <w:p w14:paraId="12B0C521" w14:textId="77777777" w:rsidR="009A70B4" w:rsidRDefault="009A70B4" w:rsidP="09FB152F">
      <w:pPr>
        <w:spacing w:after="120" w:line="240" w:lineRule="auto"/>
        <w:jc w:val="both"/>
        <w:rPr>
          <w:rStyle w:val="normaltextrun"/>
        </w:rPr>
      </w:pPr>
    </w:p>
    <w:p w14:paraId="3A7A6B4C" w14:textId="77777777" w:rsidR="009A70B4" w:rsidRDefault="009A70B4" w:rsidP="09FB152F">
      <w:pPr>
        <w:spacing w:after="120" w:line="240" w:lineRule="auto"/>
        <w:jc w:val="both"/>
        <w:rPr>
          <w:rStyle w:val="normaltextrun"/>
        </w:rPr>
      </w:pPr>
    </w:p>
    <w:p w14:paraId="2A794C13" w14:textId="77777777" w:rsidR="009A70B4" w:rsidRDefault="009A70B4" w:rsidP="09FB152F">
      <w:pPr>
        <w:spacing w:after="120" w:line="240" w:lineRule="auto"/>
        <w:jc w:val="both"/>
        <w:rPr>
          <w:rStyle w:val="normaltextrun"/>
        </w:rPr>
      </w:pPr>
    </w:p>
    <w:p w14:paraId="5B8284A6" w14:textId="77777777" w:rsidR="009A70B4" w:rsidRDefault="009A70B4" w:rsidP="09FB152F">
      <w:pPr>
        <w:spacing w:after="120" w:line="240" w:lineRule="auto"/>
        <w:jc w:val="both"/>
        <w:rPr>
          <w:rStyle w:val="normaltextrun"/>
        </w:rPr>
      </w:pPr>
    </w:p>
    <w:p w14:paraId="41761CF1" w14:textId="77777777" w:rsidR="009A70B4" w:rsidRDefault="009A70B4" w:rsidP="09FB152F">
      <w:pPr>
        <w:spacing w:after="120" w:line="240" w:lineRule="auto"/>
        <w:jc w:val="both"/>
        <w:rPr>
          <w:rStyle w:val="normaltextrun"/>
        </w:rPr>
      </w:pPr>
    </w:p>
    <w:p w14:paraId="3DD7BAEA" w14:textId="77777777" w:rsidR="009A70B4" w:rsidRDefault="009A70B4" w:rsidP="09FB152F">
      <w:pPr>
        <w:spacing w:after="120" w:line="240" w:lineRule="auto"/>
        <w:jc w:val="both"/>
        <w:rPr>
          <w:rStyle w:val="normaltextrun"/>
        </w:rPr>
      </w:pPr>
    </w:p>
    <w:p w14:paraId="2EC57C5F" w14:textId="77777777" w:rsidR="009A70B4" w:rsidRDefault="009A70B4" w:rsidP="09FB152F">
      <w:pPr>
        <w:spacing w:after="120" w:line="240" w:lineRule="auto"/>
        <w:jc w:val="both"/>
        <w:rPr>
          <w:rStyle w:val="normaltextrun"/>
        </w:rPr>
      </w:pPr>
    </w:p>
    <w:p w14:paraId="7FC78B48" w14:textId="77777777" w:rsidR="009A70B4" w:rsidRDefault="009A70B4" w:rsidP="09FB152F">
      <w:pPr>
        <w:spacing w:after="120" w:line="240" w:lineRule="auto"/>
        <w:jc w:val="both"/>
        <w:rPr>
          <w:rStyle w:val="normaltextrun"/>
        </w:rPr>
      </w:pPr>
    </w:p>
    <w:p w14:paraId="54FAA0AF" w14:textId="77777777" w:rsidR="009A70B4" w:rsidRDefault="009A70B4" w:rsidP="09FB152F">
      <w:pPr>
        <w:spacing w:after="120" w:line="240" w:lineRule="auto"/>
        <w:jc w:val="both"/>
        <w:rPr>
          <w:rStyle w:val="normaltextrun"/>
        </w:rPr>
      </w:pPr>
    </w:p>
    <w:p w14:paraId="0E050110" w14:textId="77777777" w:rsidR="0002781D" w:rsidRDefault="0002781D" w:rsidP="09FB152F">
      <w:pPr>
        <w:spacing w:after="120" w:line="240" w:lineRule="auto"/>
        <w:jc w:val="both"/>
        <w:rPr>
          <w:rStyle w:val="normaltextrun"/>
        </w:rPr>
      </w:pPr>
    </w:p>
    <w:p w14:paraId="2367DC0F" w14:textId="665811A1" w:rsidR="00887840" w:rsidRDefault="00887840" w:rsidP="007F6227">
      <w:pPr>
        <w:spacing w:after="120" w:line="240" w:lineRule="auto"/>
        <w:rPr>
          <w:rFonts w:cstheme="minorHAnsi"/>
          <w:b/>
          <w:bCs/>
          <w:highlight w:val="lightGray"/>
        </w:rPr>
        <w:sectPr w:rsidR="00887840" w:rsidSect="009E3E1A">
          <w:pgSz w:w="12240" w:h="15840" w:code="1"/>
          <w:pgMar w:top="1440" w:right="1440" w:bottom="1440" w:left="1440" w:header="720" w:footer="720" w:gutter="0"/>
          <w:cols w:space="720"/>
          <w:docGrid w:linePitch="360"/>
        </w:sectPr>
      </w:pPr>
    </w:p>
    <w:p w14:paraId="650DB9D4" w14:textId="7F581FCE" w:rsidR="00887840" w:rsidRDefault="00B90731" w:rsidP="005C3434">
      <w:pPr>
        <w:spacing w:after="120" w:line="240" w:lineRule="auto"/>
        <w:ind w:left="720" w:hanging="720"/>
        <w:rPr>
          <w:rFonts w:cstheme="minorHAnsi"/>
          <w:b/>
          <w:bCs/>
          <w:highlight w:val="lightGray"/>
        </w:rPr>
      </w:pPr>
      <w:r>
        <w:rPr>
          <w:noProof/>
          <w14:ligatures w14:val="none"/>
        </w:rPr>
        <w:lastRenderedPageBreak/>
        <mc:AlternateContent>
          <mc:Choice Requires="wps">
            <w:drawing>
              <wp:anchor distT="0" distB="0" distL="114300" distR="114300" simplePos="0" relativeHeight="251650048" behindDoc="0" locked="0" layoutInCell="1" allowOverlap="1" wp14:anchorId="24B3FE3D" wp14:editId="22AFB2E0">
                <wp:simplePos x="0" y="0"/>
                <wp:positionH relativeFrom="column">
                  <wp:posOffset>1074420</wp:posOffset>
                </wp:positionH>
                <wp:positionV relativeFrom="paragraph">
                  <wp:posOffset>2390195</wp:posOffset>
                </wp:positionV>
                <wp:extent cx="398307" cy="377807"/>
                <wp:effectExtent l="0" t="0" r="20955" b="22860"/>
                <wp:wrapNone/>
                <wp:docPr id="1066719917" name="Oval 1"/>
                <wp:cNvGraphicFramePr/>
                <a:graphic xmlns:a="http://schemas.openxmlformats.org/drawingml/2006/main">
                  <a:graphicData uri="http://schemas.microsoft.com/office/word/2010/wordprocessingShape">
                    <wps:wsp>
                      <wps:cNvSpPr/>
                      <wps:spPr>
                        <a:xfrm>
                          <a:off x="0" y="0"/>
                          <a:ext cx="398307" cy="377807"/>
                        </a:xfrm>
                        <a:prstGeom prst="ellipse">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a:graphicData>
                </a:graphic>
                <wp14:sizeRelV relativeFrom="margin">
                  <wp14:pctHeight>0</wp14:pctHeight>
                </wp14:sizeRelV>
              </wp:anchor>
            </w:drawing>
          </mc:Choice>
          <mc:Fallback>
            <w:pict>
              <v:oval w14:anchorId="6600CF36" id="Oval 1" o:spid="_x0000_s1026" style="position:absolute;margin-left:84.6pt;margin-top:188.2pt;width:31.35pt;height:29.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" fillcolor="#4472c4 [3204]" strokecolor="white [3201]" strokeweight="1pt">
                <v:stroke joinstyle="miter"/>
              </v:oval>
            </w:pict>
          </mc:Fallback>
        </mc:AlternateContent>
      </w:r>
      <w:r w:rsidR="00963B82">
        <w:rPr>
          <w:noProof/>
          <w14:ligatures w14:val="none"/>
        </w:rPr>
        <mc:AlternateContent>
          <mc:Choice Requires="wps">
            <w:drawing>
              <wp:anchor distT="0" distB="0" distL="114300" distR="114300" simplePos="0" relativeHeight="251649024" behindDoc="0" locked="0" layoutInCell="1" allowOverlap="1" wp14:anchorId="3B28C4CD" wp14:editId="721F183A">
                <wp:simplePos x="0" y="0"/>
                <wp:positionH relativeFrom="column">
                  <wp:posOffset>3749399</wp:posOffset>
                </wp:positionH>
                <wp:positionV relativeFrom="paragraph">
                  <wp:posOffset>2418825</wp:posOffset>
                </wp:positionV>
                <wp:extent cx="398307" cy="377807"/>
                <wp:effectExtent l="0" t="0" r="20955" b="22860"/>
                <wp:wrapNone/>
                <wp:docPr id="1733288945" name="Oval 1"/>
                <wp:cNvGraphicFramePr/>
                <a:graphic xmlns:a="http://schemas.openxmlformats.org/drawingml/2006/main">
                  <a:graphicData uri="http://schemas.microsoft.com/office/word/2010/wordprocessingShape">
                    <wps:wsp>
                      <wps:cNvSpPr/>
                      <wps:spPr>
                        <a:xfrm>
                          <a:off x="0" y="0"/>
                          <a:ext cx="398307" cy="377807"/>
                        </a:xfrm>
                        <a:prstGeom prst="ellipse">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a:graphicData>
                </a:graphic>
                <wp14:sizeRelV relativeFrom="margin">
                  <wp14:pctHeight>0</wp14:pctHeight>
                </wp14:sizeRelV>
              </wp:anchor>
            </w:drawing>
          </mc:Choice>
          <mc:Fallback>
            <w:pict>
              <v:oval w14:anchorId="391ED33A" id="Oval 1" o:spid="_x0000_s1026" style="position:absolute;margin-left:295.25pt;margin-top:190.45pt;width:31.35pt;height:29.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" fillcolor="#4472c4 [3204]" strokecolor="white [3201]" strokeweight="1pt">
                <v:stroke joinstyle="miter"/>
              </v:oval>
            </w:pict>
          </mc:Fallback>
        </mc:AlternateContent>
      </w:r>
      <w:r w:rsidR="005C2A57">
        <w:rPr>
          <w:rFonts w:cstheme="minorHAnsi"/>
          <w:noProof/>
          <w14:ligatures w14:val="none"/>
        </w:rPr>
        <w:drawing>
          <wp:inline distT="0" distB="0" distL="0" distR="0" wp14:anchorId="5732B532" wp14:editId="6BE66CBB">
            <wp:extent cx="8448675" cy="4895850"/>
            <wp:effectExtent l="0" t="0" r="0" b="19050"/>
            <wp:docPr id="592669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03DC860" w14:textId="6234F9DF" w:rsidR="00631698" w:rsidRDefault="00844BE7" w:rsidP="007F6227">
      <w:pPr>
        <w:spacing w:after="120" w:line="240" w:lineRule="auto"/>
        <w:rPr>
          <w:rFonts w:cstheme="minorHAnsi"/>
          <w:b/>
          <w:bCs/>
          <w:highlight w:val="lightGray"/>
        </w:rPr>
      </w:pPr>
      <w:r>
        <w:rPr>
          <w:rFonts w:cstheme="minorHAnsi"/>
          <w:b/>
          <w:bCs/>
          <w:highlight w:val="lightGray"/>
        </w:rPr>
        <w:t xml:space="preserve">Figure 1. </w:t>
      </w:r>
      <w:r w:rsidR="00631698" w:rsidRPr="00844BE7">
        <w:rPr>
          <w:rFonts w:cstheme="minorHAnsi"/>
          <w:highlight w:val="lightGray"/>
        </w:rPr>
        <w:t>Transition Period</w:t>
      </w:r>
      <w:r w:rsidRPr="00844BE7">
        <w:rPr>
          <w:rFonts w:cstheme="minorHAnsi"/>
          <w:highlight w:val="lightGray"/>
        </w:rPr>
        <w:t>s</w:t>
      </w:r>
    </w:p>
    <w:p w14:paraId="5C9F76E5" w14:textId="6A86B620" w:rsidR="0084511B" w:rsidRDefault="00A4257F" w:rsidP="007F6227">
      <w:pPr>
        <w:spacing w:after="120" w:line="240" w:lineRule="auto"/>
        <w:rPr>
          <w:noProof/>
          <w14:ligatures w14:val="none"/>
        </w:rPr>
      </w:pPr>
      <w:r>
        <w:rPr>
          <w:noProof/>
          <w14:ligatures w14:val="none"/>
        </w:rPr>
        <w:lastRenderedPageBreak/>
        <w:t xml:space="preserve">                        </w:t>
      </w:r>
      <w:r w:rsidR="00430FA4">
        <w:rPr>
          <w:noProof/>
          <w14:ligatures w14:val="none"/>
        </w:rPr>
        <w:drawing>
          <wp:inline distT="0" distB="0" distL="0" distR="0" wp14:anchorId="52C7E276" wp14:editId="761BAA48">
            <wp:extent cx="6943725" cy="3714750"/>
            <wp:effectExtent l="0" t="0" r="9525" b="0"/>
            <wp:docPr id="1342954127"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0092243E" w:rsidRPr="0092243E">
        <w:rPr>
          <w:noProof/>
          <w14:ligatures w14:val="none"/>
        </w:rPr>
        <w:t xml:space="preserve"> </w:t>
      </w:r>
    </w:p>
    <w:p w14:paraId="0CB374D7" w14:textId="77777777" w:rsidR="00844BE7" w:rsidRDefault="00844BE7" w:rsidP="007F6227">
      <w:pPr>
        <w:spacing w:after="120" w:line="240" w:lineRule="auto"/>
        <w:rPr>
          <w:noProof/>
          <w14:ligatures w14:val="none"/>
        </w:rPr>
      </w:pPr>
    </w:p>
    <w:p w14:paraId="29813A8A" w14:textId="103D153F" w:rsidR="00844BE7" w:rsidRDefault="00844BE7" w:rsidP="007F6227">
      <w:pPr>
        <w:spacing w:after="120" w:line="240" w:lineRule="auto"/>
        <w:rPr>
          <w:noProof/>
          <w14:ligatures w14:val="none"/>
        </w:rPr>
      </w:pPr>
      <w:r w:rsidRPr="00844BE7">
        <w:rPr>
          <w:b/>
          <w:bCs/>
          <w:noProof/>
          <w14:ligatures w14:val="none"/>
        </w:rPr>
        <w:t>Figure 2.</w:t>
      </w:r>
      <w:r>
        <w:rPr>
          <w:noProof/>
          <w14:ligatures w14:val="none"/>
        </w:rPr>
        <w:t xml:space="preserve"> Dates for the Bans</w:t>
      </w:r>
    </w:p>
    <w:p w14:paraId="45745FF0" w14:textId="77777777" w:rsidR="00844BE7" w:rsidRDefault="00844BE7" w:rsidP="007F6227">
      <w:pPr>
        <w:spacing w:after="120" w:line="240" w:lineRule="auto"/>
        <w:rPr>
          <w:noProof/>
          <w14:ligatures w14:val="none"/>
        </w:rPr>
      </w:pPr>
    </w:p>
    <w:p w14:paraId="6271F52D" w14:textId="308C5F7E" w:rsidR="00844BE7" w:rsidRDefault="00844BE7" w:rsidP="007F6227">
      <w:pPr>
        <w:spacing w:after="120" w:line="240" w:lineRule="auto"/>
        <w:rPr>
          <w:rFonts w:cstheme="minorHAnsi"/>
          <w:b/>
          <w:bCs/>
          <w:highlight w:val="lightGray"/>
        </w:rPr>
        <w:sectPr w:rsidR="00844BE7" w:rsidSect="00887840">
          <w:pgSz w:w="15840" w:h="12240" w:orient="landscape" w:code="1"/>
          <w:pgMar w:top="1440" w:right="1440" w:bottom="1440" w:left="1440" w:header="720" w:footer="720" w:gutter="0"/>
          <w:cols w:space="720"/>
          <w:docGrid w:linePitch="360"/>
        </w:sectPr>
      </w:pPr>
    </w:p>
    <w:p w14:paraId="6782738D" w14:textId="77777777" w:rsidR="00F6156F" w:rsidRPr="005346F3" w:rsidRDefault="00F6156F" w:rsidP="007F6227">
      <w:pPr>
        <w:spacing w:after="120" w:line="240" w:lineRule="auto"/>
        <w:rPr>
          <w:rFonts w:eastAsiaTheme="majorEastAsia" w:cstheme="minorHAnsi"/>
          <w:b/>
          <w:bCs/>
          <w:color w:val="2F5496" w:themeColor="accent1" w:themeShade="BF"/>
          <w:sz w:val="32"/>
          <w:szCs w:val="32"/>
          <w:highlight w:val="lightGray"/>
        </w:rPr>
      </w:pPr>
    </w:p>
    <w:p w14:paraId="615E26E0" w14:textId="56107CF3" w:rsidR="00157E35" w:rsidRPr="004B16D8" w:rsidRDefault="3BFA88A1" w:rsidP="008A4391">
      <w:pPr>
        <w:pStyle w:val="Pealkiri1"/>
        <w:numPr>
          <w:ilvl w:val="0"/>
          <w:numId w:val="11"/>
        </w:numPr>
        <w:rPr>
          <w:rFonts w:cstheme="minorHAnsi"/>
          <w:lang w:val="fr-BE"/>
        </w:rPr>
      </w:pPr>
      <w:bookmarkStart w:id="8" w:name="_Toc170394057"/>
      <w:r w:rsidRPr="428422A5">
        <w:rPr>
          <w:lang w:val="fr-BE"/>
        </w:rPr>
        <w:t>I</w:t>
      </w:r>
      <w:r w:rsidR="59F2FC72" w:rsidRPr="428422A5">
        <w:rPr>
          <w:lang w:val="fr-BE"/>
        </w:rPr>
        <w:t>NSTRUCTIONS for USE and DISPOSAL</w:t>
      </w:r>
      <w:bookmarkEnd w:id="8"/>
    </w:p>
    <w:p w14:paraId="6DA2DC36" w14:textId="77777777" w:rsidR="00981557" w:rsidRPr="00BD4430" w:rsidRDefault="00981557" w:rsidP="007F6227">
      <w:pPr>
        <w:spacing w:after="120" w:line="240" w:lineRule="auto"/>
        <w:jc w:val="both"/>
        <w:rPr>
          <w:rFonts w:cstheme="minorHAnsi"/>
          <w:i/>
          <w:iCs/>
        </w:rPr>
      </w:pPr>
    </w:p>
    <w:p w14:paraId="692B0F42" w14:textId="57F6D89E" w:rsidR="006C00BF" w:rsidRPr="005047BA" w:rsidRDefault="006C00BF" w:rsidP="009C6C67">
      <w:pPr>
        <w:pStyle w:val="Pealkiri2"/>
        <w:numPr>
          <w:ilvl w:val="1"/>
          <w:numId w:val="15"/>
        </w:numPr>
        <w:ind w:left="0" w:firstLine="0"/>
        <w:jc w:val="both"/>
      </w:pPr>
      <w:r w:rsidRPr="005047BA">
        <w:t>Could instruction</w:t>
      </w:r>
      <w:r w:rsidR="00981557" w:rsidRPr="005047BA">
        <w:t>s for use and disposal</w:t>
      </w:r>
      <w:r w:rsidRPr="005047BA">
        <w:t xml:space="preserve"> be linked to a specific website communicated to the customers</w:t>
      </w:r>
      <w:r w:rsidR="00B460A0" w:rsidRPr="005047BA">
        <w:t xml:space="preserve"> or can a company use a leaflet (</w:t>
      </w:r>
      <w:r w:rsidRPr="005047BA">
        <w:t>not necessarily linked to QR code</w:t>
      </w:r>
      <w:r w:rsidR="00B460A0" w:rsidRPr="005047BA">
        <w:t>)?</w:t>
      </w:r>
    </w:p>
    <w:p w14:paraId="19265764" w14:textId="3237992B" w:rsidR="006C00BF" w:rsidRPr="00BD4430" w:rsidRDefault="00AD2D9B" w:rsidP="007F6227">
      <w:pPr>
        <w:spacing w:after="120" w:line="240" w:lineRule="auto"/>
        <w:jc w:val="both"/>
        <w:textAlignment w:val="baseline"/>
        <w:rPr>
          <w:rStyle w:val="normaltextrun"/>
          <w:rFonts w:cstheme="minorHAnsi"/>
        </w:rPr>
      </w:pPr>
      <w:r>
        <w:rPr>
          <w:rStyle w:val="normaltextrun"/>
          <w:rFonts w:cstheme="minorHAnsi"/>
        </w:rPr>
        <w:t xml:space="preserve">Yes. </w:t>
      </w:r>
      <w:r w:rsidR="0080483D">
        <w:rPr>
          <w:rStyle w:val="normaltextrun"/>
          <w:rFonts w:cstheme="minorHAnsi"/>
        </w:rPr>
        <w:t xml:space="preserve">The </w:t>
      </w:r>
      <w:r w:rsidR="000E6153" w:rsidRPr="000E6153">
        <w:rPr>
          <w:rStyle w:val="normaltextrun"/>
          <w:rFonts w:cstheme="minorHAnsi"/>
        </w:rPr>
        <w:t>Synthetic Polymer Microparticles</w:t>
      </w:r>
      <w:r w:rsidR="006C00BF" w:rsidRPr="00BD4430">
        <w:rPr>
          <w:rStyle w:val="normaltextrun"/>
          <w:rFonts w:cstheme="minorHAnsi"/>
        </w:rPr>
        <w:t xml:space="preserve"> </w:t>
      </w:r>
      <w:r w:rsidR="00A848E7">
        <w:rPr>
          <w:rStyle w:val="normaltextrun"/>
          <w:rFonts w:cstheme="minorHAnsi"/>
        </w:rPr>
        <w:t>r</w:t>
      </w:r>
      <w:r w:rsidR="00381C64">
        <w:rPr>
          <w:rStyle w:val="normaltextrun"/>
          <w:rFonts w:cstheme="minorHAnsi"/>
        </w:rPr>
        <w:t>estriction</w:t>
      </w:r>
      <w:r w:rsidR="006C00BF" w:rsidRPr="00BD4430">
        <w:rPr>
          <w:rStyle w:val="normaltextrun"/>
          <w:rFonts w:cstheme="minorHAnsi"/>
        </w:rPr>
        <w:t xml:space="preserve"> text recognizes </w:t>
      </w:r>
      <w:r w:rsidR="0080483D">
        <w:rPr>
          <w:rStyle w:val="normaltextrun"/>
          <w:rFonts w:cstheme="minorHAnsi"/>
        </w:rPr>
        <w:t xml:space="preserve">the </w:t>
      </w:r>
      <w:r w:rsidR="006C00BF" w:rsidRPr="00BD4430">
        <w:rPr>
          <w:rStyle w:val="normaltextrun"/>
          <w:rFonts w:cstheme="minorHAnsi"/>
        </w:rPr>
        <w:t>possibility of having different formats to communicate instruction</w:t>
      </w:r>
      <w:r w:rsidR="0080483D">
        <w:rPr>
          <w:rStyle w:val="normaltextrun"/>
          <w:rFonts w:cstheme="minorHAnsi"/>
        </w:rPr>
        <w:t>s</w:t>
      </w:r>
      <w:r w:rsidR="006C00BF" w:rsidRPr="00BD4430">
        <w:rPr>
          <w:rStyle w:val="normaltextrun"/>
          <w:rFonts w:cstheme="minorHAnsi"/>
        </w:rPr>
        <w:t xml:space="preserve"> for use and disposal</w:t>
      </w:r>
      <w:r w:rsidR="00B460A0">
        <w:rPr>
          <w:rStyle w:val="normaltextrun"/>
          <w:rFonts w:cstheme="minorHAnsi"/>
        </w:rPr>
        <w:t>,</w:t>
      </w:r>
      <w:r w:rsidR="008E3F4D" w:rsidRPr="00BD4430">
        <w:rPr>
          <w:rStyle w:val="normaltextrun"/>
          <w:rFonts w:cstheme="minorHAnsi"/>
        </w:rPr>
        <w:t xml:space="preserve"> including digital solutions (to complement text). </w:t>
      </w:r>
    </w:p>
    <w:p w14:paraId="1427AA37" w14:textId="5FA17593" w:rsidR="00B460A0" w:rsidRPr="00C90F9A" w:rsidRDefault="00157E35" w:rsidP="00C90F9A">
      <w:pPr>
        <w:spacing w:after="120" w:line="240" w:lineRule="auto"/>
        <w:jc w:val="both"/>
        <w:rPr>
          <w:rStyle w:val="normaltextrun"/>
          <w:rFonts w:cstheme="minorHAnsi"/>
        </w:rPr>
      </w:pPr>
      <w:r w:rsidRPr="00C90F9A">
        <w:rPr>
          <w:rStyle w:val="normaltextrun"/>
          <w:rFonts w:cstheme="minorHAnsi"/>
        </w:rPr>
        <w:t>According to paragraph 10</w:t>
      </w:r>
      <w:r w:rsidR="00B460A0" w:rsidRPr="00C90F9A">
        <w:rPr>
          <w:rStyle w:val="normaltextrun"/>
          <w:rFonts w:cstheme="minorHAnsi"/>
        </w:rPr>
        <w:t xml:space="preserve"> of the </w:t>
      </w:r>
      <w:r w:rsidR="00A848E7" w:rsidRPr="00C90F9A">
        <w:rPr>
          <w:rStyle w:val="normaltextrun"/>
          <w:rFonts w:cstheme="minorHAnsi"/>
        </w:rPr>
        <w:t>r</w:t>
      </w:r>
      <w:r w:rsidR="00381C64" w:rsidRPr="00C90F9A">
        <w:rPr>
          <w:rStyle w:val="normaltextrun"/>
          <w:rFonts w:cstheme="minorHAnsi"/>
        </w:rPr>
        <w:t>estriction</w:t>
      </w:r>
      <w:r w:rsidRPr="00C90F9A">
        <w:rPr>
          <w:rStyle w:val="normaltextrun"/>
          <w:rFonts w:cstheme="minorHAnsi"/>
        </w:rPr>
        <w:t xml:space="preserve">, the information </w:t>
      </w:r>
      <w:r w:rsidR="00B460A0" w:rsidRPr="00C90F9A">
        <w:rPr>
          <w:rStyle w:val="normaltextrun"/>
          <w:rFonts w:cstheme="minorHAnsi"/>
        </w:rPr>
        <w:t>requirements</w:t>
      </w:r>
      <w:r w:rsidRPr="00C90F9A">
        <w:rPr>
          <w:rStyle w:val="normaltextrun"/>
          <w:rFonts w:cstheme="minorHAnsi"/>
        </w:rPr>
        <w:t xml:space="preserve"> under paragraph 7 can be communicated in the form of clearly visible, legible and indelible text by different means</w:t>
      </w:r>
      <w:r w:rsidR="006C00BF" w:rsidRPr="00C90F9A">
        <w:rPr>
          <w:rStyle w:val="normaltextrun"/>
          <w:rFonts w:cstheme="minorHAnsi"/>
        </w:rPr>
        <w:t xml:space="preserve"> including:</w:t>
      </w:r>
      <w:r w:rsidRPr="00C90F9A">
        <w:rPr>
          <w:rStyle w:val="normaltextrun"/>
          <w:rFonts w:cstheme="minorHAnsi"/>
        </w:rPr>
        <w:t xml:space="preserve"> </w:t>
      </w:r>
    </w:p>
    <w:p w14:paraId="1E19EEA3" w14:textId="476F4E9D" w:rsidR="008E3F4D" w:rsidRPr="00BD4430" w:rsidRDefault="008E3F4D" w:rsidP="008A4391">
      <w:pPr>
        <w:pStyle w:val="Loendilik"/>
        <w:numPr>
          <w:ilvl w:val="0"/>
          <w:numId w:val="4"/>
        </w:numPr>
        <w:spacing w:before="0" w:after="120" w:line="240" w:lineRule="auto"/>
        <w:contextualSpacing w:val="0"/>
        <w:jc w:val="both"/>
        <w:rPr>
          <w:rStyle w:val="normaltextrun"/>
          <w:rFonts w:asciiTheme="minorHAnsi" w:eastAsiaTheme="minorHAnsi" w:hAnsiTheme="minorHAnsi" w:cstheme="minorHAnsi"/>
          <w:color w:val="auto"/>
        </w:rPr>
      </w:pPr>
      <w:r w:rsidRPr="00BD4430">
        <w:rPr>
          <w:rStyle w:val="normaltextrun"/>
          <w:rFonts w:asciiTheme="minorHAnsi" w:eastAsiaTheme="minorHAnsi" w:hAnsiTheme="minorHAnsi" w:cstheme="minorHAnsi"/>
          <w:color w:val="auto"/>
        </w:rPr>
        <w:t>Label</w:t>
      </w:r>
    </w:p>
    <w:p w14:paraId="37C957E5" w14:textId="41E29E15" w:rsidR="00157E35" w:rsidRPr="00BD4430" w:rsidRDefault="00B460A0" w:rsidP="008A4391">
      <w:pPr>
        <w:pStyle w:val="Loendilik"/>
        <w:numPr>
          <w:ilvl w:val="0"/>
          <w:numId w:val="4"/>
        </w:numPr>
        <w:spacing w:before="0" w:after="120" w:line="240" w:lineRule="auto"/>
        <w:contextualSpacing w:val="0"/>
        <w:jc w:val="both"/>
        <w:rPr>
          <w:rStyle w:val="normaltextrun"/>
          <w:rFonts w:asciiTheme="minorHAnsi" w:eastAsiaTheme="minorHAnsi" w:hAnsiTheme="minorHAnsi" w:cstheme="minorHAnsi"/>
          <w:color w:val="auto"/>
        </w:rPr>
      </w:pPr>
      <w:r>
        <w:rPr>
          <w:rStyle w:val="normaltextrun"/>
          <w:rFonts w:asciiTheme="minorHAnsi" w:eastAsiaTheme="minorHAnsi" w:hAnsiTheme="minorHAnsi" w:cstheme="minorHAnsi"/>
          <w:color w:val="auto"/>
        </w:rPr>
        <w:t>L</w:t>
      </w:r>
      <w:r w:rsidRPr="00BD4430">
        <w:rPr>
          <w:rStyle w:val="normaltextrun"/>
          <w:rFonts w:asciiTheme="minorHAnsi" w:eastAsiaTheme="minorHAnsi" w:hAnsiTheme="minorHAnsi" w:cstheme="minorHAnsi"/>
          <w:color w:val="auto"/>
        </w:rPr>
        <w:t>eaflet</w:t>
      </w:r>
    </w:p>
    <w:p w14:paraId="423DB459" w14:textId="10F078F5" w:rsidR="00157E35" w:rsidRPr="00BD4430" w:rsidRDefault="00B460A0" w:rsidP="008A4391">
      <w:pPr>
        <w:pStyle w:val="Loendilik"/>
        <w:numPr>
          <w:ilvl w:val="0"/>
          <w:numId w:val="4"/>
        </w:numPr>
        <w:spacing w:before="0" w:after="120" w:line="240" w:lineRule="auto"/>
        <w:contextualSpacing w:val="0"/>
        <w:jc w:val="both"/>
        <w:rPr>
          <w:rStyle w:val="normaltextrun"/>
          <w:rFonts w:asciiTheme="minorHAnsi" w:eastAsiaTheme="minorHAnsi" w:hAnsiTheme="minorHAnsi" w:cstheme="minorHAnsi"/>
          <w:color w:val="auto"/>
        </w:rPr>
      </w:pPr>
      <w:r>
        <w:rPr>
          <w:rStyle w:val="normaltextrun"/>
          <w:rFonts w:asciiTheme="minorHAnsi" w:eastAsiaTheme="minorHAnsi" w:hAnsiTheme="minorHAnsi" w:cstheme="minorHAnsi"/>
          <w:color w:val="auto"/>
        </w:rPr>
        <w:t>S</w:t>
      </w:r>
      <w:r w:rsidR="00157E35" w:rsidRPr="00BD4430">
        <w:rPr>
          <w:rStyle w:val="normaltextrun"/>
          <w:rFonts w:asciiTheme="minorHAnsi" w:eastAsiaTheme="minorHAnsi" w:hAnsiTheme="minorHAnsi" w:cstheme="minorHAnsi"/>
          <w:color w:val="auto"/>
        </w:rPr>
        <w:t>afety data sheet</w:t>
      </w:r>
      <w:r w:rsidR="00F83346" w:rsidRPr="00BD4430">
        <w:rPr>
          <w:rStyle w:val="normaltextrun"/>
          <w:rFonts w:asciiTheme="minorHAnsi" w:eastAsiaTheme="minorHAnsi" w:hAnsiTheme="minorHAnsi" w:cstheme="minorHAnsi"/>
          <w:color w:val="auto"/>
        </w:rPr>
        <w:t xml:space="preserve"> </w:t>
      </w:r>
    </w:p>
    <w:p w14:paraId="543C9119" w14:textId="2A466085" w:rsidR="00157E35" w:rsidRPr="00BD4430" w:rsidRDefault="00B460A0" w:rsidP="008A4391">
      <w:pPr>
        <w:pStyle w:val="Loendilik"/>
        <w:numPr>
          <w:ilvl w:val="0"/>
          <w:numId w:val="4"/>
        </w:numPr>
        <w:spacing w:before="0" w:after="120" w:line="240" w:lineRule="auto"/>
        <w:contextualSpacing w:val="0"/>
        <w:jc w:val="both"/>
        <w:rPr>
          <w:rStyle w:val="normaltextrun"/>
          <w:rFonts w:asciiTheme="minorHAnsi" w:eastAsiaTheme="minorHAnsi" w:hAnsiTheme="minorHAnsi" w:cstheme="minorHAnsi"/>
          <w:color w:val="auto"/>
        </w:rPr>
      </w:pPr>
      <w:r>
        <w:rPr>
          <w:rStyle w:val="normaltextrun"/>
          <w:rFonts w:asciiTheme="minorHAnsi" w:eastAsiaTheme="minorHAnsi" w:hAnsiTheme="minorHAnsi" w:cstheme="minorHAnsi"/>
          <w:color w:val="auto"/>
        </w:rPr>
        <w:t>P</w:t>
      </w:r>
      <w:r w:rsidR="00157E35" w:rsidRPr="00BD4430">
        <w:rPr>
          <w:rStyle w:val="normaltextrun"/>
          <w:rFonts w:asciiTheme="minorHAnsi" w:eastAsiaTheme="minorHAnsi" w:hAnsiTheme="minorHAnsi" w:cstheme="minorHAnsi"/>
          <w:color w:val="auto"/>
        </w:rPr>
        <w:t>ackaging</w:t>
      </w:r>
      <w:r w:rsidR="008E3F4D" w:rsidRPr="00BD4430">
        <w:rPr>
          <w:rStyle w:val="normaltextrun"/>
          <w:rFonts w:asciiTheme="minorHAnsi" w:eastAsiaTheme="minorHAnsi" w:hAnsiTheme="minorHAnsi" w:cstheme="minorHAnsi"/>
          <w:color w:val="auto"/>
        </w:rPr>
        <w:t xml:space="preserve"> </w:t>
      </w:r>
    </w:p>
    <w:tbl>
      <w:tblPr>
        <w:tblStyle w:val="Kontuurtabel"/>
        <w:tblW w:w="0" w:type="auto"/>
        <w:tblLook w:val="04A0" w:firstRow="1" w:lastRow="0" w:firstColumn="1" w:lastColumn="0" w:noHBand="0" w:noVBand="1"/>
      </w:tblPr>
      <w:tblGrid>
        <w:gridCol w:w="9350"/>
      </w:tblGrid>
      <w:tr w:rsidR="00B460A0" w14:paraId="46B3D8BE" w14:textId="77777777" w:rsidTr="00B4370B">
        <w:tc>
          <w:tcPr>
            <w:tcW w:w="9350" w:type="dxa"/>
            <w:shd w:val="clear" w:color="auto" w:fill="DEEAF6" w:themeFill="accent5" w:themeFillTint="33"/>
          </w:tcPr>
          <w:p w14:paraId="04AEF32E" w14:textId="70A84C31" w:rsidR="00B460A0" w:rsidRDefault="00B460A0" w:rsidP="007F6227">
            <w:pPr>
              <w:spacing w:after="120"/>
              <w:jc w:val="both"/>
              <w:rPr>
                <w:rFonts w:cstheme="minorHAnsi"/>
              </w:rPr>
            </w:pPr>
            <w:r w:rsidRPr="00B460A0">
              <w:rPr>
                <w:rFonts w:eastAsia="Times New Roman" w:cstheme="minorHAnsi"/>
                <w:i/>
                <w:iCs/>
                <w:color w:val="333333"/>
              </w:rPr>
              <w:t>(10)</w:t>
            </w:r>
            <w:r>
              <w:rPr>
                <w:rFonts w:eastAsia="Times New Roman" w:cstheme="minorHAnsi"/>
                <w:i/>
                <w:iCs/>
                <w:color w:val="333333"/>
              </w:rPr>
              <w:t xml:space="preserve"> </w:t>
            </w:r>
            <w:r w:rsidRPr="00B460A0">
              <w:rPr>
                <w:rFonts w:eastAsia="Times New Roman" w:cstheme="minorHAnsi"/>
                <w:i/>
                <w:iCs/>
                <w:color w:val="333333"/>
              </w:rPr>
              <w:t xml:space="preserve">The information referred to in paragraphs 7, 8 and 9 shall be provided in the form of clearly visible, legible and indelible text or, where appropriate regarding the information in paragraphs 7 and 8, in the form of pictograms. The text or pictograms shall be placed on the </w:t>
            </w:r>
            <w:r w:rsidRPr="00B460A0">
              <w:rPr>
                <w:rFonts w:eastAsia="Times New Roman" w:cstheme="minorHAnsi"/>
                <w:b/>
                <w:bCs/>
                <w:i/>
                <w:iCs/>
                <w:color w:val="333333"/>
              </w:rPr>
              <w:t>label</w:t>
            </w:r>
            <w:r w:rsidRPr="00B460A0">
              <w:rPr>
                <w:rFonts w:eastAsia="Times New Roman" w:cstheme="minorHAnsi"/>
                <w:i/>
                <w:iCs/>
                <w:color w:val="333333"/>
              </w:rPr>
              <w:t xml:space="preserve">, the </w:t>
            </w:r>
            <w:r w:rsidRPr="00B460A0">
              <w:rPr>
                <w:rFonts w:eastAsia="Times New Roman" w:cstheme="minorHAnsi"/>
                <w:b/>
                <w:bCs/>
                <w:i/>
                <w:iCs/>
                <w:color w:val="333333"/>
              </w:rPr>
              <w:t>packaging</w:t>
            </w:r>
            <w:r w:rsidRPr="00B460A0">
              <w:rPr>
                <w:rFonts w:eastAsia="Times New Roman" w:cstheme="minorHAnsi"/>
                <w:i/>
                <w:iCs/>
                <w:color w:val="333333"/>
              </w:rPr>
              <w:t xml:space="preserve">, or the package </w:t>
            </w:r>
            <w:r w:rsidRPr="00B460A0">
              <w:rPr>
                <w:rFonts w:eastAsia="Times New Roman" w:cstheme="minorHAnsi"/>
                <w:b/>
                <w:bCs/>
                <w:i/>
                <w:iCs/>
                <w:color w:val="333333"/>
              </w:rPr>
              <w:t>leaflet</w:t>
            </w:r>
            <w:r w:rsidRPr="00B460A0">
              <w:rPr>
                <w:rFonts w:eastAsia="Times New Roman" w:cstheme="minorHAnsi"/>
                <w:i/>
                <w:iCs/>
                <w:color w:val="333333"/>
              </w:rPr>
              <w:t xml:space="preserve"> of the products containing synthetic polymer microparticles or, regarding the information in paragraph 7, on the </w:t>
            </w:r>
            <w:r w:rsidRPr="00B460A0">
              <w:rPr>
                <w:rFonts w:eastAsia="Times New Roman" w:cstheme="minorHAnsi"/>
                <w:b/>
                <w:bCs/>
                <w:i/>
                <w:iCs/>
                <w:color w:val="333333"/>
              </w:rPr>
              <w:t>safety data sheet</w:t>
            </w:r>
            <w:r w:rsidRPr="00B460A0">
              <w:rPr>
                <w:rFonts w:eastAsia="Times New Roman" w:cstheme="minorHAnsi"/>
                <w:i/>
                <w:iCs/>
                <w:color w:val="333333"/>
              </w:rPr>
              <w:t xml:space="preserve">. In addition to the text or pictograms, suppliers may provide a </w:t>
            </w:r>
            <w:r w:rsidRPr="00B460A0">
              <w:rPr>
                <w:rFonts w:eastAsia="Times New Roman" w:cstheme="minorHAnsi"/>
                <w:b/>
                <w:bCs/>
                <w:i/>
                <w:iCs/>
                <w:color w:val="333333"/>
              </w:rPr>
              <w:t>digital tool that gives access to an electronic version of that information</w:t>
            </w:r>
            <w:r w:rsidRPr="00B460A0">
              <w:rPr>
                <w:rFonts w:eastAsia="Times New Roman" w:cstheme="minorHAnsi"/>
                <w:i/>
                <w:iCs/>
                <w:color w:val="333333"/>
              </w:rPr>
              <w:t>.</w:t>
            </w:r>
          </w:p>
        </w:tc>
      </w:tr>
    </w:tbl>
    <w:p w14:paraId="17B35064" w14:textId="77777777" w:rsidR="00B460A0" w:rsidRDefault="00B460A0" w:rsidP="007F6227">
      <w:pPr>
        <w:tabs>
          <w:tab w:val="left" w:pos="6670"/>
        </w:tabs>
        <w:spacing w:after="120" w:line="240" w:lineRule="auto"/>
        <w:jc w:val="both"/>
        <w:rPr>
          <w:rFonts w:cstheme="minorHAnsi"/>
        </w:rPr>
      </w:pPr>
    </w:p>
    <w:p w14:paraId="741D5A7E" w14:textId="551FC2BA" w:rsidR="006C00BF" w:rsidRPr="00BD4430" w:rsidRDefault="00B460A0" w:rsidP="007F6227">
      <w:pPr>
        <w:tabs>
          <w:tab w:val="left" w:pos="6670"/>
        </w:tabs>
        <w:spacing w:after="120" w:line="240" w:lineRule="auto"/>
        <w:jc w:val="both"/>
        <w:rPr>
          <w:rFonts w:cstheme="minorHAnsi"/>
        </w:rPr>
      </w:pPr>
      <w:r>
        <w:rPr>
          <w:rFonts w:cstheme="minorHAnsi"/>
        </w:rPr>
        <w:tab/>
      </w:r>
    </w:p>
    <w:p w14:paraId="725669E7" w14:textId="3C06BD6C" w:rsidR="00157E35" w:rsidRPr="001805CD" w:rsidRDefault="00157E35" w:rsidP="008A4391">
      <w:pPr>
        <w:pStyle w:val="Pealkiri2"/>
        <w:numPr>
          <w:ilvl w:val="1"/>
          <w:numId w:val="15"/>
        </w:numPr>
        <w:ind w:left="0" w:firstLine="66"/>
        <w:jc w:val="both"/>
        <w:rPr>
          <w:rFonts w:eastAsia="Calibri" w:cstheme="minorHAnsi"/>
          <w:color w:val="4472C4" w:themeColor="accent1"/>
        </w:rPr>
      </w:pPr>
      <w:r w:rsidRPr="001805CD">
        <w:rPr>
          <w:rFonts w:eastAsia="Calibri" w:cstheme="minorHAnsi"/>
          <w:color w:val="4472C4" w:themeColor="accent1"/>
        </w:rPr>
        <w:t>Will a statement like ‘disposal in accordance with local regulations’ be acceptable?</w:t>
      </w:r>
    </w:p>
    <w:p w14:paraId="1918AF29" w14:textId="59061B1F" w:rsidR="00981557" w:rsidRPr="00BD4430" w:rsidRDefault="00157E35" w:rsidP="6F7C8F2C">
      <w:pPr>
        <w:pStyle w:val="paragraph"/>
        <w:spacing w:before="0" w:beforeAutospacing="0" w:after="120" w:afterAutospacing="0"/>
        <w:jc w:val="both"/>
        <w:rPr>
          <w:rFonts w:asciiTheme="minorHAnsi" w:hAnsiTheme="minorHAnsi" w:cstheme="minorBidi"/>
          <w:sz w:val="22"/>
          <w:szCs w:val="22"/>
        </w:rPr>
      </w:pPr>
      <w:r w:rsidRPr="6F64A1CA">
        <w:rPr>
          <w:rFonts w:asciiTheme="minorHAnsi" w:hAnsiTheme="minorHAnsi" w:cstheme="minorBidi"/>
          <w:sz w:val="22"/>
          <w:szCs w:val="22"/>
        </w:rPr>
        <w:t xml:space="preserve">The text used for the instructions for use and disposal should have a clear reference to the product and should give the </w:t>
      </w:r>
      <w:r w:rsidR="00734C4A">
        <w:rPr>
          <w:rFonts w:asciiTheme="minorHAnsi" w:hAnsiTheme="minorHAnsi" w:cstheme="minorBidi"/>
          <w:sz w:val="22"/>
          <w:szCs w:val="22"/>
        </w:rPr>
        <w:t>industrial downstream user</w:t>
      </w:r>
      <w:r w:rsidR="00A9729F">
        <w:rPr>
          <w:rFonts w:asciiTheme="minorHAnsi" w:hAnsiTheme="minorHAnsi" w:cstheme="minorBidi"/>
          <w:sz w:val="22"/>
          <w:szCs w:val="22"/>
        </w:rPr>
        <w:t>/professional user/</w:t>
      </w:r>
      <w:r w:rsidRPr="6F64A1CA">
        <w:rPr>
          <w:rFonts w:asciiTheme="minorHAnsi" w:hAnsiTheme="minorHAnsi" w:cstheme="minorBidi"/>
          <w:sz w:val="22"/>
          <w:szCs w:val="22"/>
        </w:rPr>
        <w:t>consumer</w:t>
      </w:r>
      <w:r w:rsidR="008E3F4D" w:rsidRPr="6F64A1CA">
        <w:rPr>
          <w:rFonts w:asciiTheme="minorHAnsi" w:hAnsiTheme="minorHAnsi" w:cstheme="minorBidi"/>
          <w:sz w:val="22"/>
          <w:szCs w:val="22"/>
        </w:rPr>
        <w:t xml:space="preserve"> / end-user</w:t>
      </w:r>
      <w:r w:rsidRPr="6F64A1CA">
        <w:rPr>
          <w:rFonts w:asciiTheme="minorHAnsi" w:hAnsiTheme="minorHAnsi" w:cstheme="minorBidi"/>
          <w:sz w:val="22"/>
          <w:szCs w:val="22"/>
        </w:rPr>
        <w:t xml:space="preserve"> the opportunity to use and dispose</w:t>
      </w:r>
      <w:r w:rsidR="235BF870" w:rsidRPr="6F64A1CA">
        <w:rPr>
          <w:rFonts w:asciiTheme="minorHAnsi" w:hAnsiTheme="minorHAnsi" w:cstheme="minorBidi"/>
          <w:sz w:val="22"/>
          <w:szCs w:val="22"/>
        </w:rPr>
        <w:t xml:space="preserve"> of</w:t>
      </w:r>
      <w:r w:rsidRPr="6F64A1CA">
        <w:rPr>
          <w:rFonts w:asciiTheme="minorHAnsi" w:hAnsiTheme="minorHAnsi" w:cstheme="minorBidi"/>
          <w:sz w:val="22"/>
          <w:szCs w:val="22"/>
        </w:rPr>
        <w:t xml:space="preserve"> the product properly to </w:t>
      </w:r>
      <w:r w:rsidR="00B460A0" w:rsidRPr="6F64A1CA">
        <w:rPr>
          <w:rFonts w:asciiTheme="minorHAnsi" w:hAnsiTheme="minorHAnsi" w:cstheme="minorBidi"/>
          <w:sz w:val="22"/>
          <w:szCs w:val="22"/>
        </w:rPr>
        <w:t xml:space="preserve">minimize </w:t>
      </w:r>
      <w:r w:rsidRPr="6F64A1CA">
        <w:rPr>
          <w:rFonts w:asciiTheme="minorHAnsi" w:hAnsiTheme="minorHAnsi" w:cstheme="minorBidi"/>
          <w:sz w:val="22"/>
          <w:szCs w:val="22"/>
        </w:rPr>
        <w:t>any releases to the environment</w:t>
      </w:r>
      <w:r w:rsidR="00895BCB" w:rsidRPr="6F64A1CA">
        <w:rPr>
          <w:rFonts w:asciiTheme="minorHAnsi" w:hAnsiTheme="minorHAnsi" w:cstheme="minorBidi"/>
          <w:sz w:val="22"/>
          <w:szCs w:val="22"/>
        </w:rPr>
        <w:t xml:space="preserve">. This </w:t>
      </w:r>
      <w:r w:rsidR="00B460A0" w:rsidRPr="6F64A1CA">
        <w:rPr>
          <w:rFonts w:asciiTheme="minorHAnsi" w:hAnsiTheme="minorHAnsi" w:cstheme="minorBidi"/>
          <w:sz w:val="22"/>
          <w:szCs w:val="22"/>
        </w:rPr>
        <w:t xml:space="preserve">information will be product specific. </w:t>
      </w:r>
      <w:r w:rsidRPr="6F64A1CA">
        <w:rPr>
          <w:rFonts w:asciiTheme="minorHAnsi" w:hAnsiTheme="minorHAnsi" w:cstheme="minorBidi"/>
          <w:sz w:val="22"/>
          <w:szCs w:val="22"/>
        </w:rPr>
        <w:t xml:space="preserve"> </w:t>
      </w:r>
    </w:p>
    <w:p w14:paraId="5D204C7B" w14:textId="20470F44" w:rsidR="00895BCB" w:rsidRPr="00BD4430" w:rsidRDefault="004F2CD0" w:rsidP="007F6227">
      <w:pPr>
        <w:pStyle w:val="paragraph"/>
        <w:spacing w:before="0" w:beforeAutospacing="0" w:after="120" w:afterAutospacing="0"/>
        <w:jc w:val="both"/>
        <w:rPr>
          <w:rFonts w:asciiTheme="minorHAnsi" w:hAnsiTheme="minorHAnsi" w:cstheme="minorHAnsi"/>
          <w:sz w:val="22"/>
          <w:szCs w:val="22"/>
        </w:rPr>
      </w:pPr>
      <w:r w:rsidRPr="00BD4430">
        <w:rPr>
          <w:rFonts w:asciiTheme="minorHAnsi" w:hAnsiTheme="minorHAnsi" w:cstheme="minorHAnsi"/>
          <w:sz w:val="22"/>
          <w:szCs w:val="22"/>
        </w:rPr>
        <w:t>Recital 25</w:t>
      </w:r>
      <w:r w:rsidR="00981557" w:rsidRPr="00BD4430">
        <w:rPr>
          <w:rFonts w:asciiTheme="minorHAnsi" w:hAnsiTheme="minorHAnsi" w:cstheme="minorHAnsi"/>
          <w:sz w:val="22"/>
          <w:szCs w:val="22"/>
        </w:rPr>
        <w:t xml:space="preserve"> </w:t>
      </w:r>
      <w:r w:rsidR="008A7F9D" w:rsidRPr="00BD4430">
        <w:rPr>
          <w:rFonts w:asciiTheme="minorHAnsi" w:hAnsiTheme="minorHAnsi" w:cstheme="minorHAnsi"/>
          <w:sz w:val="22"/>
          <w:szCs w:val="22"/>
        </w:rPr>
        <w:t>mentions that instruction</w:t>
      </w:r>
      <w:r w:rsidR="00AC0A2A">
        <w:rPr>
          <w:rFonts w:asciiTheme="minorHAnsi" w:hAnsiTheme="minorHAnsi" w:cstheme="minorHAnsi"/>
          <w:sz w:val="22"/>
          <w:szCs w:val="22"/>
        </w:rPr>
        <w:t>s</w:t>
      </w:r>
      <w:r w:rsidR="008A7F9D" w:rsidRPr="00BD4430">
        <w:rPr>
          <w:rFonts w:asciiTheme="minorHAnsi" w:hAnsiTheme="minorHAnsi" w:cstheme="minorHAnsi"/>
          <w:sz w:val="22"/>
          <w:szCs w:val="22"/>
        </w:rPr>
        <w:t xml:space="preserve"> should explain</w:t>
      </w:r>
      <w:r w:rsidR="00AC0A2A">
        <w:rPr>
          <w:rFonts w:asciiTheme="minorHAnsi" w:hAnsiTheme="minorHAnsi" w:cstheme="minorHAnsi"/>
          <w:sz w:val="22"/>
          <w:szCs w:val="22"/>
        </w:rPr>
        <w:t xml:space="preserve"> the</w:t>
      </w:r>
      <w:r w:rsidR="008A7F9D" w:rsidRPr="00BD4430">
        <w:rPr>
          <w:rFonts w:asciiTheme="minorHAnsi" w:hAnsiTheme="minorHAnsi" w:cstheme="minorHAnsi"/>
          <w:sz w:val="22"/>
          <w:szCs w:val="22"/>
        </w:rPr>
        <w:t xml:space="preserve"> </w:t>
      </w:r>
      <w:r w:rsidR="00B91B93">
        <w:rPr>
          <w:rFonts w:asciiTheme="minorHAnsi" w:hAnsiTheme="minorHAnsi" w:cstheme="minorHAnsi"/>
          <w:sz w:val="22"/>
          <w:szCs w:val="22"/>
        </w:rPr>
        <w:t>pr</w:t>
      </w:r>
      <w:r w:rsidR="009E3154">
        <w:rPr>
          <w:rFonts w:asciiTheme="minorHAnsi" w:hAnsiTheme="minorHAnsi" w:cstheme="minorHAnsi"/>
          <w:sz w:val="22"/>
          <w:szCs w:val="22"/>
        </w:rPr>
        <w:t xml:space="preserve">oper </w:t>
      </w:r>
      <w:r w:rsidR="008A7F9D" w:rsidRPr="00BD4430">
        <w:rPr>
          <w:rFonts w:asciiTheme="minorHAnsi" w:hAnsiTheme="minorHAnsi" w:cstheme="minorHAnsi"/>
          <w:sz w:val="22"/>
          <w:szCs w:val="22"/>
        </w:rPr>
        <w:t>use and disposal</w:t>
      </w:r>
      <w:r w:rsidR="00C62D5A">
        <w:rPr>
          <w:rFonts w:asciiTheme="minorHAnsi" w:hAnsiTheme="minorHAnsi" w:cstheme="minorHAnsi"/>
          <w:sz w:val="22"/>
          <w:szCs w:val="22"/>
        </w:rPr>
        <w:t xml:space="preserve"> </w:t>
      </w:r>
      <w:r w:rsidR="009E3154">
        <w:rPr>
          <w:rFonts w:asciiTheme="minorHAnsi" w:hAnsiTheme="minorHAnsi" w:cstheme="minorHAnsi"/>
          <w:sz w:val="22"/>
          <w:szCs w:val="22"/>
        </w:rPr>
        <w:t>of the</w:t>
      </w:r>
      <w:r w:rsidR="00A9729F">
        <w:rPr>
          <w:rFonts w:asciiTheme="minorHAnsi" w:hAnsiTheme="minorHAnsi" w:cstheme="minorHAnsi"/>
          <w:sz w:val="22"/>
          <w:szCs w:val="22"/>
        </w:rPr>
        <w:t xml:space="preserve"> SPM</w:t>
      </w:r>
      <w:r w:rsidR="008A7F9D" w:rsidRPr="00BD4430">
        <w:rPr>
          <w:rFonts w:asciiTheme="minorHAnsi" w:hAnsiTheme="minorHAnsi" w:cstheme="minorHAnsi"/>
          <w:sz w:val="22"/>
          <w:szCs w:val="22"/>
        </w:rPr>
        <w:t xml:space="preserve">. </w:t>
      </w:r>
      <w:r w:rsidR="00157E35" w:rsidRPr="00BD4430">
        <w:rPr>
          <w:rFonts w:asciiTheme="minorHAnsi" w:hAnsiTheme="minorHAnsi" w:cstheme="minorHAnsi"/>
          <w:sz w:val="22"/>
          <w:szCs w:val="22"/>
        </w:rPr>
        <w:t xml:space="preserve"> </w:t>
      </w:r>
    </w:p>
    <w:p w14:paraId="72EEC7B9" w14:textId="77777777" w:rsidR="00282AEA" w:rsidRPr="00BD4430" w:rsidRDefault="00282AEA" w:rsidP="007F6227">
      <w:pPr>
        <w:pStyle w:val="paragraph"/>
        <w:spacing w:before="0" w:beforeAutospacing="0" w:after="120" w:afterAutospacing="0"/>
        <w:jc w:val="both"/>
        <w:rPr>
          <w:rFonts w:asciiTheme="minorHAnsi" w:hAnsiTheme="minorHAnsi" w:cstheme="minorHAnsi"/>
          <w:sz w:val="22"/>
          <w:szCs w:val="22"/>
        </w:rPr>
      </w:pPr>
    </w:p>
    <w:tbl>
      <w:tblPr>
        <w:tblStyle w:val="Kontuurtabel"/>
        <w:tblW w:w="0" w:type="auto"/>
        <w:shd w:val="clear" w:color="auto" w:fill="D9E2F3" w:themeFill="accent1" w:themeFillTint="33"/>
        <w:tblLook w:val="04A0" w:firstRow="1" w:lastRow="0" w:firstColumn="1" w:lastColumn="0" w:noHBand="0" w:noVBand="1"/>
      </w:tblPr>
      <w:tblGrid>
        <w:gridCol w:w="9350"/>
      </w:tblGrid>
      <w:tr w:rsidR="007D6DAD" w14:paraId="57775C4C" w14:textId="77777777" w:rsidTr="007D6DAD">
        <w:tc>
          <w:tcPr>
            <w:tcW w:w="9350" w:type="dxa"/>
            <w:shd w:val="clear" w:color="auto" w:fill="D9E2F3" w:themeFill="accent1" w:themeFillTint="33"/>
          </w:tcPr>
          <w:p w14:paraId="59381480" w14:textId="1EE05DF4" w:rsidR="007D6DAD" w:rsidRDefault="007D6DAD" w:rsidP="007F6227">
            <w:pPr>
              <w:pStyle w:val="paragraph"/>
              <w:spacing w:before="0" w:beforeAutospacing="0" w:after="120" w:afterAutospacing="0"/>
              <w:jc w:val="both"/>
              <w:rPr>
                <w:rFonts w:asciiTheme="minorHAnsi" w:hAnsiTheme="minorHAnsi" w:cstheme="minorHAnsi"/>
                <w:i/>
                <w:iCs/>
                <w:color w:val="333333"/>
                <w:sz w:val="22"/>
                <w:szCs w:val="22"/>
              </w:rPr>
            </w:pPr>
            <w:r w:rsidRPr="00BD4430">
              <w:rPr>
                <w:rFonts w:asciiTheme="minorHAnsi" w:hAnsiTheme="minorHAnsi" w:cstheme="minorHAnsi"/>
                <w:i/>
                <w:iCs/>
                <w:color w:val="333333"/>
                <w:sz w:val="22"/>
                <w:szCs w:val="22"/>
              </w:rPr>
              <w:t xml:space="preserve">(25) Where pollution in the environment from synthetic polymer microparticles can be minimized by the requirement to provide instructions for use and disposal, the Annex XV dossier proposed a derogation from the prohibition of placing on the market. Those instructions should explain how to properly use and dispose of products </w:t>
            </w:r>
            <w:proofErr w:type="gramStart"/>
            <w:r w:rsidRPr="00BD4430">
              <w:rPr>
                <w:rFonts w:asciiTheme="minorHAnsi" w:hAnsiTheme="minorHAnsi" w:cstheme="minorHAnsi"/>
                <w:i/>
                <w:iCs/>
                <w:color w:val="333333"/>
                <w:sz w:val="22"/>
                <w:szCs w:val="22"/>
              </w:rPr>
              <w:t>in order to</w:t>
            </w:r>
            <w:proofErr w:type="gramEnd"/>
            <w:r w:rsidRPr="00BD4430">
              <w:rPr>
                <w:rFonts w:asciiTheme="minorHAnsi" w:hAnsiTheme="minorHAnsi" w:cstheme="minorHAnsi"/>
                <w:i/>
                <w:iCs/>
                <w:color w:val="333333"/>
                <w:sz w:val="22"/>
                <w:szCs w:val="22"/>
              </w:rPr>
              <w:t xml:space="preserve"> minimize releases to the environment.</w:t>
            </w:r>
          </w:p>
        </w:tc>
      </w:tr>
    </w:tbl>
    <w:p w14:paraId="6A461C28" w14:textId="77777777" w:rsidR="007D6DAD" w:rsidRDefault="007D6DAD" w:rsidP="007F6227">
      <w:pPr>
        <w:pStyle w:val="paragraph"/>
        <w:spacing w:before="0" w:beforeAutospacing="0" w:after="120" w:afterAutospacing="0"/>
        <w:jc w:val="both"/>
        <w:rPr>
          <w:rFonts w:asciiTheme="minorHAnsi" w:hAnsiTheme="minorHAnsi" w:cstheme="minorHAnsi"/>
          <w:i/>
          <w:iCs/>
          <w:color w:val="333333"/>
          <w:sz w:val="22"/>
          <w:szCs w:val="22"/>
        </w:rPr>
      </w:pPr>
    </w:p>
    <w:p w14:paraId="027590E6" w14:textId="77777777" w:rsidR="00282AEA" w:rsidRDefault="00282AEA" w:rsidP="00F677DE">
      <w:pPr>
        <w:pStyle w:val="paragraph"/>
        <w:spacing w:before="0" w:beforeAutospacing="0" w:after="120" w:afterAutospacing="0"/>
        <w:ind w:left="-284" w:hanging="142"/>
        <w:jc w:val="both"/>
        <w:rPr>
          <w:rFonts w:asciiTheme="minorHAnsi" w:hAnsiTheme="minorHAnsi" w:cstheme="minorHAnsi"/>
          <w:i/>
          <w:iCs/>
          <w:color w:val="333333"/>
          <w:sz w:val="22"/>
          <w:szCs w:val="22"/>
        </w:rPr>
      </w:pPr>
    </w:p>
    <w:p w14:paraId="23116C06" w14:textId="77777777" w:rsidR="00282AEA" w:rsidRDefault="00282AEA" w:rsidP="007F6227">
      <w:pPr>
        <w:pStyle w:val="paragraph"/>
        <w:spacing w:before="0" w:beforeAutospacing="0" w:after="120" w:afterAutospacing="0"/>
        <w:jc w:val="both"/>
        <w:rPr>
          <w:rFonts w:asciiTheme="minorHAnsi" w:hAnsiTheme="minorHAnsi" w:cstheme="minorHAnsi"/>
          <w:i/>
          <w:iCs/>
          <w:color w:val="333333"/>
          <w:sz w:val="22"/>
          <w:szCs w:val="22"/>
        </w:rPr>
      </w:pPr>
    </w:p>
    <w:p w14:paraId="17BD87E1" w14:textId="265F20FF" w:rsidR="00E87F57" w:rsidRDefault="00E87F57" w:rsidP="00E87F57">
      <w:pPr>
        <w:pStyle w:val="paragraph"/>
        <w:spacing w:before="0" w:beforeAutospacing="0" w:after="120" w:afterAutospacing="0"/>
        <w:jc w:val="both"/>
        <w:rPr>
          <w:rFonts w:asciiTheme="minorHAnsi" w:hAnsiTheme="minorHAnsi" w:cstheme="minorHAnsi"/>
          <w:sz w:val="22"/>
          <w:szCs w:val="22"/>
        </w:rPr>
      </w:pPr>
      <w:r w:rsidRPr="00BD4430">
        <w:rPr>
          <w:rFonts w:asciiTheme="minorHAnsi" w:hAnsiTheme="minorHAnsi" w:cstheme="minorHAnsi"/>
          <w:sz w:val="22"/>
          <w:szCs w:val="22"/>
        </w:rPr>
        <w:t xml:space="preserve">It is </w:t>
      </w:r>
      <w:r>
        <w:rPr>
          <w:rFonts w:asciiTheme="minorHAnsi" w:hAnsiTheme="minorHAnsi" w:cstheme="minorHAnsi"/>
          <w:sz w:val="22"/>
          <w:szCs w:val="22"/>
        </w:rPr>
        <w:t xml:space="preserve">an individual </w:t>
      </w:r>
      <w:r w:rsidRPr="00BD4430">
        <w:rPr>
          <w:rFonts w:asciiTheme="minorHAnsi" w:hAnsiTheme="minorHAnsi" w:cstheme="minorHAnsi"/>
          <w:sz w:val="22"/>
          <w:szCs w:val="22"/>
        </w:rPr>
        <w:t>company decision/</w:t>
      </w:r>
      <w:r>
        <w:rPr>
          <w:rFonts w:asciiTheme="minorHAnsi" w:hAnsiTheme="minorHAnsi" w:cstheme="minorHAnsi"/>
          <w:sz w:val="22"/>
          <w:szCs w:val="22"/>
        </w:rPr>
        <w:t>responsibility to assess</w:t>
      </w:r>
      <w:r w:rsidRPr="00BD4430">
        <w:rPr>
          <w:rFonts w:asciiTheme="minorHAnsi" w:hAnsiTheme="minorHAnsi" w:cstheme="minorHAnsi"/>
          <w:sz w:val="22"/>
          <w:szCs w:val="22"/>
        </w:rPr>
        <w:t xml:space="preserve"> how to communicate with their consumers </w:t>
      </w:r>
      <w:r>
        <w:rPr>
          <w:rFonts w:asciiTheme="minorHAnsi" w:hAnsiTheme="minorHAnsi" w:cstheme="minorHAnsi"/>
          <w:sz w:val="22"/>
          <w:szCs w:val="22"/>
        </w:rPr>
        <w:t>and</w:t>
      </w:r>
      <w:r w:rsidRPr="00BD4430">
        <w:rPr>
          <w:rFonts w:asciiTheme="minorHAnsi" w:hAnsiTheme="minorHAnsi" w:cstheme="minorHAnsi"/>
          <w:sz w:val="22"/>
          <w:szCs w:val="22"/>
        </w:rPr>
        <w:t xml:space="preserve"> end-users</w:t>
      </w:r>
      <w:r>
        <w:rPr>
          <w:rFonts w:asciiTheme="minorHAnsi" w:hAnsiTheme="minorHAnsi" w:cstheme="minorHAnsi"/>
          <w:sz w:val="22"/>
          <w:szCs w:val="22"/>
        </w:rPr>
        <w:t xml:space="preserve"> to fulfill the </w:t>
      </w:r>
      <w:r w:rsidR="00A9729F">
        <w:rPr>
          <w:rFonts w:asciiTheme="minorHAnsi" w:hAnsiTheme="minorHAnsi" w:cstheme="minorHAnsi"/>
          <w:sz w:val="22"/>
          <w:szCs w:val="22"/>
        </w:rPr>
        <w:t>SPM</w:t>
      </w:r>
      <w:r>
        <w:rPr>
          <w:rFonts w:asciiTheme="minorHAnsi" w:hAnsiTheme="minorHAnsi" w:cstheme="minorHAnsi"/>
          <w:sz w:val="22"/>
          <w:szCs w:val="22"/>
        </w:rPr>
        <w:t xml:space="preserve"> restriction obligations</w:t>
      </w:r>
      <w:r w:rsidRPr="00BD4430">
        <w:rPr>
          <w:rFonts w:asciiTheme="minorHAnsi" w:hAnsiTheme="minorHAnsi" w:cstheme="minorHAnsi"/>
          <w:sz w:val="22"/>
          <w:szCs w:val="22"/>
        </w:rPr>
        <w:t xml:space="preserve">. For example, one may choose to opt for a pictogram, see example below. </w:t>
      </w:r>
    </w:p>
    <w:p w14:paraId="7E4715AA" w14:textId="73446CDE" w:rsidR="000A2AD2" w:rsidRDefault="007D6DAD" w:rsidP="007F6227">
      <w:pPr>
        <w:pStyle w:val="paragraph"/>
        <w:spacing w:before="0" w:beforeAutospacing="0" w:after="120" w:afterAutospacing="0"/>
        <w:jc w:val="both"/>
        <w:rPr>
          <w:rFonts w:asciiTheme="minorHAnsi" w:hAnsiTheme="minorHAnsi" w:cstheme="minorHAnsi"/>
          <w:i/>
          <w:iCs/>
          <w:color w:val="333333"/>
          <w:sz w:val="22"/>
          <w:szCs w:val="22"/>
        </w:rPr>
      </w:pPr>
      <w:r>
        <w:rPr>
          <w:rFonts w:asciiTheme="minorHAnsi" w:hAnsiTheme="minorHAnsi" w:cstheme="minorHAnsi"/>
          <w:i/>
          <w:iCs/>
          <w:color w:val="333333"/>
          <w:sz w:val="22"/>
          <w:szCs w:val="22"/>
        </w:rPr>
        <w:t xml:space="preserve">Example of a pictogram: </w:t>
      </w:r>
    </w:p>
    <w:p w14:paraId="4880CA07" w14:textId="235E0128" w:rsidR="007D6DAD" w:rsidRPr="00BD4430" w:rsidRDefault="007D6DAD" w:rsidP="007F6227">
      <w:pPr>
        <w:pStyle w:val="paragraph"/>
        <w:spacing w:before="0" w:beforeAutospacing="0" w:after="120" w:afterAutospacing="0"/>
        <w:jc w:val="both"/>
        <w:rPr>
          <w:rFonts w:asciiTheme="minorHAnsi" w:hAnsiTheme="minorHAnsi" w:cstheme="minorHAnsi"/>
          <w:i/>
          <w:iCs/>
          <w:color w:val="333333"/>
          <w:sz w:val="22"/>
          <w:szCs w:val="22"/>
        </w:rPr>
      </w:pPr>
      <w:r w:rsidRPr="00BD4430">
        <w:rPr>
          <w:rFonts w:asciiTheme="minorHAnsi" w:hAnsiTheme="minorHAnsi" w:cstheme="minorHAnsi"/>
          <w:noProof/>
          <w:sz w:val="22"/>
          <w:szCs w:val="22"/>
        </w:rPr>
        <w:drawing>
          <wp:anchor distT="0" distB="0" distL="114300" distR="114300" simplePos="0" relativeHeight="251669504" behindDoc="0" locked="0" layoutInCell="1" allowOverlap="1" wp14:anchorId="1A762DC5" wp14:editId="0F94AEDE">
            <wp:simplePos x="0" y="0"/>
            <wp:positionH relativeFrom="margin">
              <wp:posOffset>95885</wp:posOffset>
            </wp:positionH>
            <wp:positionV relativeFrom="paragraph">
              <wp:posOffset>32385</wp:posOffset>
            </wp:positionV>
            <wp:extent cx="585267" cy="536494"/>
            <wp:effectExtent l="0" t="0" r="5715" b="0"/>
            <wp:wrapNone/>
            <wp:docPr id="1488540017" name="Grafik 1488540017" descr="A black and white sign with a hand holding a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40017" name="Picture 1488540017" descr="A black and white sign with a hand holding a container&#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585267" cy="536494"/>
                    </a:xfrm>
                    <a:prstGeom prst="rect">
                      <a:avLst/>
                    </a:prstGeom>
                  </pic:spPr>
                </pic:pic>
              </a:graphicData>
            </a:graphic>
            <wp14:sizeRelH relativeFrom="page">
              <wp14:pctWidth>0</wp14:pctWidth>
            </wp14:sizeRelH>
            <wp14:sizeRelV relativeFrom="page">
              <wp14:pctHeight>0</wp14:pctHeight>
            </wp14:sizeRelV>
          </wp:anchor>
        </w:drawing>
      </w:r>
    </w:p>
    <w:p w14:paraId="3D922C51" w14:textId="77777777" w:rsidR="00B4370B" w:rsidRDefault="00B4370B" w:rsidP="007F6227">
      <w:pPr>
        <w:spacing w:after="120" w:line="240" w:lineRule="auto"/>
        <w:jc w:val="both"/>
        <w:rPr>
          <w:rFonts w:eastAsia="Calibri" w:cstheme="minorHAnsi"/>
          <w:b/>
          <w:bCs/>
          <w:color w:val="4472C4" w:themeColor="accent1"/>
        </w:rPr>
      </w:pPr>
    </w:p>
    <w:p w14:paraId="725524BA" w14:textId="77777777" w:rsidR="00282AEA" w:rsidRDefault="00282AEA" w:rsidP="001805CD">
      <w:pPr>
        <w:pStyle w:val="Pealkiri2"/>
      </w:pPr>
    </w:p>
    <w:p w14:paraId="02B4D123" w14:textId="35CE3F17" w:rsidR="00157E35" w:rsidRPr="005047BA" w:rsidRDefault="00157E35" w:rsidP="008A4391">
      <w:pPr>
        <w:pStyle w:val="Pealkiri2"/>
        <w:numPr>
          <w:ilvl w:val="1"/>
          <w:numId w:val="15"/>
        </w:numPr>
        <w:ind w:left="426" w:hanging="426"/>
      </w:pPr>
      <w:r w:rsidRPr="005047BA">
        <w:t xml:space="preserve">Will a generic instruction for disposal of a mixture, that </w:t>
      </w:r>
      <w:r w:rsidR="007D6DAD" w:rsidRPr="005047BA">
        <w:t>contain</w:t>
      </w:r>
      <w:r w:rsidR="00A9729F">
        <w:t xml:space="preserve"> SPM</w:t>
      </w:r>
      <w:r w:rsidRPr="005047BA">
        <w:t>, be acceptable?</w:t>
      </w:r>
    </w:p>
    <w:p w14:paraId="26B07927" w14:textId="7581E3CD" w:rsidR="00157E35" w:rsidRPr="00BD4430" w:rsidRDefault="002924E4" w:rsidP="36FE835A">
      <w:pPr>
        <w:pStyle w:val="paragraph"/>
        <w:spacing w:before="0" w:beforeAutospacing="0" w:after="120" w:afterAutospacing="0"/>
        <w:jc w:val="both"/>
        <w:rPr>
          <w:rStyle w:val="normaltextrun"/>
          <w:rFonts w:asciiTheme="minorHAnsi" w:hAnsiTheme="minorHAnsi" w:cstheme="minorBidi"/>
          <w:sz w:val="22"/>
          <w:szCs w:val="22"/>
        </w:rPr>
      </w:pPr>
      <w:r w:rsidRPr="36FE835A">
        <w:rPr>
          <w:rStyle w:val="normaltextrun"/>
          <w:rFonts w:asciiTheme="minorHAnsi" w:hAnsiTheme="minorHAnsi" w:cstheme="minorBidi"/>
          <w:sz w:val="22"/>
          <w:szCs w:val="22"/>
        </w:rPr>
        <w:t xml:space="preserve">Please see the answer provided for </w:t>
      </w:r>
      <w:r w:rsidR="00AD2D9B" w:rsidRPr="36FE835A">
        <w:rPr>
          <w:rStyle w:val="normaltextrun"/>
          <w:rFonts w:asciiTheme="minorHAnsi" w:hAnsiTheme="minorHAnsi" w:cstheme="minorBidi"/>
          <w:sz w:val="22"/>
          <w:szCs w:val="22"/>
        </w:rPr>
        <w:t xml:space="preserve">next </w:t>
      </w:r>
      <w:r w:rsidRPr="36FE835A">
        <w:rPr>
          <w:rStyle w:val="normaltextrun"/>
          <w:rFonts w:asciiTheme="minorHAnsi" w:hAnsiTheme="minorHAnsi" w:cstheme="minorBidi"/>
          <w:sz w:val="22"/>
          <w:szCs w:val="22"/>
        </w:rPr>
        <w:t xml:space="preserve">question </w:t>
      </w:r>
      <w:r w:rsidR="00AD2D9B" w:rsidRPr="36FE835A">
        <w:rPr>
          <w:rStyle w:val="normaltextrun"/>
          <w:rFonts w:asciiTheme="minorHAnsi" w:hAnsiTheme="minorHAnsi" w:cstheme="minorBidi"/>
          <w:sz w:val="22"/>
          <w:szCs w:val="22"/>
        </w:rPr>
        <w:t>below.</w:t>
      </w:r>
    </w:p>
    <w:p w14:paraId="5B276E51" w14:textId="77777777" w:rsidR="00056203" w:rsidRPr="005047BA" w:rsidRDefault="00056203" w:rsidP="007F6227">
      <w:pPr>
        <w:spacing w:after="120" w:line="240" w:lineRule="auto"/>
        <w:jc w:val="both"/>
        <w:rPr>
          <w:rFonts w:eastAsia="Calibri"/>
          <w:b/>
          <w:bCs/>
          <w:color w:val="4472C4" w:themeColor="accent1"/>
        </w:rPr>
      </w:pPr>
    </w:p>
    <w:p w14:paraId="57FF4655" w14:textId="3B9974E7" w:rsidR="0008196E" w:rsidRPr="005047BA" w:rsidRDefault="009C6C67" w:rsidP="009C6C67">
      <w:pPr>
        <w:pStyle w:val="Pealkiri2"/>
        <w:numPr>
          <w:ilvl w:val="1"/>
          <w:numId w:val="15"/>
        </w:numPr>
        <w:ind w:left="284"/>
        <w:jc w:val="both"/>
      </w:pPr>
      <w:r>
        <w:t xml:space="preserve"> </w:t>
      </w:r>
      <w:r w:rsidR="00600FB7" w:rsidRPr="005047BA">
        <w:t>Will instructions</w:t>
      </w:r>
      <w:r w:rsidR="00157E35" w:rsidRPr="005047BA">
        <w:t xml:space="preserve"> for </w:t>
      </w:r>
      <w:r w:rsidR="00AC0A2A">
        <w:t xml:space="preserve">the </w:t>
      </w:r>
      <w:r w:rsidR="00157E35" w:rsidRPr="005047BA">
        <w:t>disposal of a mixture, that contain synthetic</w:t>
      </w:r>
      <w:r w:rsidR="00981557" w:rsidRPr="005047BA">
        <w:t xml:space="preserve"> </w:t>
      </w:r>
      <w:r w:rsidR="00157E35" w:rsidRPr="005047BA">
        <w:t>polymer microparticles, need to have a specific statement that mention</w:t>
      </w:r>
      <w:r w:rsidR="00AC0A2A">
        <w:t>s</w:t>
      </w:r>
      <w:r w:rsidR="00157E35" w:rsidRPr="005047BA">
        <w:t xml:space="preserve"> how to dispose</w:t>
      </w:r>
      <w:r w:rsidR="00AC0A2A">
        <w:t xml:space="preserve"> of</w:t>
      </w:r>
      <w:r w:rsidR="00157E35" w:rsidRPr="005047BA">
        <w:t xml:space="preserve"> the </w:t>
      </w:r>
      <w:r w:rsidR="008C7C25">
        <w:t xml:space="preserve">SPM </w:t>
      </w:r>
      <w:r w:rsidR="00157E35" w:rsidRPr="005047BA">
        <w:t>contained in it?</w:t>
      </w:r>
    </w:p>
    <w:p w14:paraId="231483DB" w14:textId="12486D01" w:rsidR="00157E35" w:rsidRPr="00BD4430" w:rsidRDefault="00BB263A" w:rsidP="5A139AFF">
      <w:pPr>
        <w:spacing w:after="120" w:line="240" w:lineRule="auto"/>
        <w:jc w:val="both"/>
        <w:textAlignment w:val="baseline"/>
        <w:rPr>
          <w:rStyle w:val="normaltextrun"/>
          <w:color w:val="4472C4" w:themeColor="accent1"/>
        </w:rPr>
      </w:pPr>
      <w:r w:rsidRPr="5A139AFF">
        <w:rPr>
          <w:rStyle w:val="normaltextrun"/>
        </w:rPr>
        <w:t xml:space="preserve">Due to the large number of different mixtures, it should be decided </w:t>
      </w:r>
      <w:r w:rsidR="00AC0A2A" w:rsidRPr="5A139AFF">
        <w:rPr>
          <w:rStyle w:val="normaltextrun"/>
        </w:rPr>
        <w:t xml:space="preserve">on a </w:t>
      </w:r>
      <w:r w:rsidR="00600FB7" w:rsidRPr="5A139AFF">
        <w:rPr>
          <w:rStyle w:val="normaltextrun"/>
        </w:rPr>
        <w:t>case-by-case</w:t>
      </w:r>
      <w:r w:rsidRPr="5A139AFF">
        <w:rPr>
          <w:rStyle w:val="normaltextrun"/>
        </w:rPr>
        <w:t xml:space="preserve"> </w:t>
      </w:r>
      <w:r w:rsidR="00AC0A2A" w:rsidRPr="5A139AFF">
        <w:rPr>
          <w:rStyle w:val="normaltextrun"/>
        </w:rPr>
        <w:t xml:space="preserve">basis </w:t>
      </w:r>
      <w:r w:rsidRPr="5A139AFF">
        <w:rPr>
          <w:rStyle w:val="normaltextrun"/>
        </w:rPr>
        <w:t>whether a downstream user</w:t>
      </w:r>
      <w:r w:rsidR="00A90B46" w:rsidRPr="5A139AFF">
        <w:rPr>
          <w:rStyle w:val="normaltextrun"/>
        </w:rPr>
        <w:t xml:space="preserve">/ </w:t>
      </w:r>
      <w:r w:rsidRPr="5A139AFF">
        <w:rPr>
          <w:rStyle w:val="normaltextrun"/>
        </w:rPr>
        <w:t>consumer</w:t>
      </w:r>
      <w:r w:rsidR="00F65B9C" w:rsidRPr="5A139AFF">
        <w:rPr>
          <w:rStyle w:val="normaltextrun"/>
        </w:rPr>
        <w:t xml:space="preserve">/ end-user can </w:t>
      </w:r>
      <w:r w:rsidRPr="5A139AFF">
        <w:rPr>
          <w:rStyle w:val="normaltextrun"/>
        </w:rPr>
        <w:t xml:space="preserve">dispose </w:t>
      </w:r>
      <w:r w:rsidR="00AC0A2A" w:rsidRPr="5A139AFF">
        <w:rPr>
          <w:rStyle w:val="normaltextrun"/>
        </w:rPr>
        <w:t xml:space="preserve">of </w:t>
      </w:r>
      <w:r w:rsidR="00F65B9C" w:rsidRPr="5A139AFF">
        <w:rPr>
          <w:rStyle w:val="normaltextrun"/>
        </w:rPr>
        <w:t xml:space="preserve">synthetic polymer microparticles </w:t>
      </w:r>
      <w:r w:rsidRPr="5A139AFF">
        <w:rPr>
          <w:rStyle w:val="normaltextrun"/>
        </w:rPr>
        <w:t>separately</w:t>
      </w:r>
      <w:r w:rsidR="00F65B9C" w:rsidRPr="5A139AFF">
        <w:rPr>
          <w:rStyle w:val="normaltextrun"/>
        </w:rPr>
        <w:t xml:space="preserve">. </w:t>
      </w:r>
      <w:r w:rsidR="00F65B9C" w:rsidRPr="5A139AFF">
        <w:rPr>
          <w:b/>
          <w:bCs/>
        </w:rPr>
        <w:t>Therefore, t</w:t>
      </w:r>
      <w:r w:rsidR="00157E35" w:rsidRPr="5A139AFF">
        <w:rPr>
          <w:b/>
          <w:bCs/>
        </w:rPr>
        <w:t xml:space="preserve">he answer to this question </w:t>
      </w:r>
      <w:r w:rsidR="00A90B46" w:rsidRPr="5A139AFF">
        <w:rPr>
          <w:b/>
          <w:bCs/>
        </w:rPr>
        <w:t>is a</w:t>
      </w:r>
      <w:r w:rsidR="00086FDA" w:rsidRPr="5A139AFF">
        <w:rPr>
          <w:b/>
          <w:bCs/>
        </w:rPr>
        <w:t xml:space="preserve"> </w:t>
      </w:r>
      <w:r w:rsidR="00981557" w:rsidRPr="5A139AFF">
        <w:rPr>
          <w:b/>
          <w:bCs/>
        </w:rPr>
        <w:t>case-by-case</w:t>
      </w:r>
      <w:r w:rsidR="00157E35" w:rsidRPr="5A139AFF">
        <w:rPr>
          <w:b/>
          <w:bCs/>
        </w:rPr>
        <w:t xml:space="preserve"> </w:t>
      </w:r>
      <w:r w:rsidR="00F65B9C" w:rsidRPr="5A139AFF">
        <w:rPr>
          <w:b/>
          <w:bCs/>
        </w:rPr>
        <w:t xml:space="preserve">decision </w:t>
      </w:r>
      <w:r w:rsidR="00AC0A2A" w:rsidRPr="5A139AFF">
        <w:rPr>
          <w:b/>
          <w:bCs/>
        </w:rPr>
        <w:t>made by the</w:t>
      </w:r>
      <w:r w:rsidR="00F65B9C" w:rsidRPr="5A139AFF">
        <w:rPr>
          <w:b/>
          <w:bCs/>
        </w:rPr>
        <w:t xml:space="preserve"> company that places product for a first time on the EU market</w:t>
      </w:r>
      <w:r w:rsidR="002A1F27" w:rsidRPr="5A139AFF">
        <w:rPr>
          <w:b/>
          <w:bCs/>
        </w:rPr>
        <w:t>:</w:t>
      </w:r>
    </w:p>
    <w:p w14:paraId="748BB79D" w14:textId="765DCE73" w:rsidR="00F65B9C" w:rsidRPr="00BD4430" w:rsidRDefault="00600FB7" w:rsidP="008A4391">
      <w:pPr>
        <w:pStyle w:val="paragraph"/>
        <w:numPr>
          <w:ilvl w:val="0"/>
          <w:numId w:val="7"/>
        </w:numPr>
        <w:spacing w:before="0" w:beforeAutospacing="0" w:after="120" w:afterAutospacing="0"/>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I</w:t>
      </w:r>
      <w:r w:rsidR="00A90B46">
        <w:rPr>
          <w:rStyle w:val="normaltextrun"/>
          <w:rFonts w:asciiTheme="minorHAnsi" w:hAnsiTheme="minorHAnsi" w:cstheme="minorHAnsi"/>
          <w:sz w:val="22"/>
          <w:szCs w:val="22"/>
        </w:rPr>
        <w:t xml:space="preserve">f </w:t>
      </w:r>
      <w:r w:rsidR="00AC0A2A">
        <w:rPr>
          <w:rStyle w:val="normaltextrun"/>
          <w:rFonts w:asciiTheme="minorHAnsi" w:hAnsiTheme="minorHAnsi" w:cstheme="minorHAnsi"/>
          <w:sz w:val="22"/>
          <w:szCs w:val="22"/>
        </w:rPr>
        <w:t xml:space="preserve">it is </w:t>
      </w:r>
      <w:r w:rsidR="00A90B46">
        <w:rPr>
          <w:rStyle w:val="normaltextrun"/>
          <w:rFonts w:asciiTheme="minorHAnsi" w:hAnsiTheme="minorHAnsi" w:cstheme="minorHAnsi"/>
          <w:sz w:val="22"/>
          <w:szCs w:val="22"/>
        </w:rPr>
        <w:t xml:space="preserve">not possible to separate </w:t>
      </w:r>
      <w:r w:rsidR="00DE161C">
        <w:rPr>
          <w:rStyle w:val="normaltextrun"/>
          <w:rFonts w:asciiTheme="minorHAnsi" w:hAnsiTheme="minorHAnsi" w:cstheme="minorHAnsi"/>
          <w:sz w:val="22"/>
          <w:szCs w:val="22"/>
        </w:rPr>
        <w:t xml:space="preserve">the </w:t>
      </w:r>
      <w:r w:rsidR="00893EDE">
        <w:rPr>
          <w:rStyle w:val="normaltextrun"/>
          <w:rFonts w:asciiTheme="minorHAnsi" w:hAnsiTheme="minorHAnsi" w:cstheme="minorHAnsi"/>
          <w:sz w:val="22"/>
          <w:szCs w:val="22"/>
        </w:rPr>
        <w:t xml:space="preserve">SPM </w:t>
      </w:r>
      <w:r w:rsidR="00A90B46">
        <w:rPr>
          <w:rStyle w:val="normaltextrun"/>
          <w:rFonts w:asciiTheme="minorHAnsi" w:hAnsiTheme="minorHAnsi" w:cstheme="minorHAnsi"/>
          <w:sz w:val="22"/>
          <w:szCs w:val="22"/>
        </w:rPr>
        <w:t xml:space="preserve">from the mixture at </w:t>
      </w:r>
      <w:r w:rsidR="00DE161C">
        <w:rPr>
          <w:rStyle w:val="normaltextrun"/>
          <w:rFonts w:asciiTheme="minorHAnsi" w:hAnsiTheme="minorHAnsi" w:cstheme="minorHAnsi"/>
          <w:sz w:val="22"/>
          <w:szCs w:val="22"/>
        </w:rPr>
        <w:t xml:space="preserve">the </w:t>
      </w:r>
      <w:r w:rsidR="00A90B46">
        <w:rPr>
          <w:rStyle w:val="normaltextrun"/>
          <w:rFonts w:asciiTheme="minorHAnsi" w:hAnsiTheme="minorHAnsi" w:cstheme="minorHAnsi"/>
          <w:sz w:val="22"/>
          <w:szCs w:val="22"/>
        </w:rPr>
        <w:t xml:space="preserve">disposal </w:t>
      </w:r>
      <w:r>
        <w:rPr>
          <w:rStyle w:val="normaltextrun"/>
          <w:rFonts w:asciiTheme="minorHAnsi" w:hAnsiTheme="minorHAnsi" w:cstheme="minorHAnsi"/>
          <w:sz w:val="22"/>
          <w:szCs w:val="22"/>
        </w:rPr>
        <w:t xml:space="preserve">stage, </w:t>
      </w:r>
      <w:r w:rsidRPr="00BD4430">
        <w:rPr>
          <w:rStyle w:val="normaltextrun"/>
          <w:rFonts w:asciiTheme="minorHAnsi" w:hAnsiTheme="minorHAnsi" w:cstheme="minorHAnsi"/>
          <w:sz w:val="22"/>
          <w:szCs w:val="22"/>
        </w:rPr>
        <w:t>the</w:t>
      </w:r>
      <w:r w:rsidR="00F65B9C" w:rsidRPr="00BD4430">
        <w:rPr>
          <w:rStyle w:val="normaltextrun"/>
          <w:rFonts w:asciiTheme="minorHAnsi" w:hAnsiTheme="minorHAnsi" w:cstheme="minorHAnsi"/>
          <w:sz w:val="22"/>
          <w:szCs w:val="22"/>
        </w:rPr>
        <w:t xml:space="preserve"> instruction</w:t>
      </w:r>
      <w:r w:rsidR="00DE161C">
        <w:rPr>
          <w:rStyle w:val="normaltextrun"/>
          <w:rFonts w:asciiTheme="minorHAnsi" w:hAnsiTheme="minorHAnsi" w:cstheme="minorHAnsi"/>
          <w:sz w:val="22"/>
          <w:szCs w:val="22"/>
        </w:rPr>
        <w:t>s</w:t>
      </w:r>
      <w:r w:rsidR="00F65B9C" w:rsidRPr="00BD4430">
        <w:rPr>
          <w:rStyle w:val="normaltextrun"/>
          <w:rFonts w:asciiTheme="minorHAnsi" w:hAnsiTheme="minorHAnsi" w:cstheme="minorHAnsi"/>
          <w:sz w:val="22"/>
          <w:szCs w:val="22"/>
        </w:rPr>
        <w:t xml:space="preserve"> for use and disposal </w:t>
      </w:r>
      <w:r w:rsidR="00A90B46">
        <w:rPr>
          <w:rStyle w:val="normaltextrun"/>
          <w:rFonts w:asciiTheme="minorHAnsi" w:hAnsiTheme="minorHAnsi" w:cstheme="minorHAnsi"/>
          <w:sz w:val="22"/>
          <w:szCs w:val="22"/>
        </w:rPr>
        <w:t>should</w:t>
      </w:r>
      <w:r w:rsidR="00F65B9C" w:rsidRPr="00BD4430">
        <w:rPr>
          <w:rStyle w:val="normaltextrun"/>
          <w:rFonts w:asciiTheme="minorHAnsi" w:hAnsiTheme="minorHAnsi" w:cstheme="minorHAnsi"/>
          <w:sz w:val="22"/>
          <w:szCs w:val="22"/>
        </w:rPr>
        <w:t xml:space="preserve"> focus on how to dispose </w:t>
      </w:r>
      <w:r w:rsidR="00AC0A2A">
        <w:rPr>
          <w:rStyle w:val="normaltextrun"/>
          <w:rFonts w:asciiTheme="minorHAnsi" w:hAnsiTheme="minorHAnsi" w:cstheme="minorHAnsi"/>
          <w:sz w:val="22"/>
          <w:szCs w:val="22"/>
        </w:rPr>
        <w:t>of</w:t>
      </w:r>
      <w:r w:rsidR="00DE161C">
        <w:rPr>
          <w:rStyle w:val="normaltextrun"/>
          <w:rFonts w:asciiTheme="minorHAnsi" w:hAnsiTheme="minorHAnsi" w:cstheme="minorHAnsi"/>
          <w:sz w:val="22"/>
          <w:szCs w:val="22"/>
        </w:rPr>
        <w:t xml:space="preserve"> </w:t>
      </w:r>
      <w:r w:rsidR="00F65B9C" w:rsidRPr="00BD4430">
        <w:rPr>
          <w:rStyle w:val="normaltextrun"/>
          <w:rFonts w:asciiTheme="minorHAnsi" w:hAnsiTheme="minorHAnsi" w:cstheme="minorHAnsi"/>
          <w:sz w:val="22"/>
          <w:szCs w:val="22"/>
        </w:rPr>
        <w:t>the product</w:t>
      </w:r>
      <w:r w:rsidR="00A90B46">
        <w:rPr>
          <w:rStyle w:val="normaltextrun"/>
          <w:rFonts w:asciiTheme="minorHAnsi" w:hAnsiTheme="minorHAnsi" w:cstheme="minorHAnsi"/>
          <w:sz w:val="22"/>
          <w:szCs w:val="22"/>
        </w:rPr>
        <w:t>/mixture</w:t>
      </w:r>
      <w:r w:rsidR="00F65B9C" w:rsidRPr="00BD4430">
        <w:rPr>
          <w:rStyle w:val="normaltextrun"/>
          <w:rFonts w:asciiTheme="minorHAnsi" w:hAnsiTheme="minorHAnsi" w:cstheme="minorHAnsi"/>
          <w:sz w:val="22"/>
          <w:szCs w:val="22"/>
        </w:rPr>
        <w:t xml:space="preserve"> and not the </w:t>
      </w:r>
      <w:r w:rsidR="00893EDE">
        <w:rPr>
          <w:rStyle w:val="normaltextrun"/>
          <w:rFonts w:asciiTheme="minorHAnsi" w:hAnsiTheme="minorHAnsi" w:cstheme="minorHAnsi"/>
          <w:sz w:val="22"/>
          <w:szCs w:val="22"/>
        </w:rPr>
        <w:t>SPM.</w:t>
      </w:r>
    </w:p>
    <w:p w14:paraId="651330DD" w14:textId="7557E7B3" w:rsidR="00157E35" w:rsidRPr="00BD4430" w:rsidRDefault="00A90B46" w:rsidP="008A4391">
      <w:pPr>
        <w:pStyle w:val="paragraph"/>
        <w:numPr>
          <w:ilvl w:val="0"/>
          <w:numId w:val="7"/>
        </w:numPr>
        <w:spacing w:before="0" w:beforeAutospacing="0" w:after="120" w:afterAutospacing="0"/>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If </w:t>
      </w:r>
      <w:r w:rsidR="00DE161C">
        <w:rPr>
          <w:rStyle w:val="normaltextrun"/>
          <w:rFonts w:asciiTheme="minorHAnsi" w:hAnsiTheme="minorHAnsi" w:cstheme="minorHAnsi"/>
          <w:sz w:val="22"/>
          <w:szCs w:val="22"/>
        </w:rPr>
        <w:t xml:space="preserve">it is </w:t>
      </w:r>
      <w:r>
        <w:rPr>
          <w:rStyle w:val="normaltextrun"/>
          <w:rFonts w:asciiTheme="minorHAnsi" w:hAnsiTheme="minorHAnsi" w:cstheme="minorHAnsi"/>
          <w:sz w:val="22"/>
          <w:szCs w:val="22"/>
        </w:rPr>
        <w:t xml:space="preserve">possible, to separate </w:t>
      </w:r>
      <w:r w:rsidR="00893EDE">
        <w:rPr>
          <w:rStyle w:val="normaltextrun"/>
          <w:rFonts w:asciiTheme="minorHAnsi" w:hAnsiTheme="minorHAnsi" w:cstheme="minorHAnsi"/>
          <w:sz w:val="22"/>
          <w:szCs w:val="22"/>
        </w:rPr>
        <w:t xml:space="preserve">SPM </w:t>
      </w:r>
      <w:r>
        <w:rPr>
          <w:rStyle w:val="normaltextrun"/>
          <w:rFonts w:asciiTheme="minorHAnsi" w:hAnsiTheme="minorHAnsi" w:cstheme="minorHAnsi"/>
          <w:sz w:val="22"/>
          <w:szCs w:val="22"/>
        </w:rPr>
        <w:t xml:space="preserve">from the mixture at </w:t>
      </w:r>
      <w:r w:rsidR="00DE161C">
        <w:rPr>
          <w:rStyle w:val="normaltextrun"/>
          <w:rFonts w:asciiTheme="minorHAnsi" w:hAnsiTheme="minorHAnsi" w:cstheme="minorHAnsi"/>
          <w:sz w:val="22"/>
          <w:szCs w:val="22"/>
        </w:rPr>
        <w:t xml:space="preserve">the </w:t>
      </w:r>
      <w:r>
        <w:rPr>
          <w:rStyle w:val="normaltextrun"/>
          <w:rFonts w:asciiTheme="minorHAnsi" w:hAnsiTheme="minorHAnsi" w:cstheme="minorHAnsi"/>
          <w:sz w:val="22"/>
          <w:szCs w:val="22"/>
        </w:rPr>
        <w:t xml:space="preserve">disposal </w:t>
      </w:r>
      <w:r w:rsidR="00600FB7">
        <w:rPr>
          <w:rStyle w:val="normaltextrun"/>
          <w:rFonts w:asciiTheme="minorHAnsi" w:hAnsiTheme="minorHAnsi" w:cstheme="minorHAnsi"/>
          <w:sz w:val="22"/>
          <w:szCs w:val="22"/>
        </w:rPr>
        <w:t>stage, the</w:t>
      </w:r>
      <w:r>
        <w:rPr>
          <w:rStyle w:val="normaltextrun"/>
          <w:rFonts w:asciiTheme="minorHAnsi" w:hAnsiTheme="minorHAnsi" w:cstheme="minorHAnsi"/>
          <w:sz w:val="22"/>
          <w:szCs w:val="22"/>
        </w:rPr>
        <w:t xml:space="preserve"> </w:t>
      </w:r>
      <w:r w:rsidRPr="00BD4430">
        <w:rPr>
          <w:rStyle w:val="normaltextrun"/>
          <w:rFonts w:asciiTheme="minorHAnsi" w:hAnsiTheme="minorHAnsi" w:cstheme="minorHAnsi"/>
          <w:sz w:val="22"/>
          <w:szCs w:val="22"/>
        </w:rPr>
        <w:t>disposal</w:t>
      </w:r>
      <w:r>
        <w:rPr>
          <w:rStyle w:val="normaltextrun"/>
          <w:rFonts w:asciiTheme="minorHAnsi" w:hAnsiTheme="minorHAnsi" w:cstheme="minorHAnsi"/>
          <w:sz w:val="22"/>
          <w:szCs w:val="22"/>
        </w:rPr>
        <w:t xml:space="preserve"> instructions</w:t>
      </w:r>
      <w:r w:rsidRPr="00BD4430">
        <w:rPr>
          <w:rStyle w:val="normaltextrun"/>
          <w:rFonts w:asciiTheme="minorHAnsi" w:hAnsiTheme="minorHAnsi" w:cstheme="minorHAnsi"/>
          <w:sz w:val="22"/>
          <w:szCs w:val="22"/>
        </w:rPr>
        <w:t xml:space="preserve"> should</w:t>
      </w:r>
      <w:r>
        <w:rPr>
          <w:rStyle w:val="normaltextrun"/>
          <w:rFonts w:asciiTheme="minorHAnsi" w:hAnsiTheme="minorHAnsi" w:cstheme="minorHAnsi"/>
          <w:sz w:val="22"/>
          <w:szCs w:val="22"/>
        </w:rPr>
        <w:t xml:space="preserve"> include </w:t>
      </w:r>
      <w:r w:rsidR="00DE161C">
        <w:rPr>
          <w:rStyle w:val="normaltextrun"/>
          <w:rFonts w:asciiTheme="minorHAnsi" w:hAnsiTheme="minorHAnsi" w:cstheme="minorHAnsi"/>
          <w:sz w:val="22"/>
          <w:szCs w:val="22"/>
        </w:rPr>
        <w:t xml:space="preserve">a </w:t>
      </w:r>
      <w:r w:rsidRPr="00A90B46">
        <w:rPr>
          <w:rStyle w:val="normaltextrun"/>
          <w:rFonts w:asciiTheme="minorHAnsi" w:hAnsiTheme="minorHAnsi" w:cstheme="minorHAnsi"/>
          <w:sz w:val="22"/>
          <w:szCs w:val="22"/>
        </w:rPr>
        <w:t xml:space="preserve">statement </w:t>
      </w:r>
      <w:r>
        <w:rPr>
          <w:rStyle w:val="normaltextrun"/>
          <w:rFonts w:asciiTheme="minorHAnsi" w:hAnsiTheme="minorHAnsi" w:cstheme="minorHAnsi"/>
          <w:sz w:val="22"/>
          <w:szCs w:val="22"/>
        </w:rPr>
        <w:t>on</w:t>
      </w:r>
      <w:r w:rsidRPr="00A90B46">
        <w:rPr>
          <w:rStyle w:val="normaltextrun"/>
          <w:rFonts w:asciiTheme="minorHAnsi" w:hAnsiTheme="minorHAnsi" w:cstheme="minorHAnsi"/>
          <w:sz w:val="22"/>
          <w:szCs w:val="22"/>
        </w:rPr>
        <w:t xml:space="preserve"> how to dispose </w:t>
      </w:r>
      <w:r w:rsidR="00DE161C">
        <w:rPr>
          <w:rStyle w:val="normaltextrun"/>
          <w:rFonts w:asciiTheme="minorHAnsi" w:hAnsiTheme="minorHAnsi" w:cstheme="minorHAnsi"/>
          <w:sz w:val="22"/>
          <w:szCs w:val="22"/>
        </w:rPr>
        <w:t xml:space="preserve">of </w:t>
      </w:r>
      <w:r w:rsidRPr="00A90B46">
        <w:rPr>
          <w:rStyle w:val="normaltextrun"/>
          <w:rFonts w:asciiTheme="minorHAnsi" w:hAnsiTheme="minorHAnsi" w:cstheme="minorHAnsi"/>
          <w:sz w:val="22"/>
          <w:szCs w:val="22"/>
        </w:rPr>
        <w:t>the</w:t>
      </w:r>
      <w:r w:rsidR="00893EDE">
        <w:rPr>
          <w:rStyle w:val="normaltextrun"/>
          <w:rFonts w:asciiTheme="minorHAnsi" w:hAnsiTheme="minorHAnsi" w:cstheme="minorHAnsi"/>
          <w:sz w:val="22"/>
          <w:szCs w:val="22"/>
        </w:rPr>
        <w:t xml:space="preserve"> SPM</w:t>
      </w:r>
      <w:r>
        <w:rPr>
          <w:rStyle w:val="normaltextrun"/>
          <w:rFonts w:asciiTheme="minorHAnsi" w:hAnsiTheme="minorHAnsi" w:cstheme="minorHAnsi"/>
          <w:sz w:val="22"/>
          <w:szCs w:val="22"/>
        </w:rPr>
        <w:t xml:space="preserve">. </w:t>
      </w:r>
    </w:p>
    <w:p w14:paraId="02AE09D9" w14:textId="77777777" w:rsidR="00157E35" w:rsidRPr="00BD4430" w:rsidRDefault="00157E35" w:rsidP="007F6227">
      <w:pPr>
        <w:pStyle w:val="paragraph"/>
        <w:spacing w:before="0" w:beforeAutospacing="0" w:after="120" w:afterAutospacing="0"/>
        <w:jc w:val="both"/>
        <w:rPr>
          <w:rFonts w:asciiTheme="minorHAnsi" w:hAnsiTheme="minorHAnsi" w:cstheme="minorHAnsi"/>
          <w:sz w:val="22"/>
          <w:szCs w:val="22"/>
        </w:rPr>
      </w:pPr>
    </w:p>
    <w:p w14:paraId="134969F7" w14:textId="4C5A368A" w:rsidR="00F928E2" w:rsidRPr="005047BA" w:rsidRDefault="009C6C67" w:rsidP="009C6C67">
      <w:pPr>
        <w:pStyle w:val="Pealkiri2"/>
        <w:tabs>
          <w:tab w:val="left" w:pos="0"/>
        </w:tabs>
        <w:jc w:val="both"/>
      </w:pPr>
      <w:r>
        <w:t xml:space="preserve">4.5 </w:t>
      </w:r>
      <w:r w:rsidR="00F928E2" w:rsidRPr="005047BA">
        <w:t xml:space="preserve">Can an industrial downstream user assume that a raw material </w:t>
      </w:r>
      <w:r w:rsidR="00F928E2" w:rsidRPr="005047BA">
        <w:rPr>
          <w:color w:val="FF0000"/>
        </w:rPr>
        <w:t xml:space="preserve">is not in </w:t>
      </w:r>
      <w:r w:rsidR="00D70011">
        <w:rPr>
          <w:color w:val="FF0000"/>
        </w:rPr>
        <w:t xml:space="preserve">the </w:t>
      </w:r>
      <w:r w:rsidR="00F928E2" w:rsidRPr="005047BA">
        <w:rPr>
          <w:color w:val="FF0000"/>
        </w:rPr>
        <w:t xml:space="preserve">scope </w:t>
      </w:r>
      <w:r w:rsidR="00D70011">
        <w:t>of</w:t>
      </w:r>
      <w:r w:rsidR="00F928E2" w:rsidRPr="005047BA">
        <w:t xml:space="preserve"> the </w:t>
      </w:r>
      <w:r w:rsidR="00381C64">
        <w:t>restriction</w:t>
      </w:r>
      <w:r w:rsidR="00F928E2" w:rsidRPr="005047BA">
        <w:t xml:space="preserve"> if the EU-based supplier of the raw material has not informed him</w:t>
      </w:r>
      <w:r w:rsidR="00D70011">
        <w:t>,</w:t>
      </w:r>
      <w:r w:rsidR="00F928E2" w:rsidRPr="005047BA">
        <w:t xml:space="preserve"> by the end of the two-year transitional period (paragraph 7)</w:t>
      </w:r>
      <w:r w:rsidR="00D70011">
        <w:t>,</w:t>
      </w:r>
      <w:r w:rsidR="00F928E2" w:rsidRPr="005047BA">
        <w:t xml:space="preserve"> that the raw material supplied is subject to</w:t>
      </w:r>
      <w:r w:rsidR="009D76B9" w:rsidRPr="005047BA">
        <w:t xml:space="preserve"> the</w:t>
      </w:r>
      <w:r w:rsidR="00F928E2" w:rsidRPr="005047BA">
        <w:t xml:space="preserve"> </w:t>
      </w:r>
      <w:r w:rsidR="000E6153" w:rsidRPr="005047BA">
        <w:t xml:space="preserve">REACH Synthetic Polymer Microparticles </w:t>
      </w:r>
      <w:r w:rsidR="002C2DD7">
        <w:t>r</w:t>
      </w:r>
      <w:r w:rsidR="00381C64">
        <w:t>estriction</w:t>
      </w:r>
      <w:r w:rsidR="009D76B9" w:rsidRPr="005047BA">
        <w:t xml:space="preserve"> </w:t>
      </w:r>
      <w:r w:rsidR="00F928E2" w:rsidRPr="005047BA">
        <w:t>and he leaves the polymer in his product physically and chemically unchanged?</w:t>
      </w:r>
    </w:p>
    <w:p w14:paraId="11AABF81" w14:textId="1A9C57DC" w:rsidR="00F928E2" w:rsidRPr="00BD4430" w:rsidRDefault="009D76B9" w:rsidP="00F677DE">
      <w:pPr>
        <w:tabs>
          <w:tab w:val="left" w:pos="0"/>
        </w:tabs>
        <w:spacing w:after="120" w:line="240" w:lineRule="auto"/>
        <w:jc w:val="both"/>
        <w:rPr>
          <w:rFonts w:eastAsia="Times New Roman" w:cstheme="minorHAnsi"/>
        </w:rPr>
      </w:pPr>
      <w:r w:rsidRPr="009D76B9">
        <w:rPr>
          <w:rFonts w:eastAsia="Times New Roman" w:cstheme="minorHAnsi"/>
        </w:rPr>
        <w:t xml:space="preserve">Each </w:t>
      </w:r>
      <w:r>
        <w:rPr>
          <w:rFonts w:eastAsia="Times New Roman" w:cstheme="minorHAnsi"/>
        </w:rPr>
        <w:t xml:space="preserve">individual </w:t>
      </w:r>
      <w:r w:rsidRPr="009D76B9">
        <w:rPr>
          <w:rFonts w:eastAsia="Times New Roman" w:cstheme="minorHAnsi"/>
        </w:rPr>
        <w:t>compan</w:t>
      </w:r>
      <w:r>
        <w:rPr>
          <w:rFonts w:eastAsia="Times New Roman" w:cstheme="minorHAnsi"/>
        </w:rPr>
        <w:t>y should</w:t>
      </w:r>
      <w:r w:rsidRPr="009D76B9">
        <w:rPr>
          <w:rFonts w:eastAsia="Times New Roman" w:cstheme="minorHAnsi"/>
        </w:rPr>
        <w:t xml:space="preserve"> continue to assess their legal responsibility with regards to </w:t>
      </w:r>
      <w:r w:rsidR="000E6153" w:rsidRPr="000E6153">
        <w:rPr>
          <w:rFonts w:eastAsia="Times New Roman" w:cstheme="minorHAnsi"/>
        </w:rPr>
        <w:t xml:space="preserve">REACH </w:t>
      </w:r>
      <w:r w:rsidR="00E92BBF">
        <w:rPr>
          <w:rFonts w:eastAsia="Times New Roman" w:cstheme="minorHAnsi"/>
        </w:rPr>
        <w:t xml:space="preserve">SPM </w:t>
      </w:r>
      <w:r w:rsidR="002C2DD7">
        <w:rPr>
          <w:rFonts w:eastAsia="Times New Roman" w:cstheme="minorHAnsi"/>
        </w:rPr>
        <w:t>r</w:t>
      </w:r>
      <w:r w:rsidR="00381C64">
        <w:rPr>
          <w:rFonts w:eastAsia="Times New Roman" w:cstheme="minorHAnsi"/>
        </w:rPr>
        <w:t>estriction</w:t>
      </w:r>
      <w:r w:rsidRPr="009D76B9">
        <w:rPr>
          <w:rFonts w:eastAsia="Times New Roman" w:cstheme="minorHAnsi"/>
        </w:rPr>
        <w:t>.</w:t>
      </w:r>
      <w:r>
        <w:rPr>
          <w:rFonts w:eastAsia="Times New Roman" w:cstheme="minorHAnsi"/>
        </w:rPr>
        <w:t xml:space="preserve"> </w:t>
      </w:r>
      <w:r w:rsidRPr="00BD4430">
        <w:rPr>
          <w:rFonts w:eastAsia="Times New Roman" w:cstheme="minorHAnsi"/>
        </w:rPr>
        <w:t xml:space="preserve">If in doubt, </w:t>
      </w:r>
      <w:r>
        <w:rPr>
          <w:rFonts w:eastAsia="Times New Roman" w:cstheme="minorHAnsi"/>
        </w:rPr>
        <w:t>one should</w:t>
      </w:r>
      <w:r w:rsidRPr="00BD4430">
        <w:rPr>
          <w:rFonts w:eastAsia="Times New Roman" w:cstheme="minorHAnsi"/>
        </w:rPr>
        <w:t xml:space="preserve"> check with supplier</w:t>
      </w:r>
      <w:r>
        <w:rPr>
          <w:rFonts w:eastAsia="Times New Roman" w:cstheme="minorHAnsi"/>
        </w:rPr>
        <w:t xml:space="preserve"> if a product is in the scope of </w:t>
      </w:r>
      <w:r w:rsidR="003C2F82">
        <w:rPr>
          <w:rFonts w:eastAsia="Times New Roman" w:cstheme="minorHAnsi"/>
        </w:rPr>
        <w:t>the</w:t>
      </w:r>
      <w:r w:rsidR="000E6153" w:rsidRPr="000E6153">
        <w:rPr>
          <w:rFonts w:eastAsia="Times New Roman" w:cstheme="minorHAnsi"/>
        </w:rPr>
        <w:t xml:space="preserve"> </w:t>
      </w:r>
      <w:r w:rsidR="002C2DD7">
        <w:rPr>
          <w:rFonts w:eastAsia="Times New Roman" w:cstheme="minorHAnsi"/>
        </w:rPr>
        <w:t>r</w:t>
      </w:r>
      <w:r w:rsidR="00381C64">
        <w:rPr>
          <w:rFonts w:eastAsia="Times New Roman" w:cstheme="minorHAnsi"/>
        </w:rPr>
        <w:t>estriction</w:t>
      </w:r>
      <w:r w:rsidRPr="00BD4430">
        <w:rPr>
          <w:rFonts w:eastAsia="Times New Roman" w:cstheme="minorHAnsi"/>
        </w:rPr>
        <w:t>.</w:t>
      </w:r>
      <w:r>
        <w:rPr>
          <w:rFonts w:eastAsia="Times New Roman" w:cstheme="minorHAnsi"/>
        </w:rPr>
        <w:t xml:space="preserve"> I</w:t>
      </w:r>
      <w:r w:rsidR="00F928E2" w:rsidRPr="00BD4430">
        <w:rPr>
          <w:rFonts w:eastAsia="Times New Roman" w:cstheme="minorHAnsi"/>
        </w:rPr>
        <w:t xml:space="preserve">f the supplier </w:t>
      </w:r>
      <w:r>
        <w:rPr>
          <w:rFonts w:eastAsia="Times New Roman" w:cstheme="minorHAnsi"/>
        </w:rPr>
        <w:t xml:space="preserve">obeys </w:t>
      </w:r>
      <w:r w:rsidR="00F928E2" w:rsidRPr="00BD4430">
        <w:rPr>
          <w:rFonts w:eastAsia="Times New Roman" w:cstheme="minorHAnsi"/>
        </w:rPr>
        <w:t>the law</w:t>
      </w:r>
      <w:r w:rsidR="00D70011">
        <w:rPr>
          <w:rFonts w:eastAsia="Times New Roman" w:cstheme="minorHAnsi"/>
        </w:rPr>
        <w:t>, any</w:t>
      </w:r>
      <w:r>
        <w:rPr>
          <w:rFonts w:eastAsia="Times New Roman" w:cstheme="minorHAnsi"/>
        </w:rPr>
        <w:t xml:space="preserve"> product in scope of the </w:t>
      </w:r>
      <w:r w:rsidR="00381C64">
        <w:rPr>
          <w:rFonts w:eastAsia="Times New Roman" w:cstheme="minorHAnsi"/>
        </w:rPr>
        <w:t>restriction</w:t>
      </w:r>
      <w:r>
        <w:rPr>
          <w:rFonts w:eastAsia="Times New Roman" w:cstheme="minorHAnsi"/>
        </w:rPr>
        <w:t xml:space="preserve"> should </w:t>
      </w:r>
      <w:r w:rsidR="00D70011">
        <w:rPr>
          <w:rFonts w:eastAsia="Times New Roman" w:cstheme="minorHAnsi"/>
        </w:rPr>
        <w:t xml:space="preserve">be </w:t>
      </w:r>
      <w:r>
        <w:rPr>
          <w:rFonts w:eastAsia="Times New Roman" w:cstheme="minorHAnsi"/>
        </w:rPr>
        <w:t>out according to the timelines</w:t>
      </w:r>
      <w:r w:rsidR="00F928E2" w:rsidRPr="00BD4430">
        <w:rPr>
          <w:rFonts w:eastAsia="Times New Roman" w:cstheme="minorHAnsi"/>
        </w:rPr>
        <w:t xml:space="preserve">. </w:t>
      </w:r>
      <w:r>
        <w:rPr>
          <w:rFonts w:eastAsia="Times New Roman" w:cstheme="minorHAnsi"/>
        </w:rPr>
        <w:t xml:space="preserve">One should be </w:t>
      </w:r>
      <w:r w:rsidR="00600FB7">
        <w:rPr>
          <w:rFonts w:eastAsia="Times New Roman" w:cstheme="minorHAnsi"/>
        </w:rPr>
        <w:t>vigilant as</w:t>
      </w:r>
      <w:r>
        <w:rPr>
          <w:rFonts w:eastAsia="Times New Roman" w:cstheme="minorHAnsi"/>
        </w:rPr>
        <w:t xml:space="preserve"> transition timelines differ between</w:t>
      </w:r>
      <w:r w:rsidR="00F928E2" w:rsidRPr="00BD4430">
        <w:rPr>
          <w:rFonts w:eastAsia="Times New Roman" w:cstheme="minorHAnsi"/>
        </w:rPr>
        <w:t xml:space="preserve"> </w:t>
      </w:r>
      <w:r>
        <w:rPr>
          <w:rFonts w:eastAsia="Times New Roman" w:cstheme="minorHAnsi"/>
        </w:rPr>
        <w:t xml:space="preserve">different </w:t>
      </w:r>
      <w:r w:rsidR="00F928E2" w:rsidRPr="00BD4430">
        <w:rPr>
          <w:rFonts w:eastAsia="Times New Roman" w:cstheme="minorHAnsi"/>
        </w:rPr>
        <w:t>product</w:t>
      </w:r>
      <w:r>
        <w:rPr>
          <w:rFonts w:eastAsia="Times New Roman" w:cstheme="minorHAnsi"/>
        </w:rPr>
        <w:t xml:space="preserve"> groups</w:t>
      </w:r>
      <w:r w:rsidR="00F928E2" w:rsidRPr="00BD4430">
        <w:rPr>
          <w:rFonts w:eastAsia="Times New Roman" w:cstheme="minorHAnsi"/>
        </w:rPr>
        <w:t xml:space="preserve">. </w:t>
      </w:r>
      <w:r w:rsidR="00B23ED1">
        <w:rPr>
          <w:rFonts w:eastAsia="Times New Roman" w:cstheme="minorHAnsi"/>
        </w:rPr>
        <w:t>Even if a product is derogated</w:t>
      </w:r>
      <w:r w:rsidR="00DF465C">
        <w:rPr>
          <w:rFonts w:eastAsia="Times New Roman" w:cstheme="minorHAnsi"/>
        </w:rPr>
        <w:t xml:space="preserve">/excluded from the restriction it may </w:t>
      </w:r>
      <w:r w:rsidR="006219C4">
        <w:rPr>
          <w:rFonts w:eastAsia="Times New Roman" w:cstheme="minorHAnsi"/>
        </w:rPr>
        <w:t>still be affected by obligations stipulated in the legal text</w:t>
      </w:r>
      <w:r w:rsidR="000977E2">
        <w:rPr>
          <w:rFonts w:eastAsia="Times New Roman" w:cstheme="minorHAnsi"/>
        </w:rPr>
        <w:t>, for example reporting &amp;labelling.</w:t>
      </w:r>
    </w:p>
    <w:p w14:paraId="73A1B087" w14:textId="77777777" w:rsidR="00A147C4" w:rsidRDefault="00A147C4" w:rsidP="007F6227">
      <w:pPr>
        <w:spacing w:after="120" w:line="240" w:lineRule="auto"/>
        <w:jc w:val="both"/>
        <w:textAlignment w:val="baseline"/>
        <w:rPr>
          <w:rFonts w:eastAsia="Times New Roman" w:cstheme="minorHAnsi"/>
        </w:rPr>
      </w:pPr>
    </w:p>
    <w:p w14:paraId="10007F18" w14:textId="0CD74E56" w:rsidR="00C731BB" w:rsidRPr="004B16D8" w:rsidRDefault="3BFA88A1" w:rsidP="008A4391">
      <w:pPr>
        <w:pStyle w:val="Pealkiri1"/>
        <w:numPr>
          <w:ilvl w:val="0"/>
          <w:numId w:val="11"/>
        </w:numPr>
        <w:rPr>
          <w:rFonts w:cstheme="minorHAnsi"/>
          <w:lang w:val="fr-BE"/>
        </w:rPr>
      </w:pPr>
      <w:bookmarkStart w:id="9" w:name="_Toc170394058"/>
      <w:r w:rsidRPr="428422A5">
        <w:rPr>
          <w:lang w:val="fr-BE"/>
        </w:rPr>
        <w:t>R</w:t>
      </w:r>
      <w:r w:rsidR="59F2FC72" w:rsidRPr="428422A5">
        <w:rPr>
          <w:lang w:val="fr-BE"/>
        </w:rPr>
        <w:t>EPORTING</w:t>
      </w:r>
      <w:bookmarkEnd w:id="9"/>
    </w:p>
    <w:p w14:paraId="224399A5" w14:textId="77777777" w:rsidR="007F6227" w:rsidRDefault="007F6227" w:rsidP="007F6227">
      <w:pPr>
        <w:spacing w:after="120" w:line="240" w:lineRule="auto"/>
        <w:jc w:val="both"/>
        <w:textAlignment w:val="baseline"/>
        <w:rPr>
          <w:rFonts w:eastAsia="Calibri" w:cstheme="minorHAnsi"/>
          <w:b/>
          <w:bCs/>
          <w:color w:val="4472C4" w:themeColor="accent1"/>
        </w:rPr>
      </w:pPr>
    </w:p>
    <w:p w14:paraId="16487229" w14:textId="7E26D78A" w:rsidR="00157E35" w:rsidRPr="005047BA" w:rsidRDefault="00EC27F3" w:rsidP="00EC27F3">
      <w:pPr>
        <w:pStyle w:val="Pealkiri2"/>
        <w:jc w:val="both"/>
      </w:pPr>
      <w:r>
        <w:t xml:space="preserve">5.1 </w:t>
      </w:r>
      <w:r w:rsidR="00157E35" w:rsidRPr="005047BA">
        <w:t>Paragraph 12</w:t>
      </w:r>
      <w:r w:rsidR="00B846EF" w:rsidRPr="005047BA">
        <w:t xml:space="preserve"> </w:t>
      </w:r>
      <w:r w:rsidR="00157E35" w:rsidRPr="005047BA">
        <w:t xml:space="preserve">requires </w:t>
      </w:r>
      <w:r w:rsidR="00E72877">
        <w:t xml:space="preserve">suppliers to </w:t>
      </w:r>
      <w:r w:rsidR="00600FB7" w:rsidRPr="005047BA">
        <w:t>report products</w:t>
      </w:r>
      <w:r w:rsidR="00157E35" w:rsidRPr="005047BA">
        <w:t xml:space="preserve"> containing </w:t>
      </w:r>
      <w:r w:rsidR="0055247A">
        <w:t>SPM</w:t>
      </w:r>
      <w:r w:rsidR="00157E35" w:rsidRPr="005047BA">
        <w:t xml:space="preserve"> referred to in paragraph 4- (b), (d) &amp; e and paragraph 5. </w:t>
      </w:r>
      <w:r w:rsidR="00E72877">
        <w:t>C</w:t>
      </w:r>
      <w:r w:rsidR="00157E35" w:rsidRPr="005047BA">
        <w:t xml:space="preserve">larification is required for </w:t>
      </w:r>
      <w:r w:rsidR="00E72877">
        <w:t xml:space="preserve">the </w:t>
      </w:r>
      <w:r w:rsidR="009C18FF">
        <w:t>f</w:t>
      </w:r>
      <w:r w:rsidR="002A262E" w:rsidRPr="005047BA">
        <w:t>ollowing</w:t>
      </w:r>
      <w:r w:rsidR="00157E35" w:rsidRPr="005047BA">
        <w:t xml:space="preserve"> Polymers derogated in paragraph 5 b) </w:t>
      </w:r>
      <w:r w:rsidR="00E72877">
        <w:t xml:space="preserve">that </w:t>
      </w:r>
      <w:r w:rsidR="00157E35" w:rsidRPr="005047BA">
        <w:t xml:space="preserve">are completely transformed and lose their particle properties under certain conditions. </w:t>
      </w:r>
      <w:r w:rsidR="0037138B" w:rsidRPr="005047BA">
        <w:t>I</w:t>
      </w:r>
      <w:r w:rsidR="00157E35" w:rsidRPr="005047BA">
        <w:t xml:space="preserve">f a polymer is permanently transformed during </w:t>
      </w:r>
      <w:r w:rsidR="009C18FF">
        <w:t xml:space="preserve">the </w:t>
      </w:r>
      <w:r w:rsidR="00157E35" w:rsidRPr="005047BA">
        <w:t>formulation stage prior to end use or during end use, no release of microparticles will occur during</w:t>
      </w:r>
      <w:r w:rsidR="009C18FF">
        <w:t xml:space="preserve"> the</w:t>
      </w:r>
      <w:r w:rsidR="00157E35" w:rsidRPr="005047BA">
        <w:t xml:space="preserve"> use of the product.  </w:t>
      </w:r>
      <w:r w:rsidR="001D51E3">
        <w:t xml:space="preserve">Does reporting of derogated products under paragraph 5 </w:t>
      </w:r>
      <w:proofErr w:type="gramStart"/>
      <w:r w:rsidR="001D51E3">
        <w:t xml:space="preserve">apply </w:t>
      </w:r>
      <w:r w:rsidR="00177B90" w:rsidRPr="005047BA">
        <w:t>?</w:t>
      </w:r>
      <w:proofErr w:type="gramEnd"/>
    </w:p>
    <w:p w14:paraId="3D94E984" w14:textId="11EAC03F" w:rsidR="00FC62A0" w:rsidRDefault="00FC62A0" w:rsidP="007F6227">
      <w:pPr>
        <w:spacing w:after="120" w:line="240" w:lineRule="auto"/>
        <w:jc w:val="both"/>
        <w:rPr>
          <w:rFonts w:cstheme="minorHAnsi"/>
        </w:rPr>
      </w:pPr>
      <w:r>
        <w:rPr>
          <w:rFonts w:cstheme="minorHAnsi"/>
        </w:rPr>
        <w:t xml:space="preserve">A </w:t>
      </w:r>
      <w:r w:rsidR="0055247A">
        <w:rPr>
          <w:rFonts w:cstheme="minorHAnsi"/>
        </w:rPr>
        <w:t xml:space="preserve">SPM </w:t>
      </w:r>
      <w:r>
        <w:rPr>
          <w:rFonts w:cstheme="minorHAnsi"/>
        </w:rPr>
        <w:t xml:space="preserve">can be permanently transformed during different life cycle stages of the product. This is reflected in the text of the </w:t>
      </w:r>
      <w:r w:rsidR="001D15A2">
        <w:rPr>
          <w:rFonts w:cstheme="minorHAnsi"/>
        </w:rPr>
        <w:t>r</w:t>
      </w:r>
      <w:r w:rsidR="00381C64">
        <w:rPr>
          <w:rFonts w:cstheme="minorHAnsi"/>
        </w:rPr>
        <w:t>estriction</w:t>
      </w:r>
      <w:r>
        <w:rPr>
          <w:rFonts w:cstheme="minorHAnsi"/>
        </w:rPr>
        <w:t xml:space="preserve">. Therefore, reporting will be a case-by-case requirement. See </w:t>
      </w:r>
      <w:r w:rsidR="00D70011">
        <w:rPr>
          <w:rFonts w:cstheme="minorHAnsi"/>
        </w:rPr>
        <w:t xml:space="preserve">the </w:t>
      </w:r>
      <w:r>
        <w:rPr>
          <w:rFonts w:cstheme="minorHAnsi"/>
        </w:rPr>
        <w:t>different cases</w:t>
      </w:r>
      <w:r w:rsidR="00D70011">
        <w:rPr>
          <w:rFonts w:cstheme="minorHAnsi"/>
        </w:rPr>
        <w:t xml:space="preserve"> below</w:t>
      </w:r>
      <w:r>
        <w:rPr>
          <w:rFonts w:cstheme="minorHAnsi"/>
        </w:rPr>
        <w:t xml:space="preserve">:  </w:t>
      </w:r>
    </w:p>
    <w:p w14:paraId="78BD8077" w14:textId="77777777" w:rsidR="00FC62A0" w:rsidRDefault="00FC62A0" w:rsidP="007F6227">
      <w:pPr>
        <w:spacing w:after="120" w:line="240" w:lineRule="auto"/>
        <w:jc w:val="both"/>
        <w:rPr>
          <w:rFonts w:cstheme="minorHAnsi"/>
        </w:rPr>
      </w:pPr>
      <w:r>
        <w:rPr>
          <w:rFonts w:cstheme="minorHAnsi"/>
        </w:rPr>
        <w:t xml:space="preserve">Scenario mentioned in the question: </w:t>
      </w:r>
    </w:p>
    <w:p w14:paraId="1B74C7C6" w14:textId="2546BE9C" w:rsidR="00FC62A0" w:rsidRPr="00FC62A0" w:rsidRDefault="00FC62A0" w:rsidP="008A4391">
      <w:pPr>
        <w:pStyle w:val="Loendilik"/>
        <w:numPr>
          <w:ilvl w:val="0"/>
          <w:numId w:val="8"/>
        </w:numPr>
        <w:spacing w:before="0" w:after="120" w:line="240" w:lineRule="auto"/>
        <w:jc w:val="both"/>
        <w:rPr>
          <w:rFonts w:eastAsiaTheme="minorEastAsia" w:cstheme="minorHAnsi"/>
          <w:color w:val="000000" w:themeColor="text1"/>
        </w:rPr>
      </w:pPr>
      <w:r w:rsidRPr="00FC62A0">
        <w:rPr>
          <w:rFonts w:eastAsiaTheme="minorHAnsi" w:cstheme="minorHAnsi"/>
          <w:b/>
          <w:bCs/>
          <w:color w:val="000000" w:themeColor="text1"/>
        </w:rPr>
        <w:t xml:space="preserve">Manufacturer </w:t>
      </w:r>
      <w:r w:rsidR="00600FB7" w:rsidRPr="00600FB7">
        <w:rPr>
          <w:rFonts w:eastAsiaTheme="minorHAnsi" w:cstheme="minorHAnsi"/>
          <w:color w:val="000000" w:themeColor="text1"/>
        </w:rPr>
        <w:t>obligations in paragraph 11</w:t>
      </w:r>
    </w:p>
    <w:p w14:paraId="74504716" w14:textId="6377F9B0" w:rsidR="00157E35" w:rsidRPr="00FC62A0" w:rsidRDefault="00FC62A0" w:rsidP="008A4391">
      <w:pPr>
        <w:pStyle w:val="Loendilik"/>
        <w:numPr>
          <w:ilvl w:val="0"/>
          <w:numId w:val="8"/>
        </w:numPr>
        <w:spacing w:before="0" w:after="120" w:line="240" w:lineRule="auto"/>
        <w:jc w:val="both"/>
        <w:rPr>
          <w:rFonts w:eastAsiaTheme="minorEastAsia" w:cstheme="minorHAnsi"/>
          <w:color w:val="000000" w:themeColor="text1"/>
        </w:rPr>
      </w:pPr>
      <w:r w:rsidRPr="00FC62A0">
        <w:rPr>
          <w:rFonts w:cstheme="minorHAnsi"/>
          <w:b/>
          <w:bCs/>
          <w:color w:val="000000" w:themeColor="text1"/>
        </w:rPr>
        <w:t>Industrial downstream</w:t>
      </w:r>
      <w:r w:rsidR="009C18FF">
        <w:rPr>
          <w:rFonts w:cstheme="minorHAnsi"/>
          <w:b/>
          <w:bCs/>
          <w:color w:val="000000" w:themeColor="text1"/>
        </w:rPr>
        <w:t xml:space="preserve"> </w:t>
      </w:r>
      <w:r w:rsidR="00600FB7">
        <w:rPr>
          <w:rFonts w:cstheme="minorHAnsi"/>
          <w:b/>
          <w:bCs/>
          <w:color w:val="000000" w:themeColor="text1"/>
        </w:rPr>
        <w:t>User</w:t>
      </w:r>
      <w:r w:rsidR="00600FB7" w:rsidRPr="00FC62A0">
        <w:rPr>
          <w:rFonts w:cstheme="minorHAnsi"/>
          <w:color w:val="000000" w:themeColor="text1"/>
        </w:rPr>
        <w:t xml:space="preserve"> (</w:t>
      </w:r>
      <w:r w:rsidR="00416DB7">
        <w:rPr>
          <w:rFonts w:cstheme="minorHAnsi"/>
          <w:color w:val="000000" w:themeColor="text1"/>
        </w:rPr>
        <w:t>SPM</w:t>
      </w:r>
      <w:r w:rsidRPr="00FC62A0">
        <w:rPr>
          <w:rFonts w:cstheme="minorHAnsi"/>
          <w:color w:val="000000" w:themeColor="text1"/>
        </w:rPr>
        <w:t xml:space="preserve"> is permanently transformed during formulation stage</w:t>
      </w:r>
      <w:r w:rsidR="009C18FF">
        <w:rPr>
          <w:rFonts w:cstheme="minorHAnsi"/>
          <w:color w:val="000000" w:themeColor="text1"/>
        </w:rPr>
        <w:t>,</w:t>
      </w:r>
      <w:r w:rsidRPr="00FC62A0">
        <w:rPr>
          <w:rFonts w:cstheme="minorHAnsi"/>
          <w:color w:val="000000" w:themeColor="text1"/>
        </w:rPr>
        <w:t xml:space="preserve"> prior to end use) </w:t>
      </w:r>
      <w:r w:rsidR="00157E35" w:rsidRPr="00FC62A0">
        <w:rPr>
          <w:rFonts w:cstheme="minorHAnsi"/>
          <w:color w:val="000000" w:themeColor="text1"/>
        </w:rPr>
        <w:t>Th</w:t>
      </w:r>
      <w:r w:rsidR="00CD5783" w:rsidRPr="00FC62A0">
        <w:rPr>
          <w:rFonts w:cstheme="minorHAnsi"/>
          <w:color w:val="000000" w:themeColor="text1"/>
        </w:rPr>
        <w:t xml:space="preserve">e case reported in this question </w:t>
      </w:r>
      <w:r w:rsidR="00157E35" w:rsidRPr="00FC62A0">
        <w:rPr>
          <w:rFonts w:cstheme="minorHAnsi"/>
          <w:color w:val="000000" w:themeColor="text1"/>
        </w:rPr>
        <w:t xml:space="preserve">does not apply to </w:t>
      </w:r>
      <w:r w:rsidR="00496AFE" w:rsidRPr="00FC62A0">
        <w:rPr>
          <w:rFonts w:cstheme="minorHAnsi"/>
          <w:color w:val="000000" w:themeColor="text1"/>
        </w:rPr>
        <w:t xml:space="preserve">the derogation set in </w:t>
      </w:r>
      <w:r w:rsidR="00157E35" w:rsidRPr="00FC62A0">
        <w:rPr>
          <w:rFonts w:cstheme="minorHAnsi"/>
          <w:color w:val="000000" w:themeColor="text1"/>
        </w:rPr>
        <w:t xml:space="preserve">paragraph 5b). Formulation </w:t>
      </w:r>
      <w:r w:rsidR="009C18FF">
        <w:rPr>
          <w:rFonts w:cstheme="minorHAnsi"/>
          <w:color w:val="000000" w:themeColor="text1"/>
        </w:rPr>
        <w:t>during</w:t>
      </w:r>
      <w:r w:rsidR="00157E35" w:rsidRPr="00FC62A0">
        <w:rPr>
          <w:rFonts w:cstheme="minorHAnsi"/>
          <w:color w:val="000000" w:themeColor="text1"/>
        </w:rPr>
        <w:t xml:space="preserve"> industrial use follows </w:t>
      </w:r>
      <w:r w:rsidR="001F5F2B" w:rsidRPr="00FC62A0">
        <w:rPr>
          <w:rFonts w:cstheme="minorHAnsi"/>
          <w:color w:val="000000" w:themeColor="text1"/>
        </w:rPr>
        <w:t xml:space="preserve">paragraph </w:t>
      </w:r>
      <w:r w:rsidR="00157E35" w:rsidRPr="00FC62A0">
        <w:rPr>
          <w:rFonts w:cstheme="minorHAnsi"/>
          <w:color w:val="000000" w:themeColor="text1"/>
        </w:rPr>
        <w:t xml:space="preserve">4a). </w:t>
      </w:r>
      <w:r w:rsidR="004F47DA" w:rsidRPr="00FC62A0">
        <w:rPr>
          <w:rFonts w:cstheme="minorHAnsi"/>
          <w:color w:val="000000" w:themeColor="text1"/>
        </w:rPr>
        <w:t>As such, r</w:t>
      </w:r>
      <w:r w:rsidR="00157E35" w:rsidRPr="00FC62A0">
        <w:rPr>
          <w:rFonts w:cstheme="minorHAnsi"/>
          <w:color w:val="000000" w:themeColor="text1"/>
        </w:rPr>
        <w:t xml:space="preserve">eporting should be done according to </w:t>
      </w:r>
      <w:r w:rsidR="004F47DA" w:rsidRPr="00FC62A0">
        <w:rPr>
          <w:rFonts w:cstheme="minorHAnsi"/>
          <w:color w:val="000000" w:themeColor="text1"/>
        </w:rPr>
        <w:t xml:space="preserve">the </w:t>
      </w:r>
      <w:r w:rsidR="00157E35" w:rsidRPr="00FC62A0">
        <w:rPr>
          <w:rFonts w:cstheme="minorHAnsi"/>
          <w:color w:val="000000" w:themeColor="text1"/>
        </w:rPr>
        <w:t>requirements</w:t>
      </w:r>
      <w:r w:rsidR="004F47DA" w:rsidRPr="00FC62A0">
        <w:rPr>
          <w:rFonts w:cstheme="minorHAnsi"/>
          <w:color w:val="000000" w:themeColor="text1"/>
        </w:rPr>
        <w:t xml:space="preserve"> for paragraph</w:t>
      </w:r>
      <w:r w:rsidR="00157E35" w:rsidRPr="00FC62A0">
        <w:rPr>
          <w:rFonts w:cstheme="minorHAnsi"/>
          <w:color w:val="000000" w:themeColor="text1"/>
        </w:rPr>
        <w:t xml:space="preserve"> 4 a)</w:t>
      </w:r>
      <w:r w:rsidR="004F47DA" w:rsidRPr="00FC62A0">
        <w:rPr>
          <w:rFonts w:cstheme="minorHAnsi"/>
          <w:color w:val="000000" w:themeColor="text1"/>
        </w:rPr>
        <w:t xml:space="preserve">, set </w:t>
      </w:r>
      <w:r w:rsidR="009C18FF">
        <w:rPr>
          <w:rFonts w:cstheme="minorHAnsi"/>
          <w:color w:val="000000" w:themeColor="text1"/>
        </w:rPr>
        <w:t xml:space="preserve">out </w:t>
      </w:r>
      <w:r w:rsidR="004F47DA" w:rsidRPr="00FC62A0">
        <w:rPr>
          <w:rFonts w:cstheme="minorHAnsi"/>
          <w:color w:val="000000" w:themeColor="text1"/>
        </w:rPr>
        <w:t>under</w:t>
      </w:r>
      <w:r w:rsidR="00FE3B0A" w:rsidRPr="00FC62A0">
        <w:rPr>
          <w:rFonts w:cstheme="minorHAnsi"/>
          <w:color w:val="000000" w:themeColor="text1"/>
        </w:rPr>
        <w:t xml:space="preserve"> </w:t>
      </w:r>
      <w:r w:rsidR="004F47DA" w:rsidRPr="00FC62A0">
        <w:rPr>
          <w:rFonts w:cstheme="minorHAnsi"/>
          <w:color w:val="000000" w:themeColor="text1"/>
        </w:rPr>
        <w:t>p</w:t>
      </w:r>
      <w:r w:rsidR="00157E35" w:rsidRPr="00FC62A0">
        <w:rPr>
          <w:rFonts w:cstheme="minorHAnsi"/>
          <w:color w:val="000000" w:themeColor="text1"/>
        </w:rPr>
        <w:t xml:space="preserve">aragraph 11 of the </w:t>
      </w:r>
      <w:r w:rsidR="00C93088">
        <w:rPr>
          <w:rFonts w:cstheme="minorHAnsi"/>
          <w:color w:val="000000" w:themeColor="text1"/>
        </w:rPr>
        <w:t>restriction</w:t>
      </w:r>
      <w:r w:rsidR="00157E35" w:rsidRPr="00FC62A0">
        <w:rPr>
          <w:rFonts w:cstheme="minorHAnsi"/>
          <w:color w:val="000000" w:themeColor="text1"/>
        </w:rPr>
        <w:t>.</w:t>
      </w:r>
    </w:p>
    <w:p w14:paraId="53CA2165" w14:textId="305FF4A3" w:rsidR="00157E35" w:rsidRPr="002A262E" w:rsidRDefault="00FC62A0" w:rsidP="007F6227">
      <w:pPr>
        <w:spacing w:after="120" w:line="240" w:lineRule="auto"/>
        <w:jc w:val="both"/>
        <w:rPr>
          <w:rFonts w:eastAsiaTheme="minorEastAsia" w:cstheme="minorHAnsi"/>
          <w:i/>
          <w:iCs/>
        </w:rPr>
      </w:pPr>
      <w:r w:rsidRPr="00FC62A0">
        <w:rPr>
          <w:rFonts w:eastAsiaTheme="minorEastAsia" w:cstheme="minorHAnsi"/>
          <w:color w:val="000000" w:themeColor="text1"/>
        </w:rPr>
        <w:t xml:space="preserve">Paragraph 5 (a), (b), (c) lists SPM that are derogated from </w:t>
      </w:r>
      <w:r w:rsidR="00381C64">
        <w:rPr>
          <w:rFonts w:eastAsiaTheme="minorEastAsia" w:cstheme="minorHAnsi"/>
          <w:color w:val="000000" w:themeColor="text1"/>
        </w:rPr>
        <w:t>restriction</w:t>
      </w:r>
      <w:r w:rsidRPr="00FC62A0">
        <w:rPr>
          <w:rFonts w:eastAsiaTheme="minorEastAsia" w:cstheme="minorHAnsi"/>
          <w:color w:val="000000" w:themeColor="text1"/>
        </w:rPr>
        <w:t xml:space="preserve"> due to </w:t>
      </w:r>
      <w:r w:rsidR="00600FB7" w:rsidRPr="00FC62A0">
        <w:rPr>
          <w:rFonts w:eastAsiaTheme="minorEastAsia" w:cstheme="minorHAnsi"/>
          <w:color w:val="000000" w:themeColor="text1"/>
        </w:rPr>
        <w:t>the</w:t>
      </w:r>
      <w:r w:rsidRPr="00FC62A0">
        <w:rPr>
          <w:rFonts w:eastAsiaTheme="minorEastAsia" w:cstheme="minorHAnsi"/>
          <w:color w:val="000000" w:themeColor="text1"/>
        </w:rPr>
        <w:t xml:space="preserve"> limit </w:t>
      </w:r>
      <w:r w:rsidR="009C18FF">
        <w:rPr>
          <w:rFonts w:eastAsiaTheme="minorEastAsia" w:cstheme="minorHAnsi"/>
          <w:color w:val="000000" w:themeColor="text1"/>
        </w:rPr>
        <w:t xml:space="preserve">of their </w:t>
      </w:r>
      <w:r w:rsidRPr="00FC62A0">
        <w:rPr>
          <w:rFonts w:eastAsiaTheme="minorEastAsia" w:cstheme="minorHAnsi"/>
          <w:color w:val="000000" w:themeColor="text1"/>
        </w:rPr>
        <w:t>emissions to the environment. However, these polymers still have instructions of use and disposal and reporting obligations during use phase. Paragraph 12 indicates which uses need to be reported.</w:t>
      </w:r>
    </w:p>
    <w:p w14:paraId="30AB4871" w14:textId="77777777" w:rsidR="002A262E" w:rsidRDefault="002A262E" w:rsidP="007F6227">
      <w:pPr>
        <w:spacing w:after="120" w:line="240" w:lineRule="auto"/>
        <w:jc w:val="both"/>
        <w:rPr>
          <w:rFonts w:eastAsiaTheme="minorEastAsia" w:cstheme="minorHAnsi"/>
          <w:b/>
          <w:bCs/>
        </w:rPr>
      </w:pPr>
    </w:p>
    <w:tbl>
      <w:tblPr>
        <w:tblStyle w:val="Kontuurtabel"/>
        <w:tblW w:w="0" w:type="auto"/>
        <w:shd w:val="clear" w:color="auto" w:fill="D9E2F3" w:themeFill="accent1" w:themeFillTint="33"/>
        <w:tblLook w:val="04A0" w:firstRow="1" w:lastRow="0" w:firstColumn="1" w:lastColumn="0" w:noHBand="0" w:noVBand="1"/>
      </w:tblPr>
      <w:tblGrid>
        <w:gridCol w:w="9350"/>
      </w:tblGrid>
      <w:tr w:rsidR="002A262E" w14:paraId="30726E90" w14:textId="77777777" w:rsidTr="009836BB">
        <w:trPr>
          <w:trHeight w:val="2348"/>
        </w:trPr>
        <w:tc>
          <w:tcPr>
            <w:tcW w:w="9350" w:type="dxa"/>
            <w:shd w:val="clear" w:color="auto" w:fill="D9E2F3" w:themeFill="accent1" w:themeFillTint="33"/>
          </w:tcPr>
          <w:p w14:paraId="41D09643" w14:textId="41B4C4B7" w:rsidR="002A262E" w:rsidRPr="002A262E" w:rsidRDefault="002A262E" w:rsidP="007F6227">
            <w:pPr>
              <w:spacing w:after="120"/>
              <w:jc w:val="both"/>
              <w:rPr>
                <w:rFonts w:eastAsiaTheme="minorEastAsia" w:cstheme="minorHAnsi"/>
                <w:i/>
                <w:iCs/>
              </w:rPr>
            </w:pPr>
            <w:r>
              <w:rPr>
                <w:rFonts w:eastAsiaTheme="minorEastAsia" w:cstheme="minorHAnsi"/>
                <w:i/>
                <w:iCs/>
              </w:rPr>
              <w:t>(</w:t>
            </w:r>
            <w:r w:rsidRPr="002A262E">
              <w:rPr>
                <w:rFonts w:eastAsiaTheme="minorEastAsia" w:cstheme="minorHAnsi"/>
                <w:i/>
                <w:iCs/>
              </w:rPr>
              <w:t>5</w:t>
            </w:r>
            <w:r>
              <w:rPr>
                <w:rFonts w:eastAsiaTheme="minorEastAsia" w:cstheme="minorHAnsi"/>
                <w:i/>
                <w:iCs/>
              </w:rPr>
              <w:t xml:space="preserve">) </w:t>
            </w:r>
            <w:r w:rsidRPr="002A262E">
              <w:rPr>
                <w:rFonts w:eastAsiaTheme="minorEastAsia" w:cstheme="minorHAnsi"/>
                <w:b/>
                <w:bCs/>
                <w:i/>
                <w:iCs/>
                <w:u w:val="single"/>
              </w:rPr>
              <w:t>Paragraph 1 shall not apply</w:t>
            </w:r>
            <w:r w:rsidRPr="002A262E">
              <w:rPr>
                <w:rFonts w:eastAsiaTheme="minorEastAsia" w:cstheme="minorHAnsi"/>
                <w:i/>
                <w:iCs/>
              </w:rPr>
              <w:t xml:space="preserve"> to the placing on the market of the following synthetic polymer microparticles, as substances on their own or in mixtures:</w:t>
            </w:r>
          </w:p>
          <w:p w14:paraId="6DE88E92" w14:textId="37BE101F" w:rsidR="002A262E" w:rsidRPr="002A262E" w:rsidRDefault="002A262E" w:rsidP="007F6227">
            <w:pPr>
              <w:spacing w:after="120"/>
              <w:jc w:val="both"/>
              <w:rPr>
                <w:rFonts w:eastAsiaTheme="minorEastAsia" w:cstheme="minorHAnsi"/>
                <w:i/>
                <w:iCs/>
              </w:rPr>
            </w:pPr>
            <w:r w:rsidRPr="002A262E">
              <w:rPr>
                <w:rFonts w:eastAsiaTheme="minorEastAsia" w:cstheme="minorHAnsi"/>
                <w:i/>
                <w:iCs/>
              </w:rPr>
              <w:t>(a)</w:t>
            </w:r>
            <w:r>
              <w:rPr>
                <w:rFonts w:eastAsiaTheme="minorEastAsia" w:cstheme="minorHAnsi"/>
                <w:i/>
                <w:iCs/>
              </w:rPr>
              <w:t xml:space="preserve"> </w:t>
            </w:r>
            <w:r w:rsidRPr="002A262E">
              <w:rPr>
                <w:rFonts w:eastAsiaTheme="minorEastAsia" w:cstheme="minorHAnsi"/>
                <w:i/>
                <w:iCs/>
              </w:rPr>
              <w:t xml:space="preserve">synthetic polymer microparticles which are contained by technical means so that releases to the environment are prevented when used in accordance with the instructions for use during the intended end </w:t>
            </w:r>
            <w:proofErr w:type="gramStart"/>
            <w:r w:rsidRPr="002A262E">
              <w:rPr>
                <w:rFonts w:eastAsiaTheme="minorEastAsia" w:cstheme="minorHAnsi"/>
                <w:i/>
                <w:iCs/>
              </w:rPr>
              <w:t>use;</w:t>
            </w:r>
            <w:proofErr w:type="gramEnd"/>
          </w:p>
          <w:p w14:paraId="0F9E796A" w14:textId="0E08B8DD" w:rsidR="002A262E" w:rsidRPr="002A262E" w:rsidRDefault="002A262E" w:rsidP="007F6227">
            <w:pPr>
              <w:spacing w:after="120"/>
              <w:jc w:val="both"/>
              <w:rPr>
                <w:rFonts w:eastAsiaTheme="minorEastAsia" w:cstheme="minorHAnsi"/>
                <w:i/>
                <w:iCs/>
              </w:rPr>
            </w:pPr>
            <w:r w:rsidRPr="002A262E">
              <w:rPr>
                <w:rFonts w:eastAsiaTheme="minorEastAsia" w:cstheme="minorHAnsi"/>
                <w:i/>
                <w:iCs/>
              </w:rPr>
              <w:t>(b)</w:t>
            </w:r>
            <w:r>
              <w:rPr>
                <w:rFonts w:eastAsiaTheme="minorEastAsia" w:cstheme="minorHAnsi"/>
                <w:i/>
                <w:iCs/>
              </w:rPr>
              <w:t xml:space="preserve"> </w:t>
            </w:r>
            <w:r w:rsidRPr="002A262E">
              <w:rPr>
                <w:rFonts w:eastAsiaTheme="minorEastAsia" w:cstheme="minorHAnsi"/>
                <w:b/>
                <w:bCs/>
                <w:i/>
                <w:iCs/>
              </w:rPr>
              <w:t xml:space="preserve">synthetic polymer microparticles the physical properties of which are permanently modified during intended end use in such a way that the polymer no longer falls within the scope of this </w:t>
            </w:r>
            <w:proofErr w:type="gramStart"/>
            <w:r w:rsidRPr="002A262E">
              <w:rPr>
                <w:rFonts w:eastAsiaTheme="minorEastAsia" w:cstheme="minorHAnsi"/>
                <w:b/>
                <w:bCs/>
                <w:i/>
                <w:iCs/>
              </w:rPr>
              <w:t>entry;</w:t>
            </w:r>
            <w:proofErr w:type="gramEnd"/>
          </w:p>
          <w:p w14:paraId="63D89FF0" w14:textId="0BADCA01" w:rsidR="002A262E" w:rsidRDefault="002A262E" w:rsidP="007F6227">
            <w:pPr>
              <w:spacing w:after="120"/>
              <w:jc w:val="both"/>
              <w:rPr>
                <w:rFonts w:eastAsiaTheme="minorEastAsia" w:cstheme="minorHAnsi"/>
                <w:i/>
                <w:iCs/>
              </w:rPr>
            </w:pPr>
            <w:r w:rsidRPr="002A262E">
              <w:rPr>
                <w:rFonts w:eastAsiaTheme="minorEastAsia" w:cstheme="minorHAnsi"/>
                <w:i/>
                <w:iCs/>
              </w:rPr>
              <w:t>(c)</w:t>
            </w:r>
            <w:r>
              <w:rPr>
                <w:rFonts w:eastAsiaTheme="minorEastAsia" w:cstheme="minorHAnsi"/>
                <w:i/>
                <w:iCs/>
              </w:rPr>
              <w:t xml:space="preserve"> </w:t>
            </w:r>
            <w:r w:rsidRPr="002A262E">
              <w:rPr>
                <w:rFonts w:eastAsiaTheme="minorEastAsia" w:cstheme="minorHAnsi"/>
                <w:i/>
                <w:iCs/>
              </w:rPr>
              <w:t>synthetic polymer microparticles which are permanently incorporated into a solid matrix during intended end use.</w:t>
            </w:r>
          </w:p>
          <w:p w14:paraId="01467E07" w14:textId="5575D589" w:rsidR="00FC62A0" w:rsidRDefault="00FC62A0" w:rsidP="007F6227">
            <w:pPr>
              <w:spacing w:after="120"/>
              <w:jc w:val="both"/>
              <w:rPr>
                <w:rFonts w:eastAsiaTheme="minorEastAsia" w:cstheme="minorHAnsi"/>
                <w:i/>
                <w:iCs/>
              </w:rPr>
            </w:pPr>
            <w:r>
              <w:rPr>
                <w:rFonts w:eastAsiaTheme="minorEastAsia" w:cstheme="minorHAnsi"/>
                <w:i/>
                <w:iCs/>
              </w:rPr>
              <w:t xml:space="preserve">(11) </w:t>
            </w:r>
            <w:r w:rsidRPr="00FC62A0">
              <w:rPr>
                <w:rFonts w:eastAsiaTheme="minorEastAsia" w:cstheme="minorHAnsi"/>
                <w:i/>
                <w:iCs/>
              </w:rPr>
              <w:t xml:space="preserve">Starting from 2026 </w:t>
            </w:r>
            <w:r w:rsidRPr="00FC62A0">
              <w:rPr>
                <w:rFonts w:eastAsiaTheme="minorEastAsia" w:cstheme="minorHAnsi"/>
                <w:b/>
                <w:bCs/>
                <w:i/>
                <w:iCs/>
              </w:rPr>
              <w:t>manufacturers and industrial downstream users of synthetic polymer microparticles in the form of pellets, flakes, and powders used as feedstock in plastic manufacturing at industrial sites</w:t>
            </w:r>
            <w:r w:rsidRPr="00FC62A0">
              <w:rPr>
                <w:rFonts w:eastAsiaTheme="minorEastAsia" w:cstheme="minorHAnsi"/>
                <w:i/>
                <w:iCs/>
              </w:rPr>
              <w:t xml:space="preserve">, and, starting from 2027, </w:t>
            </w:r>
            <w:r w:rsidRPr="00FC62A0">
              <w:rPr>
                <w:rFonts w:eastAsiaTheme="minorEastAsia" w:cstheme="minorHAnsi"/>
                <w:b/>
                <w:bCs/>
                <w:i/>
                <w:iCs/>
              </w:rPr>
              <w:t>other manufacturers of synthetic polymer microparticles</w:t>
            </w:r>
            <w:r w:rsidRPr="00FC62A0">
              <w:rPr>
                <w:rFonts w:eastAsiaTheme="minorEastAsia" w:cstheme="minorHAnsi"/>
                <w:i/>
                <w:iCs/>
              </w:rPr>
              <w:t xml:space="preserve"> and other industrial downstream users using synthetic polymer microparticles at industrial sites shall submit the following information to the Agency by 31 May of each year</w:t>
            </w:r>
          </w:p>
          <w:p w14:paraId="07F710AD" w14:textId="2B1871F5" w:rsidR="002A262E" w:rsidRPr="002A262E" w:rsidRDefault="002A262E" w:rsidP="007F6227">
            <w:pPr>
              <w:spacing w:after="120"/>
              <w:jc w:val="both"/>
              <w:rPr>
                <w:rFonts w:eastAsiaTheme="minorEastAsia" w:cstheme="minorHAnsi"/>
                <w:i/>
                <w:iCs/>
              </w:rPr>
            </w:pPr>
            <w:r w:rsidRPr="002A262E">
              <w:rPr>
                <w:rFonts w:eastAsiaTheme="minorEastAsia" w:cstheme="minorHAnsi"/>
                <w:i/>
                <w:iCs/>
              </w:rPr>
              <w:t xml:space="preserve">(12) From 2027, suppliers of </w:t>
            </w:r>
            <w:r w:rsidRPr="002A262E">
              <w:rPr>
                <w:rFonts w:eastAsiaTheme="minorEastAsia" w:cstheme="minorHAnsi"/>
                <w:b/>
                <w:bCs/>
                <w:i/>
                <w:iCs/>
              </w:rPr>
              <w:t>products containing synthetic polymer microparticles</w:t>
            </w:r>
            <w:r w:rsidRPr="002A262E">
              <w:rPr>
                <w:rFonts w:eastAsiaTheme="minorEastAsia" w:cstheme="minorHAnsi"/>
                <w:i/>
                <w:iCs/>
              </w:rPr>
              <w:t xml:space="preserve"> referred to in paragraphs 4, points (b), (d) and (e), and paragraph 5, </w:t>
            </w:r>
            <w:r w:rsidRPr="002A262E">
              <w:rPr>
                <w:rFonts w:eastAsiaTheme="minorEastAsia" w:cstheme="minorHAnsi"/>
                <w:b/>
                <w:bCs/>
                <w:i/>
                <w:iCs/>
              </w:rPr>
              <w:t>placed on the market for the first time</w:t>
            </w:r>
            <w:r w:rsidRPr="002A262E">
              <w:rPr>
                <w:rFonts w:eastAsiaTheme="minorEastAsia" w:cstheme="minorHAnsi"/>
                <w:i/>
                <w:iCs/>
              </w:rPr>
              <w:t xml:space="preserve"> to professional users and the </w:t>
            </w:r>
            <w:proofErr w:type="gramStart"/>
            <w:r w:rsidRPr="002A262E">
              <w:rPr>
                <w:rFonts w:eastAsiaTheme="minorEastAsia" w:cstheme="minorHAnsi"/>
                <w:i/>
                <w:iCs/>
              </w:rPr>
              <w:t>general public</w:t>
            </w:r>
            <w:proofErr w:type="gramEnd"/>
            <w:r w:rsidRPr="002A262E">
              <w:rPr>
                <w:rFonts w:eastAsiaTheme="minorEastAsia" w:cstheme="minorHAnsi"/>
                <w:i/>
                <w:iCs/>
              </w:rPr>
              <w:t>, shall submit the following information to the Agency by 31 May of each year:</w:t>
            </w:r>
          </w:p>
          <w:p w14:paraId="2C477113" w14:textId="77777777" w:rsidR="002A262E" w:rsidRPr="002A262E" w:rsidRDefault="002A262E" w:rsidP="007F6227">
            <w:pPr>
              <w:spacing w:after="120"/>
              <w:jc w:val="both"/>
              <w:rPr>
                <w:rFonts w:eastAsiaTheme="minorEastAsia" w:cstheme="minorHAnsi"/>
                <w:i/>
                <w:iCs/>
              </w:rPr>
            </w:pPr>
            <w:r w:rsidRPr="002A262E">
              <w:rPr>
                <w:rFonts w:eastAsiaTheme="minorEastAsia" w:cstheme="minorHAnsi"/>
                <w:i/>
                <w:iCs/>
              </w:rPr>
              <w:t>(a) a description of the end uses for which the synthetic polymer microparticles were placed on the market in the previous calendar year</w:t>
            </w:r>
          </w:p>
          <w:p w14:paraId="4BC9B088" w14:textId="77777777" w:rsidR="002A262E" w:rsidRPr="002A262E" w:rsidRDefault="002A262E" w:rsidP="007F6227">
            <w:pPr>
              <w:spacing w:after="120"/>
              <w:jc w:val="both"/>
              <w:rPr>
                <w:rFonts w:eastAsiaTheme="minorEastAsia" w:cstheme="minorHAnsi"/>
                <w:i/>
                <w:iCs/>
              </w:rPr>
            </w:pPr>
            <w:r w:rsidRPr="002A262E">
              <w:rPr>
                <w:rFonts w:eastAsiaTheme="minorEastAsia" w:cstheme="minorHAnsi"/>
                <w:i/>
                <w:iCs/>
              </w:rPr>
              <w:t xml:space="preserve">(b) for each end use for which the synthetic polymer microparticles were placed on the market, generic information on the identity of the polymers placed on the market in the previous calendar </w:t>
            </w:r>
            <w:proofErr w:type="gramStart"/>
            <w:r w:rsidRPr="002A262E">
              <w:rPr>
                <w:rFonts w:eastAsiaTheme="minorEastAsia" w:cstheme="minorHAnsi"/>
                <w:i/>
                <w:iCs/>
              </w:rPr>
              <w:t>year;</w:t>
            </w:r>
            <w:proofErr w:type="gramEnd"/>
          </w:p>
          <w:p w14:paraId="138627F4" w14:textId="77777777" w:rsidR="002A262E" w:rsidRPr="002A262E" w:rsidRDefault="002A262E" w:rsidP="007F6227">
            <w:pPr>
              <w:spacing w:after="120"/>
              <w:jc w:val="both"/>
              <w:rPr>
                <w:rFonts w:eastAsiaTheme="minorEastAsia" w:cstheme="minorHAnsi"/>
                <w:i/>
                <w:iCs/>
              </w:rPr>
            </w:pPr>
            <w:r w:rsidRPr="002A262E">
              <w:rPr>
                <w:rFonts w:eastAsiaTheme="minorEastAsia" w:cstheme="minorHAnsi"/>
                <w:i/>
                <w:iCs/>
              </w:rPr>
              <w:t>(c) for each end use for which the synthetic polymer microparticles were placed on the market, an estimate of the quantity of synthetic polymer microparticles released to the environment in the previous calendar year, which shall include also the quantity of synthetic polymer microparticles released to the environment during transportation.</w:t>
            </w:r>
          </w:p>
          <w:p w14:paraId="31A20A50" w14:textId="4300D126" w:rsidR="002A262E" w:rsidRPr="002A262E" w:rsidRDefault="002A262E" w:rsidP="007F6227">
            <w:pPr>
              <w:spacing w:after="120"/>
              <w:jc w:val="both"/>
              <w:rPr>
                <w:rFonts w:eastAsiaTheme="minorEastAsia" w:cstheme="minorHAnsi"/>
                <w:i/>
                <w:iCs/>
              </w:rPr>
            </w:pPr>
            <w:r w:rsidRPr="002A262E">
              <w:rPr>
                <w:rFonts w:eastAsiaTheme="minorEastAsia" w:cstheme="minorHAnsi"/>
                <w:i/>
                <w:iCs/>
              </w:rPr>
              <w:t xml:space="preserve">(d) for each use of synthetic polymer microparticles, a reference to the applicable derogation or derogations laid down in paragraph 4, point (b), (d) or (e), or 5 </w:t>
            </w:r>
            <w:proofErr w:type="gramStart"/>
            <w:r w:rsidRPr="002A262E">
              <w:rPr>
                <w:rFonts w:eastAsiaTheme="minorEastAsia" w:cstheme="minorHAnsi"/>
                <w:i/>
                <w:iCs/>
              </w:rPr>
              <w:t>point</w:t>
            </w:r>
            <w:proofErr w:type="gramEnd"/>
            <w:r w:rsidRPr="002A262E">
              <w:rPr>
                <w:rFonts w:eastAsiaTheme="minorEastAsia" w:cstheme="minorHAnsi"/>
                <w:i/>
                <w:iCs/>
              </w:rPr>
              <w:t xml:space="preserve"> (a), (b) or (c).</w:t>
            </w:r>
          </w:p>
        </w:tc>
      </w:tr>
    </w:tbl>
    <w:p w14:paraId="418E00EF" w14:textId="77777777" w:rsidR="002A262E" w:rsidRDefault="002A262E" w:rsidP="007F6227">
      <w:pPr>
        <w:spacing w:after="120" w:line="240" w:lineRule="auto"/>
        <w:jc w:val="both"/>
        <w:rPr>
          <w:rFonts w:eastAsiaTheme="minorEastAsia" w:cstheme="minorHAnsi"/>
          <w:b/>
          <w:bCs/>
        </w:rPr>
      </w:pPr>
    </w:p>
    <w:p w14:paraId="3622A1EE" w14:textId="0B6A957A" w:rsidR="00D5357B" w:rsidRPr="00EC27F3" w:rsidRDefault="00AF3907" w:rsidP="00AF3907">
      <w:pPr>
        <w:pStyle w:val="Pealkiri2"/>
        <w:jc w:val="both"/>
      </w:pPr>
      <w:r w:rsidRPr="0069585A">
        <w:t>5.2</w:t>
      </w:r>
      <w:r>
        <w:t xml:space="preserve"> </w:t>
      </w:r>
      <w:r w:rsidR="00157E35" w:rsidRPr="005047BA">
        <w:t>Section 11 also covers transport, therefore, if a package is damaged in transit and material is spilled, swept up and disposed of as hazardous waste by either the transport company or a 3rd party (e.g. warehouse or distributor), does this not need to be reported?</w:t>
      </w:r>
      <w:r w:rsidR="00157E35" w:rsidRPr="00EC27F3">
        <w:t xml:space="preserve"> </w:t>
      </w:r>
    </w:p>
    <w:p w14:paraId="46B80206" w14:textId="16A11DCE" w:rsidR="00157E35" w:rsidRPr="00BD4430" w:rsidRDefault="00126F3D" w:rsidP="15B4E6D0">
      <w:pPr>
        <w:spacing w:after="120" w:line="240" w:lineRule="auto"/>
        <w:jc w:val="both"/>
        <w:rPr>
          <w:rFonts w:eastAsiaTheme="minorEastAsia"/>
        </w:rPr>
      </w:pPr>
      <w:r>
        <w:rPr>
          <w:rFonts w:eastAsiaTheme="minorEastAsia"/>
        </w:rPr>
        <w:t xml:space="preserve">Yes, </w:t>
      </w:r>
      <w:r w:rsidR="00371954" w:rsidRPr="15B4E6D0">
        <w:rPr>
          <w:rFonts w:eastAsiaTheme="minorEastAsia"/>
        </w:rPr>
        <w:t xml:space="preserve">REACH </w:t>
      </w:r>
      <w:r w:rsidR="00282AEA" w:rsidRPr="15B4E6D0">
        <w:rPr>
          <w:rFonts w:eastAsiaTheme="minorEastAsia"/>
        </w:rPr>
        <w:t>Res</w:t>
      </w:r>
      <w:r w:rsidR="17C7AFCD" w:rsidRPr="15B4E6D0">
        <w:rPr>
          <w:rFonts w:eastAsiaTheme="minorEastAsia"/>
        </w:rPr>
        <w:t>tri</w:t>
      </w:r>
      <w:r w:rsidR="00282AEA" w:rsidRPr="15B4E6D0">
        <w:rPr>
          <w:rFonts w:eastAsiaTheme="minorEastAsia"/>
        </w:rPr>
        <w:t>ction</w:t>
      </w:r>
      <w:r w:rsidR="00371954" w:rsidRPr="15B4E6D0">
        <w:rPr>
          <w:rFonts w:eastAsiaTheme="minorEastAsia"/>
        </w:rPr>
        <w:t xml:space="preserve"> </w:t>
      </w:r>
      <w:r w:rsidR="00282AEA" w:rsidRPr="15B4E6D0">
        <w:rPr>
          <w:rFonts w:eastAsiaTheme="minorEastAsia"/>
        </w:rPr>
        <w:t xml:space="preserve">addresses </w:t>
      </w:r>
      <w:r w:rsidR="009C18FF" w:rsidRPr="15B4E6D0">
        <w:rPr>
          <w:rFonts w:eastAsiaTheme="minorEastAsia"/>
        </w:rPr>
        <w:t xml:space="preserve">the </w:t>
      </w:r>
      <w:r w:rsidR="00282AEA" w:rsidRPr="15B4E6D0">
        <w:rPr>
          <w:rFonts w:eastAsiaTheme="minorEastAsia"/>
        </w:rPr>
        <w:t>r</w:t>
      </w:r>
      <w:r w:rsidR="00157E35" w:rsidRPr="15B4E6D0">
        <w:rPr>
          <w:rFonts w:eastAsiaTheme="minorEastAsia"/>
        </w:rPr>
        <w:t>elease</w:t>
      </w:r>
      <w:r w:rsidR="00282AEA" w:rsidRPr="15B4E6D0">
        <w:rPr>
          <w:rFonts w:eastAsiaTheme="minorEastAsia"/>
        </w:rPr>
        <w:t xml:space="preserve"> of </w:t>
      </w:r>
      <w:r w:rsidR="007957E0">
        <w:rPr>
          <w:rFonts w:eastAsiaTheme="minorEastAsia"/>
        </w:rPr>
        <w:t>SPM</w:t>
      </w:r>
      <w:r w:rsidR="00282AEA" w:rsidRPr="15B4E6D0">
        <w:rPr>
          <w:rFonts w:eastAsiaTheme="minorEastAsia"/>
        </w:rPr>
        <w:t xml:space="preserve"> </w:t>
      </w:r>
      <w:r w:rsidR="004F2CD0" w:rsidRPr="15B4E6D0">
        <w:rPr>
          <w:rFonts w:eastAsiaTheme="minorEastAsia"/>
        </w:rPr>
        <w:t>into</w:t>
      </w:r>
      <w:r w:rsidR="00157E35" w:rsidRPr="15B4E6D0">
        <w:rPr>
          <w:rFonts w:eastAsiaTheme="minorEastAsia"/>
        </w:rPr>
        <w:t xml:space="preserve"> the environment. If proper mitigation measures are put in place and prevention of release into </w:t>
      </w:r>
      <w:r w:rsidR="009C18FF" w:rsidRPr="15B4E6D0">
        <w:rPr>
          <w:rFonts w:eastAsiaTheme="minorEastAsia"/>
        </w:rPr>
        <w:t xml:space="preserve">the </w:t>
      </w:r>
      <w:r w:rsidR="00157E35" w:rsidRPr="15B4E6D0">
        <w:rPr>
          <w:rFonts w:eastAsiaTheme="minorEastAsia"/>
        </w:rPr>
        <w:t>environment can be demonstrated this would not require reporting as no “release to environment occurred”</w:t>
      </w:r>
    </w:p>
    <w:p w14:paraId="1C326C3C" w14:textId="77777777" w:rsidR="00157E35" w:rsidRPr="00BD4430" w:rsidRDefault="00157E35" w:rsidP="00AF3907">
      <w:pPr>
        <w:pStyle w:val="Pealkiri2"/>
      </w:pPr>
    </w:p>
    <w:p w14:paraId="56CB53B7" w14:textId="70EA6B11" w:rsidR="004F2CD0" w:rsidRPr="0069585A" w:rsidRDefault="0069585A" w:rsidP="0069585A">
      <w:pPr>
        <w:pStyle w:val="Pealkiri2"/>
        <w:jc w:val="both"/>
      </w:pPr>
      <w:r>
        <w:t xml:space="preserve">5.3 </w:t>
      </w:r>
      <w:r w:rsidR="004F2CD0" w:rsidRPr="0069585A">
        <w:t xml:space="preserve">Which information is included in the reporting obligations? </w:t>
      </w:r>
    </w:p>
    <w:p w14:paraId="183B1BD4" w14:textId="77777777" w:rsidR="004F3AFC" w:rsidRDefault="004F2CD0" w:rsidP="7B5E4C11">
      <w:pPr>
        <w:spacing w:after="120" w:line="240" w:lineRule="auto"/>
        <w:jc w:val="both"/>
      </w:pPr>
      <w:r w:rsidRPr="7B5E4C11">
        <w:t>The annual reporting obligations</w:t>
      </w:r>
      <w:r w:rsidR="008F6BC9" w:rsidRPr="7B5E4C11">
        <w:t>,</w:t>
      </w:r>
      <w:r w:rsidRPr="7B5E4C11">
        <w:t xml:space="preserve"> according to paragraphs 11 </w:t>
      </w:r>
      <w:r w:rsidR="68B8F971" w:rsidRPr="7B5E4C11">
        <w:t>and</w:t>
      </w:r>
      <w:r w:rsidRPr="7B5E4C11">
        <w:t xml:space="preserve"> 12</w:t>
      </w:r>
      <w:r w:rsidR="008F6BC9" w:rsidRPr="7B5E4C11">
        <w:t>,</w:t>
      </w:r>
      <w:r w:rsidRPr="7B5E4C11">
        <w:t xml:space="preserve"> consist of different elements that can be presented in different ways, e.g. as free text or in the form of standard phrases. Furthermore, there may be different relationships between the different elements, e.g. one or more polymers per use. </w:t>
      </w:r>
    </w:p>
    <w:p w14:paraId="14BF134C" w14:textId="77777777" w:rsidR="003D1EE7" w:rsidRDefault="003D1EE7" w:rsidP="7B5E4C11">
      <w:pPr>
        <w:spacing w:after="120" w:line="240" w:lineRule="auto"/>
        <w:jc w:val="both"/>
      </w:pPr>
    </w:p>
    <w:p w14:paraId="508CC475" w14:textId="75DB7627" w:rsidR="009C18FF" w:rsidRDefault="00E12EF2" w:rsidP="00E12EF2">
      <w:pPr>
        <w:pStyle w:val="Pealkiri2"/>
        <w:jc w:val="both"/>
      </w:pPr>
      <w:r>
        <w:t xml:space="preserve">5.4 </w:t>
      </w:r>
      <w:r w:rsidR="004F2CD0" w:rsidRPr="00AA31D4">
        <w:t>Will ECHA impose specific requirements on the format, structure and content of the notifications?</w:t>
      </w:r>
      <w:r w:rsidR="004F2CD0" w:rsidRPr="00AA31D4">
        <w:rPr>
          <w:b/>
          <w:bCs/>
          <w:color w:val="4472C4" w:themeColor="accent1"/>
        </w:rPr>
        <w:t xml:space="preserve"> </w:t>
      </w:r>
      <w:r w:rsidR="004F2CD0" w:rsidRPr="7B5E4C11">
        <w:t xml:space="preserve">If so, how will these requirements and standard formats be developed and by when will they be available? </w:t>
      </w:r>
    </w:p>
    <w:p w14:paraId="3A41E619" w14:textId="57F8C405" w:rsidR="00080996" w:rsidRDefault="5898C108" w:rsidP="77B46544">
      <w:pPr>
        <w:spacing w:after="120" w:line="240" w:lineRule="auto"/>
        <w:jc w:val="both"/>
        <w:rPr>
          <w:rFonts w:eastAsiaTheme="minorEastAsia"/>
        </w:rPr>
      </w:pPr>
      <w:r w:rsidRPr="4B6668CF">
        <w:rPr>
          <w:rFonts w:eastAsiaTheme="minorEastAsia"/>
        </w:rPr>
        <w:t xml:space="preserve">It is not possible to give </w:t>
      </w:r>
      <w:r w:rsidR="3AFD97AA" w:rsidRPr="4B6668CF">
        <w:rPr>
          <w:rFonts w:eastAsiaTheme="minorEastAsia"/>
        </w:rPr>
        <w:t xml:space="preserve">an </w:t>
      </w:r>
      <w:r w:rsidRPr="4B6668CF">
        <w:rPr>
          <w:rFonts w:eastAsiaTheme="minorEastAsia"/>
        </w:rPr>
        <w:t xml:space="preserve">answer to this question at this stage. ECHA </w:t>
      </w:r>
      <w:r w:rsidR="3AFD97AA" w:rsidRPr="4B6668CF">
        <w:rPr>
          <w:rFonts w:eastAsiaTheme="minorEastAsia"/>
        </w:rPr>
        <w:t>may</w:t>
      </w:r>
      <w:r w:rsidRPr="4B6668CF">
        <w:rPr>
          <w:rFonts w:eastAsiaTheme="minorEastAsia"/>
        </w:rPr>
        <w:t xml:space="preserve"> develop specific tool</w:t>
      </w:r>
      <w:r w:rsidR="3AFD97AA" w:rsidRPr="4B6668CF">
        <w:rPr>
          <w:rFonts w:eastAsiaTheme="minorEastAsia"/>
        </w:rPr>
        <w:t>s</w:t>
      </w:r>
      <w:r w:rsidRPr="4B6668CF">
        <w:rPr>
          <w:rFonts w:eastAsiaTheme="minorEastAsia"/>
        </w:rPr>
        <w:t xml:space="preserve"> for reporting or use existing tools that are available. </w:t>
      </w:r>
    </w:p>
    <w:p w14:paraId="65A099EA" w14:textId="77777777" w:rsidR="00080996" w:rsidRDefault="00080996" w:rsidP="77B46544">
      <w:pPr>
        <w:spacing w:after="120" w:line="240" w:lineRule="auto"/>
        <w:jc w:val="both"/>
        <w:rPr>
          <w:rFonts w:eastAsiaTheme="minorEastAsia"/>
        </w:rPr>
      </w:pPr>
    </w:p>
    <w:p w14:paraId="35B20BAB" w14:textId="77777777" w:rsidR="00004894" w:rsidRDefault="00004894" w:rsidP="77B46544">
      <w:pPr>
        <w:spacing w:after="120" w:line="240" w:lineRule="auto"/>
        <w:jc w:val="both"/>
        <w:rPr>
          <w:rFonts w:eastAsiaTheme="minorEastAsia"/>
        </w:rPr>
      </w:pPr>
    </w:p>
    <w:p w14:paraId="1ADC5374" w14:textId="1CE379C5" w:rsidR="00B90731" w:rsidRPr="00661F5B" w:rsidRDefault="006240DB" w:rsidP="00E12EF2">
      <w:pPr>
        <w:pStyle w:val="Pealkiri1"/>
      </w:pPr>
      <w:r w:rsidRPr="00661F5B">
        <w:t>PART II</w:t>
      </w:r>
    </w:p>
    <w:p w14:paraId="275E0548" w14:textId="77777777" w:rsidR="00080996" w:rsidRPr="00BE6AE3" w:rsidRDefault="00080996" w:rsidP="00080996">
      <w:pPr>
        <w:rPr>
          <w:b/>
          <w:bCs/>
          <w:i/>
          <w:iCs/>
          <w:color w:val="4472C4" w:themeColor="accent1"/>
        </w:rPr>
      </w:pPr>
      <w:proofErr w:type="gramStart"/>
      <w:r w:rsidRPr="00BE6AE3">
        <w:rPr>
          <w:b/>
          <w:bCs/>
          <w:i/>
          <w:iCs/>
          <w:color w:val="4472C4" w:themeColor="accent1"/>
        </w:rPr>
        <w:t>All of</w:t>
      </w:r>
      <w:proofErr w:type="gramEnd"/>
      <w:r w:rsidRPr="00BE6AE3">
        <w:rPr>
          <w:b/>
          <w:bCs/>
          <w:i/>
          <w:iCs/>
          <w:color w:val="4472C4" w:themeColor="accent1"/>
        </w:rPr>
        <w:t xml:space="preserve"> the questions below were submitted to the Commission</w:t>
      </w:r>
    </w:p>
    <w:p w14:paraId="5CFD56F3" w14:textId="55D81FB8" w:rsidR="00080996" w:rsidRDefault="00080996" w:rsidP="008A4391">
      <w:pPr>
        <w:pStyle w:val="Pealkiri1"/>
        <w:numPr>
          <w:ilvl w:val="0"/>
          <w:numId w:val="11"/>
        </w:numPr>
      </w:pPr>
      <w:bookmarkStart w:id="10" w:name="_Toc170394059"/>
      <w:r w:rsidRPr="00274C0F">
        <w:t>SCOPE</w:t>
      </w:r>
      <w:r w:rsidR="00B651F4">
        <w:t xml:space="preserve"> and </w:t>
      </w:r>
      <w:bookmarkEnd w:id="10"/>
      <w:r w:rsidR="00B643D6">
        <w:t>DEFINITIONS</w:t>
      </w:r>
    </w:p>
    <w:p w14:paraId="7DFD802A" w14:textId="77777777" w:rsidR="00080996" w:rsidRDefault="00080996" w:rsidP="00080996">
      <w:pPr>
        <w:ind w:left="283"/>
        <w:jc w:val="both"/>
      </w:pPr>
    </w:p>
    <w:p w14:paraId="012ACDF0" w14:textId="5CE0738C" w:rsidR="00080996" w:rsidRDefault="00080996" w:rsidP="00080996">
      <w:pPr>
        <w:jc w:val="both"/>
      </w:pPr>
      <w:r w:rsidRPr="00D42559">
        <w:t xml:space="preserve">The present section includes questions received from companies and associations concerning paragraphs 1, 2 and 3 and entry 78 of the restriction on </w:t>
      </w:r>
      <w:proofErr w:type="gramStart"/>
      <w:r>
        <w:t>SPM</w:t>
      </w:r>
      <w:r w:rsidRPr="00D42559">
        <w:t>..</w:t>
      </w:r>
      <w:proofErr w:type="gramEnd"/>
    </w:p>
    <w:p w14:paraId="58F5FCA1" w14:textId="743A06DD" w:rsidR="008F23F3" w:rsidRPr="00D73036" w:rsidRDefault="00641642" w:rsidP="009D4672">
      <w:pPr>
        <w:pStyle w:val="Pealkiri2"/>
        <w:ind w:left="360"/>
        <w:rPr>
          <w:rFonts w:cs="Calibri"/>
        </w:rPr>
      </w:pPr>
      <w:r>
        <w:t xml:space="preserve">6.1 </w:t>
      </w:r>
      <w:r w:rsidR="008F23F3" w:rsidRPr="00D73036">
        <w:t>What is to be understood behind the term “plastic feedstock”?</w:t>
      </w:r>
    </w:p>
    <w:p w14:paraId="6FE994F0" w14:textId="001E309D" w:rsidR="008F23F3" w:rsidRPr="00D73036" w:rsidRDefault="008F23F3" w:rsidP="008F23F3">
      <w:r w:rsidRPr="00D73036">
        <w:t xml:space="preserve">There is currently no definition in the </w:t>
      </w:r>
      <w:r w:rsidR="0056397C">
        <w:t>r</w:t>
      </w:r>
      <w:r w:rsidRPr="00D73036">
        <w:t xml:space="preserve">estriction document of what plastic feedstock is. </w:t>
      </w:r>
    </w:p>
    <w:p w14:paraId="6F039CF7" w14:textId="77777777" w:rsidR="008F23F3" w:rsidRPr="00D73036" w:rsidRDefault="008F23F3" w:rsidP="008F23F3">
      <w:r w:rsidRPr="00D73036">
        <w:t xml:space="preserve">However, legal text refers to </w:t>
      </w:r>
      <w:r w:rsidRPr="00D73036">
        <w:rPr>
          <w:b/>
          <w:bCs/>
        </w:rPr>
        <w:t>synthetic polymer microparticles</w:t>
      </w:r>
      <w:r w:rsidRPr="00D73036">
        <w:t xml:space="preserve"> in the form of:</w:t>
      </w:r>
    </w:p>
    <w:p w14:paraId="78A9B194" w14:textId="77777777" w:rsidR="008F23F3" w:rsidRPr="00D73036" w:rsidRDefault="008F23F3" w:rsidP="008A4391">
      <w:pPr>
        <w:pStyle w:val="Loendilik"/>
        <w:numPr>
          <w:ilvl w:val="0"/>
          <w:numId w:val="10"/>
        </w:numPr>
        <w:rPr>
          <w:color w:val="auto"/>
        </w:rPr>
      </w:pPr>
      <w:r w:rsidRPr="00D73036">
        <w:rPr>
          <w:color w:val="auto"/>
        </w:rPr>
        <w:t>Pellets</w:t>
      </w:r>
    </w:p>
    <w:p w14:paraId="210E72BA" w14:textId="77777777" w:rsidR="008F23F3" w:rsidRPr="00D73036" w:rsidRDefault="008F23F3" w:rsidP="008A4391">
      <w:pPr>
        <w:pStyle w:val="Loendilik"/>
        <w:numPr>
          <w:ilvl w:val="0"/>
          <w:numId w:val="10"/>
        </w:numPr>
        <w:rPr>
          <w:color w:val="auto"/>
        </w:rPr>
      </w:pPr>
      <w:r w:rsidRPr="00D73036">
        <w:rPr>
          <w:color w:val="auto"/>
        </w:rPr>
        <w:t>Flakes</w:t>
      </w:r>
    </w:p>
    <w:p w14:paraId="42541C11" w14:textId="77777777" w:rsidR="008F23F3" w:rsidRPr="00D73036" w:rsidRDefault="008F23F3" w:rsidP="008A4391">
      <w:pPr>
        <w:pStyle w:val="Loendilik"/>
        <w:numPr>
          <w:ilvl w:val="0"/>
          <w:numId w:val="10"/>
        </w:numPr>
        <w:rPr>
          <w:color w:val="auto"/>
        </w:rPr>
      </w:pPr>
      <w:r w:rsidRPr="00D73036">
        <w:rPr>
          <w:color w:val="auto"/>
        </w:rPr>
        <w:t>Powders</w:t>
      </w:r>
    </w:p>
    <w:p w14:paraId="2FC5917E" w14:textId="77777777" w:rsidR="008F23F3" w:rsidRPr="00D73036" w:rsidRDefault="008F23F3" w:rsidP="008F23F3">
      <w:pPr>
        <w:pStyle w:val="Loendilik"/>
        <w:rPr>
          <w:color w:val="auto"/>
          <w:sz w:val="24"/>
          <w:szCs w:val="24"/>
        </w:rPr>
      </w:pPr>
      <w:r w:rsidRPr="00D73036">
        <w:rPr>
          <w:color w:val="auto"/>
          <w:sz w:val="24"/>
          <w:szCs w:val="24"/>
        </w:rPr>
        <w:t xml:space="preserve"> </w:t>
      </w:r>
    </w:p>
    <w:p w14:paraId="11520443" w14:textId="3BF2EC8D" w:rsidR="008F23F3" w:rsidRPr="00D73036" w:rsidRDefault="008F23F3" w:rsidP="00AB25C2">
      <w:pPr>
        <w:jc w:val="both"/>
      </w:pPr>
      <w:r w:rsidRPr="00D73036">
        <w:t xml:space="preserve">and their </w:t>
      </w:r>
      <w:r w:rsidRPr="00D73036">
        <w:rPr>
          <w:b/>
          <w:bCs/>
        </w:rPr>
        <w:t>use in plastic manufacturing</w:t>
      </w:r>
      <w:r w:rsidRPr="00D73036">
        <w:t xml:space="preserve"> at industrial sites. In addition, </w:t>
      </w:r>
      <w:proofErr w:type="spellStart"/>
      <w:r w:rsidRPr="00D73036">
        <w:t>Cefic</w:t>
      </w:r>
      <w:proofErr w:type="spellEnd"/>
      <w:r w:rsidRPr="00D73036">
        <w:t xml:space="preserve"> suggests to look at the Regulation currently being discussed on preventing plastic pellet </w:t>
      </w:r>
      <w:proofErr w:type="gramStart"/>
      <w:r w:rsidRPr="00D73036">
        <w:t>loss  and</w:t>
      </w:r>
      <w:proofErr w:type="gramEnd"/>
      <w:r w:rsidRPr="00D73036">
        <w:t xml:space="preserve"> recital  (57) transcribed below. The shorter transition time for reporting refers to feedstock used in the production of plastic articles.</w:t>
      </w:r>
    </w:p>
    <w:p w14:paraId="127A3C62" w14:textId="13BDEC2F" w:rsidR="008F23F3" w:rsidRDefault="008F23F3" w:rsidP="008F23F3">
      <w:pPr>
        <w:rPr>
          <w:rFonts w:cs="Calibri"/>
          <w:sz w:val="24"/>
          <w:szCs w:val="24"/>
        </w:rPr>
      </w:pPr>
    </w:p>
    <w:tbl>
      <w:tblPr>
        <w:tblStyle w:val="Kontuurtabel"/>
        <w:tblW w:w="0" w:type="auto"/>
        <w:shd w:val="clear" w:color="auto" w:fill="D9E2F3" w:themeFill="accent1" w:themeFillTint="33"/>
        <w:tblLook w:val="04A0" w:firstRow="1" w:lastRow="0" w:firstColumn="1" w:lastColumn="0" w:noHBand="0" w:noVBand="1"/>
      </w:tblPr>
      <w:tblGrid>
        <w:gridCol w:w="9350"/>
      </w:tblGrid>
      <w:tr w:rsidR="008F23F3" w14:paraId="0B44498F" w14:textId="77777777" w:rsidTr="008F23F3">
        <w:tc>
          <w:tcPr>
            <w:tcW w:w="93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6B3E5C" w14:textId="77777777" w:rsidR="008F23F3" w:rsidRPr="00D73036" w:rsidRDefault="008F23F3" w:rsidP="00D07CF2">
            <w:pPr>
              <w:jc w:val="both"/>
              <w:rPr>
                <w:rFonts w:cs="Calibri"/>
              </w:rPr>
            </w:pPr>
            <w:r w:rsidRPr="00D73036">
              <w:t xml:space="preserve">“(57) </w:t>
            </w:r>
            <w:r w:rsidRPr="00D73036">
              <w:rPr>
                <w:i/>
                <w:iCs/>
              </w:rPr>
              <w:t>The loss of plastic pellets represents an important industrial source of microplastics in the environment. The plastic pellet supply chain is already putting in place voluntarily initiatives, which will include reporting, to minimize pellet loss. Against this background, the Commission considers a 24-month transitional period for reporting requirements for this sector justified.</w:t>
            </w:r>
            <w:r w:rsidRPr="00D73036">
              <w:t>”</w:t>
            </w:r>
          </w:p>
        </w:tc>
      </w:tr>
    </w:tbl>
    <w:p w14:paraId="622B1B45" w14:textId="77777777" w:rsidR="00080996" w:rsidRPr="000E4BDF" w:rsidRDefault="00080996" w:rsidP="000E4BDF">
      <w:pPr>
        <w:rPr>
          <w:b/>
          <w:bCs/>
          <w:color w:val="4472C4" w:themeColor="accent1"/>
          <w:sz w:val="32"/>
          <w:szCs w:val="32"/>
        </w:rPr>
      </w:pPr>
    </w:p>
    <w:p w14:paraId="2AC210EB" w14:textId="7531CE6B" w:rsidR="00080996" w:rsidRPr="00696FE0" w:rsidRDefault="00F80D1B" w:rsidP="00641642">
      <w:pPr>
        <w:pStyle w:val="Pealkiri2"/>
        <w:jc w:val="both"/>
      </w:pPr>
      <w:r>
        <w:t xml:space="preserve">6.2 </w:t>
      </w:r>
      <w:r w:rsidR="00080996" w:rsidRPr="00696FE0">
        <w:t>For mixtures containing microparticles from two or more synthetic polymers, do companies need to add the percentages of synthetic polymer microparticles from each polymer and the cumulative concentration of microparticles needs to be compared to 1% limit established in the definition? For example: if the individual concentrations of the different polymers are &lt; 1% is the whole particle out of scope or is the 1% referring to total polymer content irrespective of the different polymers present? e.g. A Particle containing 0.5% of Polymer X and 0.5% polymer Y.</w:t>
      </w:r>
    </w:p>
    <w:p w14:paraId="6254736C" w14:textId="31F6B75F" w:rsidR="00080996" w:rsidRDefault="00080996" w:rsidP="00080996">
      <w:pPr>
        <w:shd w:val="clear" w:color="auto" w:fill="FFFFFF" w:themeFill="background1"/>
        <w:spacing w:after="120" w:line="280" w:lineRule="exact"/>
        <w:jc w:val="both"/>
      </w:pPr>
      <w:r w:rsidRPr="00D42559">
        <w:t xml:space="preserve">The total of </w:t>
      </w:r>
      <w:r w:rsidR="00C263FB">
        <w:t>SPM</w:t>
      </w:r>
      <w:r w:rsidRPr="00D42559">
        <w:t xml:space="preserve"> in the microparticle </w:t>
      </w:r>
      <w:proofErr w:type="gramStart"/>
      <w:r w:rsidRPr="00D42559">
        <w:t>has to</w:t>
      </w:r>
      <w:proofErr w:type="gramEnd"/>
      <w:r w:rsidRPr="00D42559">
        <w:t xml:space="preserve"> be below the threshold established in the restriction (1%).</w:t>
      </w:r>
    </w:p>
    <w:p w14:paraId="38910668" w14:textId="77777777" w:rsidR="009C61E0" w:rsidRDefault="009C61E0" w:rsidP="00080996">
      <w:pPr>
        <w:shd w:val="clear" w:color="auto" w:fill="FFFFFF" w:themeFill="background1"/>
        <w:spacing w:after="0"/>
        <w:jc w:val="both"/>
      </w:pPr>
    </w:p>
    <w:p w14:paraId="20EA5AC3" w14:textId="557085DA" w:rsidR="00080996" w:rsidRPr="00696FE0" w:rsidRDefault="00F80D1B" w:rsidP="00F80D1B">
      <w:pPr>
        <w:pStyle w:val="Pealkiri2"/>
        <w:jc w:val="both"/>
      </w:pPr>
      <w:r>
        <w:t xml:space="preserve">6.3 </w:t>
      </w:r>
      <w:r w:rsidR="00080996" w:rsidRPr="00696FE0">
        <w:t>In the final version of the text there is no mention for Research and Development uses, is this covered by the “for use at industrial sites” in case the R&amp;D laboratory is inside the industrial site? If so a reference to Article 67(1) of REACH should be made (“Annex XVII shall specify if the restriction shall not apply to product and process orientated and development, as well as the maximum quantity exempted”)</w:t>
      </w:r>
      <w:r w:rsidR="00080996" w:rsidRPr="00696FE0">
        <w:rPr>
          <w:rFonts w:ascii="Arial" w:eastAsia="Arial" w:hAnsi="Arial" w:cs="Arial"/>
        </w:rPr>
        <w:t xml:space="preserve"> </w:t>
      </w:r>
    </w:p>
    <w:p w14:paraId="380A35DA" w14:textId="77777777" w:rsidR="00080996" w:rsidRPr="00D42559" w:rsidRDefault="00080996" w:rsidP="00080996">
      <w:pPr>
        <w:spacing w:after="0" w:line="280" w:lineRule="exact"/>
        <w:jc w:val="both"/>
        <w:rPr>
          <w:rFonts w:eastAsiaTheme="minorEastAsia"/>
        </w:rPr>
      </w:pPr>
      <w:r w:rsidRPr="00D42559">
        <w:rPr>
          <w:rFonts w:eastAsiaTheme="minorEastAsia"/>
        </w:rPr>
        <w:t>Scientific development R&amp;D is exempted from the REACH Restriction (Article 67.1 of the REACH Regulation). However, process development is not exempted. If process development is done in industrial settings, companies can still do it but need to report the emissions (as established under paragraph 11).</w:t>
      </w:r>
    </w:p>
    <w:p w14:paraId="424A2382" w14:textId="77777777" w:rsidR="00080996" w:rsidRPr="0060781E" w:rsidRDefault="00080996" w:rsidP="00080996">
      <w:pPr>
        <w:spacing w:after="0" w:line="280" w:lineRule="exact"/>
        <w:jc w:val="both"/>
        <w:rPr>
          <w:rFonts w:eastAsiaTheme="minorEastAsia"/>
          <w:color w:val="351C75"/>
          <w:sz w:val="24"/>
          <w:szCs w:val="24"/>
        </w:rPr>
      </w:pPr>
    </w:p>
    <w:p w14:paraId="3140F98F" w14:textId="77777777" w:rsidR="00080996" w:rsidRPr="00E85859" w:rsidRDefault="00080996" w:rsidP="008A4391">
      <w:pPr>
        <w:pStyle w:val="Pealkiri1"/>
        <w:numPr>
          <w:ilvl w:val="0"/>
          <w:numId w:val="11"/>
        </w:numPr>
      </w:pPr>
      <w:bookmarkStart w:id="11" w:name="_Toc170394060"/>
      <w:r w:rsidRPr="00E85859">
        <w:t>DEROGATIONS</w:t>
      </w:r>
      <w:bookmarkEnd w:id="11"/>
    </w:p>
    <w:p w14:paraId="24B2B9CB" w14:textId="77777777" w:rsidR="00080996" w:rsidRPr="006F58E6" w:rsidRDefault="00080996" w:rsidP="00080996">
      <w:pPr>
        <w:pStyle w:val="Loendilik"/>
        <w:ind w:left="360"/>
        <w:rPr>
          <w:b/>
          <w:bCs/>
          <w:color w:val="4472C4" w:themeColor="accent1"/>
          <w:sz w:val="40"/>
          <w:szCs w:val="40"/>
        </w:rPr>
      </w:pPr>
    </w:p>
    <w:p w14:paraId="778E683A" w14:textId="135B3BD1" w:rsidR="00080996" w:rsidRPr="00D42559" w:rsidRDefault="00080996" w:rsidP="00080996">
      <w:pPr>
        <w:pStyle w:val="Pealkiri2"/>
        <w:jc w:val="both"/>
        <w:rPr>
          <w:rFonts w:asciiTheme="minorHAnsi" w:eastAsia="Aptos" w:hAnsiTheme="minorHAnsi" w:cstheme="minorHAnsi"/>
          <w:color w:val="000000" w:themeColor="text1"/>
          <w:sz w:val="22"/>
          <w:szCs w:val="22"/>
        </w:rPr>
      </w:pPr>
      <w:bookmarkStart w:id="12" w:name="_Toc170393900"/>
      <w:bookmarkStart w:id="13" w:name="_Toc170394061"/>
      <w:r w:rsidRPr="00D42559">
        <w:rPr>
          <w:rFonts w:asciiTheme="minorHAnsi" w:eastAsia="Aptos" w:hAnsiTheme="minorHAnsi" w:cstheme="minorHAnsi"/>
          <w:color w:val="000000" w:themeColor="text1"/>
          <w:sz w:val="22"/>
          <w:szCs w:val="22"/>
        </w:rPr>
        <w:t xml:space="preserve">The present section includes questions received from companies and associations concerning paragraphs 4, 5 and 16 of the restriction on </w:t>
      </w:r>
      <w:r w:rsidR="00C50894">
        <w:rPr>
          <w:rFonts w:asciiTheme="minorHAnsi" w:eastAsia="Aptos" w:hAnsiTheme="minorHAnsi" w:cstheme="minorHAnsi"/>
          <w:color w:val="000000" w:themeColor="text1"/>
          <w:sz w:val="22"/>
          <w:szCs w:val="22"/>
        </w:rPr>
        <w:t>SPM</w:t>
      </w:r>
      <w:r w:rsidRPr="00D42559">
        <w:rPr>
          <w:rFonts w:asciiTheme="minorHAnsi" w:eastAsia="Aptos" w:hAnsiTheme="minorHAnsi" w:cstheme="minorHAnsi"/>
          <w:color w:val="000000" w:themeColor="text1"/>
          <w:sz w:val="22"/>
          <w:szCs w:val="22"/>
        </w:rPr>
        <w:t>.</w:t>
      </w:r>
      <w:bookmarkEnd w:id="12"/>
      <w:bookmarkEnd w:id="13"/>
    </w:p>
    <w:p w14:paraId="2D415DDA" w14:textId="77777777" w:rsidR="00080996" w:rsidRPr="00D42559" w:rsidRDefault="00080996" w:rsidP="00080996">
      <w:pPr>
        <w:jc w:val="both"/>
      </w:pPr>
    </w:p>
    <w:p w14:paraId="3FBA3383" w14:textId="326355BC" w:rsidR="00080996" w:rsidRPr="00DA78C2" w:rsidRDefault="00DA78C2" w:rsidP="00DA78C2">
      <w:pPr>
        <w:pStyle w:val="Pealkiri2"/>
        <w:jc w:val="both"/>
      </w:pPr>
      <w:bookmarkStart w:id="14" w:name="_Toc170393901"/>
      <w:bookmarkStart w:id="15" w:name="_Toc170394062"/>
      <w:r>
        <w:t xml:space="preserve">7.1 </w:t>
      </w:r>
      <w:r w:rsidR="00080996" w:rsidRPr="00DA78C2">
        <w:t xml:space="preserve">Could </w:t>
      </w:r>
      <w:proofErr w:type="spellStart"/>
      <w:r w:rsidR="00080996" w:rsidRPr="00DA78C2">
        <w:t>Cefic</w:t>
      </w:r>
      <w:proofErr w:type="spellEnd"/>
      <w:r w:rsidR="00080996" w:rsidRPr="00DA78C2">
        <w:t xml:space="preserve"> provide additional practical examples on </w:t>
      </w:r>
      <w:r w:rsidR="00C263FB" w:rsidRPr="00DA78C2">
        <w:t>SPM</w:t>
      </w:r>
      <w:r w:rsidR="00080996" w:rsidRPr="00DA78C2">
        <w:t xml:space="preserve"> which are contained by technical means?</w:t>
      </w:r>
      <w:bookmarkEnd w:id="14"/>
      <w:bookmarkEnd w:id="15"/>
      <w:r w:rsidR="00080996" w:rsidRPr="00DA78C2">
        <w:t xml:space="preserve"> </w:t>
      </w:r>
    </w:p>
    <w:p w14:paraId="531109A5" w14:textId="30509F17" w:rsidR="00080996" w:rsidRDefault="00080996" w:rsidP="00080996">
      <w:pPr>
        <w:jc w:val="both"/>
      </w:pPr>
      <w:r w:rsidRPr="003D5B03">
        <w:rPr>
          <w:i/>
          <w:iCs/>
          <w:noProof/>
        </w:rPr>
        <mc:AlternateContent>
          <mc:Choice Requires="wps">
            <w:drawing>
              <wp:anchor distT="45720" distB="45720" distL="114300" distR="114300" simplePos="0" relativeHeight="251670528" behindDoc="0" locked="0" layoutInCell="1" allowOverlap="1" wp14:anchorId="20B15844" wp14:editId="4E93FE0C">
                <wp:simplePos x="0" y="0"/>
                <wp:positionH relativeFrom="margin">
                  <wp:align>right</wp:align>
                </wp:positionH>
                <wp:positionV relativeFrom="paragraph">
                  <wp:posOffset>1079749</wp:posOffset>
                </wp:positionV>
                <wp:extent cx="5931535" cy="1404620"/>
                <wp:effectExtent l="0" t="0" r="1206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4472C4">
                            <a:lumMod val="20000"/>
                            <a:lumOff val="80000"/>
                          </a:srgbClr>
                        </a:solidFill>
                        <a:ln w="9525">
                          <a:solidFill>
                            <a:srgbClr val="000000"/>
                          </a:solidFill>
                          <a:miter lim="800000"/>
                          <a:headEnd/>
                          <a:tailEnd/>
                        </a:ln>
                      </wps:spPr>
                      <wps:txbx>
                        <w:txbxContent>
                          <w:p w14:paraId="54875BF6" w14:textId="1B8CB404" w:rsidR="00080996" w:rsidRPr="00A34E25" w:rsidRDefault="00080996" w:rsidP="00080996">
                            <w:pPr>
                              <w:jc w:val="both"/>
                              <w:rPr>
                                <w:rFonts w:eastAsiaTheme="minorEastAsia"/>
                                <w:i/>
                                <w:iCs/>
                                <w:color w:val="C00000"/>
                              </w:rPr>
                            </w:pPr>
                            <w:r w:rsidRPr="00A34E25">
                              <w:rPr>
                                <w:i/>
                                <w:iCs/>
                              </w:rPr>
                              <w:t xml:space="preserve">(18) Derogations from the ban on placing on the market are proposed where the risk from releases is expected to be </w:t>
                            </w:r>
                            <w:r w:rsidR="00C263FB" w:rsidRPr="00A34E25">
                              <w:rPr>
                                <w:i/>
                                <w:iCs/>
                              </w:rPr>
                              <w:t>minimized</w:t>
                            </w:r>
                            <w:r w:rsidRPr="00A34E25">
                              <w:rPr>
                                <w:i/>
                                <w:iCs/>
                              </w:rPr>
                              <w:t xml:space="preserve"> because synthetic polymer microparticles are contained by technical means, such as those in chromatography columns, water filtering cartridges or printer toners, or permanently lose their particle form because, for example, they swell or form a film, like in diapers, nail polish or paint, or are permanently enclosed in a solid matrix during end use, such as </w:t>
                            </w:r>
                            <w:r w:rsidR="00C263FB" w:rsidRPr="00A34E25">
                              <w:rPr>
                                <w:i/>
                                <w:iCs/>
                              </w:rPr>
                              <w:t>fibers</w:t>
                            </w:r>
                            <w:r w:rsidRPr="00A34E25">
                              <w:rPr>
                                <w:i/>
                                <w:iCs/>
                              </w:rPr>
                              <w:t xml:space="preserve"> added to concrete or pellets used as feedstock for </w:t>
                            </w:r>
                            <w:r w:rsidR="00C263FB" w:rsidRPr="00A34E25">
                              <w:rPr>
                                <w:i/>
                                <w:iCs/>
                              </w:rPr>
                              <w:t>molded</w:t>
                            </w:r>
                            <w:r w:rsidRPr="00A34E25">
                              <w:rPr>
                                <w:i/>
                                <w:iCs/>
                              </w:rPr>
                              <w:t xml:space="preserve"> articles.</w:t>
                            </w:r>
                          </w:p>
                          <w:p w14:paraId="67DFD989" w14:textId="77777777" w:rsidR="00080996" w:rsidRDefault="00080996" w:rsidP="000809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B15844" id="_x0000_t202" coordsize="21600,21600" o:spt="202" path="m,l,21600r21600,l21600,xe">
                <v:stroke joinstyle="miter"/>
                <v:path gradientshapeok="t" o:connecttype="rect"/>
              </v:shapetype>
              <v:shape id="Text Box 2" o:spid="_x0000_s1026" type="#_x0000_t202" style="position:absolute;left:0;text-align:left;margin-left:415.85pt;margin-top:85pt;width:467.0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" fillcolor="#dae3f3">
                <v:textbox style="mso-fit-shape-to-text:t">
                  <w:txbxContent>
                    <w:p w14:paraId="54875BF6" w14:textId="1B8CB404" w:rsidR="00080996" w:rsidRPr="00A34E25" w:rsidRDefault="00080996" w:rsidP="00080996">
                      <w:pPr>
                        <w:jc w:val="both"/>
                        <w:rPr>
                          <w:rFonts w:eastAsiaTheme="minorEastAsia"/>
                          <w:i/>
                          <w:iCs/>
                          <w:color w:val="C00000"/>
                        </w:rPr>
                      </w:pPr>
                      <w:r w:rsidRPr="00A34E25">
                        <w:rPr>
                          <w:i/>
                          <w:iCs/>
                        </w:rPr>
                        <w:t xml:space="preserve">(18) Derogations from the ban on placing on the market are proposed where the risk from releases is expected to be </w:t>
                      </w:r>
                      <w:r w:rsidR="00C263FB" w:rsidRPr="00A34E25">
                        <w:rPr>
                          <w:i/>
                          <w:iCs/>
                        </w:rPr>
                        <w:t>minimized</w:t>
                      </w:r>
                      <w:r w:rsidRPr="00A34E25">
                        <w:rPr>
                          <w:i/>
                          <w:iCs/>
                        </w:rPr>
                        <w:t xml:space="preserve"> because synthetic polymer microparticles are contained by technical means, such as those in chromatography columns, water filtering cartridges or printer toners, or permanently lose their particle form because, for example, they swell or form a film, like in diapers, nail polish or paint, or are permanently enclosed in a solid matrix during end use, such as </w:t>
                      </w:r>
                      <w:r w:rsidR="00C263FB" w:rsidRPr="00A34E25">
                        <w:rPr>
                          <w:i/>
                          <w:iCs/>
                        </w:rPr>
                        <w:t>fibers</w:t>
                      </w:r>
                      <w:r w:rsidRPr="00A34E25">
                        <w:rPr>
                          <w:i/>
                          <w:iCs/>
                        </w:rPr>
                        <w:t xml:space="preserve"> added to concrete or pellets used as feedstock for </w:t>
                      </w:r>
                      <w:r w:rsidR="00C263FB" w:rsidRPr="00A34E25">
                        <w:rPr>
                          <w:i/>
                          <w:iCs/>
                        </w:rPr>
                        <w:t>molded</w:t>
                      </w:r>
                      <w:r w:rsidRPr="00A34E25">
                        <w:rPr>
                          <w:i/>
                          <w:iCs/>
                        </w:rPr>
                        <w:t xml:space="preserve"> articles.</w:t>
                      </w:r>
                    </w:p>
                    <w:p w14:paraId="67DFD989" w14:textId="77777777" w:rsidR="00080996" w:rsidRDefault="00080996" w:rsidP="00080996"/>
                  </w:txbxContent>
                </v:textbox>
                <w10:wrap type="square" anchorx="margin"/>
              </v:shape>
            </w:pict>
          </mc:Fallback>
        </mc:AlternateContent>
      </w:r>
      <w:r w:rsidRPr="00AB5BF9">
        <w:rPr>
          <w:rFonts w:eastAsiaTheme="minorEastAsia" w:cstheme="minorHAnsi"/>
          <w:color w:val="000000" w:themeColor="text1"/>
        </w:rPr>
        <w:t xml:space="preserve">Examples of </w:t>
      </w:r>
      <w:r w:rsidR="00C263FB">
        <w:rPr>
          <w:rFonts w:eastAsiaTheme="minorEastAsia" w:cstheme="minorHAnsi"/>
          <w:color w:val="000000" w:themeColor="text1"/>
        </w:rPr>
        <w:t xml:space="preserve">SPM </w:t>
      </w:r>
      <w:r w:rsidRPr="00AB5BF9">
        <w:rPr>
          <w:rFonts w:eastAsiaTheme="minorEastAsia" w:cstheme="minorHAnsi"/>
          <w:color w:val="000000" w:themeColor="text1"/>
        </w:rPr>
        <w:t xml:space="preserve">contained by technical means can be found in the recitals: </w:t>
      </w:r>
      <w:r w:rsidRPr="00AB5BF9">
        <w:rPr>
          <w:rFonts w:eastAsiaTheme="minorEastAsia" w:cstheme="minorHAnsi"/>
          <w:color w:val="000000" w:themeColor="text1"/>
          <w:kern w:val="0"/>
        </w:rPr>
        <w:t xml:space="preserve">chromatography columns, water filtering cartridges or printer toners. The logic followed for the REACH Restriction on </w:t>
      </w:r>
      <w:r w:rsidR="00C263FB">
        <w:rPr>
          <w:rFonts w:eastAsiaTheme="minorEastAsia" w:cstheme="minorHAnsi"/>
          <w:color w:val="000000" w:themeColor="text1"/>
          <w:kern w:val="0"/>
        </w:rPr>
        <w:t>SPM</w:t>
      </w:r>
      <w:r w:rsidRPr="00AB5BF9">
        <w:rPr>
          <w:rFonts w:eastAsiaTheme="minorEastAsia" w:cstheme="minorHAnsi"/>
          <w:color w:val="000000" w:themeColor="text1"/>
          <w:kern w:val="0"/>
        </w:rPr>
        <w:t xml:space="preserve"> is that </w:t>
      </w:r>
      <w:r w:rsidRPr="00AB5BF9">
        <w:rPr>
          <w:rFonts w:eastAsiaTheme="minorEastAsia"/>
        </w:rPr>
        <w:t>“SPM are permanently enclosed in a solid matrix during end use” and are not intended to be released under normal or reasonably foreseeable conditions of use.</w:t>
      </w:r>
      <w:r>
        <w:rPr>
          <w:rFonts w:eastAsiaTheme="minorEastAsia"/>
        </w:rPr>
        <w:t xml:space="preserve"> </w:t>
      </w:r>
    </w:p>
    <w:p w14:paraId="4FABE1FF" w14:textId="77777777" w:rsidR="00080996" w:rsidRDefault="00080996" w:rsidP="00080996">
      <w:pPr>
        <w:jc w:val="both"/>
        <w:rPr>
          <w:i/>
          <w:iCs/>
        </w:rPr>
      </w:pPr>
    </w:p>
    <w:p w14:paraId="1009D26D" w14:textId="0B1EFBE3" w:rsidR="00080996" w:rsidRPr="00DA78C2" w:rsidRDefault="00080996" w:rsidP="008A4391">
      <w:pPr>
        <w:pStyle w:val="Pealkiri2"/>
        <w:numPr>
          <w:ilvl w:val="1"/>
          <w:numId w:val="16"/>
        </w:numPr>
        <w:tabs>
          <w:tab w:val="left" w:pos="0"/>
        </w:tabs>
        <w:ind w:left="0" w:firstLine="0"/>
        <w:jc w:val="both"/>
      </w:pPr>
      <w:bookmarkStart w:id="16" w:name="_Toc170393902"/>
      <w:bookmarkStart w:id="17" w:name="_Toc170394063"/>
      <w:r w:rsidRPr="00DA78C2">
        <w:t xml:space="preserve">Liquid polymers are excluded from the restriction. In case of liquid polymers used as coating, and if the end product is solid, what is the way to prove the </w:t>
      </w:r>
      <w:proofErr w:type="gramStart"/>
      <w:r w:rsidRPr="00DA78C2">
        <w:t>derogation ?</w:t>
      </w:r>
      <w:proofErr w:type="gramEnd"/>
      <w:r w:rsidRPr="00DA78C2">
        <w:t xml:space="preserve"> Would it be enough to argue that “The importance is what form exists on the market?</w:t>
      </w:r>
      <w:bookmarkEnd w:id="16"/>
      <w:bookmarkEnd w:id="17"/>
    </w:p>
    <w:p w14:paraId="48674072" w14:textId="5DB5C41C" w:rsidR="00080996" w:rsidRPr="009E3604" w:rsidRDefault="00080996" w:rsidP="00080996">
      <w:pPr>
        <w:pStyle w:val="Pealkiri2"/>
        <w:jc w:val="both"/>
        <w:rPr>
          <w:rFonts w:asciiTheme="minorHAnsi" w:eastAsia="Aptos" w:hAnsiTheme="minorHAnsi" w:cstheme="minorHAnsi"/>
          <w:color w:val="4472C4" w:themeColor="accent1"/>
          <w:sz w:val="22"/>
          <w:szCs w:val="22"/>
        </w:rPr>
      </w:pPr>
      <w:bookmarkStart w:id="18" w:name="_Toc170393903"/>
      <w:bookmarkStart w:id="19" w:name="_Toc170394064"/>
      <w:r>
        <w:rPr>
          <w:rFonts w:asciiTheme="minorHAnsi" w:hAnsiTheme="minorHAnsi" w:cstheme="minorHAnsi"/>
          <w:color w:val="000000" w:themeColor="text1"/>
          <w:sz w:val="22"/>
          <w:szCs w:val="22"/>
        </w:rPr>
        <w:t>Yes, i</w:t>
      </w:r>
      <w:r w:rsidRPr="009E3604">
        <w:rPr>
          <w:rFonts w:asciiTheme="minorHAnsi" w:hAnsiTheme="minorHAnsi" w:cstheme="minorHAnsi"/>
          <w:color w:val="000000" w:themeColor="text1"/>
          <w:sz w:val="22"/>
          <w:szCs w:val="22"/>
        </w:rPr>
        <w:t>f it is a solution on the market</w:t>
      </w:r>
      <w:r>
        <w:rPr>
          <w:rFonts w:asciiTheme="minorHAnsi" w:hAnsiTheme="minorHAnsi" w:cstheme="minorHAnsi"/>
          <w:color w:val="000000" w:themeColor="text1"/>
          <w:sz w:val="22"/>
          <w:szCs w:val="22"/>
        </w:rPr>
        <w:t xml:space="preserve"> (</w:t>
      </w:r>
      <w:r w:rsidR="00C263FB">
        <w:rPr>
          <w:rFonts w:asciiTheme="minorHAnsi" w:hAnsiTheme="minorHAnsi" w:cstheme="minorHAnsi"/>
          <w:color w:val="000000" w:themeColor="text1"/>
          <w:sz w:val="22"/>
          <w:szCs w:val="22"/>
        </w:rPr>
        <w:t>SPM</w:t>
      </w:r>
      <w:r>
        <w:rPr>
          <w:rFonts w:asciiTheme="minorHAnsi" w:hAnsiTheme="minorHAnsi" w:cstheme="minorHAnsi"/>
          <w:color w:val="000000" w:themeColor="text1"/>
          <w:sz w:val="22"/>
          <w:szCs w:val="22"/>
        </w:rPr>
        <w:t xml:space="preserve"> are polymers that are solid and are contained in particles and constitute at least 1 % by weight of those particles; or build a continuous surface coating on </w:t>
      </w:r>
      <w:proofErr w:type="gramStart"/>
      <w:r>
        <w:rPr>
          <w:rFonts w:asciiTheme="minorHAnsi" w:hAnsiTheme="minorHAnsi" w:cstheme="minorHAnsi"/>
          <w:color w:val="000000" w:themeColor="text1"/>
          <w:sz w:val="22"/>
          <w:szCs w:val="22"/>
        </w:rPr>
        <w:t>particles )</w:t>
      </w:r>
      <w:proofErr w:type="gramEnd"/>
      <w:r>
        <w:rPr>
          <w:rFonts w:asciiTheme="minorHAnsi" w:hAnsiTheme="minorHAnsi" w:cstheme="minorHAnsi"/>
          <w:color w:val="000000" w:themeColor="text1"/>
          <w:sz w:val="22"/>
          <w:szCs w:val="22"/>
        </w:rPr>
        <w:t xml:space="preserve"> does not meet the legal definition of the liquid according </w:t>
      </w:r>
      <w:r w:rsidRPr="009E3604">
        <w:rPr>
          <w:rFonts w:asciiTheme="minorHAnsi" w:hAnsiTheme="minorHAnsi" w:cstheme="minorHAnsi"/>
          <w:color w:val="000000" w:themeColor="text1"/>
          <w:sz w:val="22"/>
          <w:szCs w:val="22"/>
        </w:rPr>
        <w:t>, it should not be in the scope of the restriction</w:t>
      </w:r>
      <w:r w:rsidRPr="009E3604">
        <w:rPr>
          <w:rFonts w:asciiTheme="minorHAnsi" w:eastAsia="Aptos" w:hAnsiTheme="minorHAnsi" w:cstheme="minorHAnsi"/>
          <w:color w:val="4472C4" w:themeColor="accent1"/>
          <w:sz w:val="22"/>
          <w:szCs w:val="22"/>
        </w:rPr>
        <w:t xml:space="preserve">. </w:t>
      </w:r>
      <w:r w:rsidRPr="009E3604">
        <w:rPr>
          <w:rFonts w:asciiTheme="minorHAnsi" w:hAnsiTheme="minorHAnsi" w:cstheme="minorHAnsi"/>
          <w:color w:val="000000" w:themeColor="text1"/>
          <w:sz w:val="22"/>
          <w:szCs w:val="22"/>
        </w:rPr>
        <w:t xml:space="preserve">Each case </w:t>
      </w:r>
      <w:proofErr w:type="gramStart"/>
      <w:r w:rsidRPr="009E3604">
        <w:rPr>
          <w:rFonts w:asciiTheme="minorHAnsi" w:hAnsiTheme="minorHAnsi" w:cstheme="minorHAnsi"/>
          <w:color w:val="000000" w:themeColor="text1"/>
          <w:sz w:val="22"/>
          <w:szCs w:val="22"/>
        </w:rPr>
        <w:t>has to</w:t>
      </w:r>
      <w:proofErr w:type="gramEnd"/>
      <w:r w:rsidRPr="009E3604">
        <w:rPr>
          <w:rFonts w:asciiTheme="minorHAnsi" w:hAnsiTheme="minorHAnsi" w:cstheme="minorHAnsi"/>
          <w:color w:val="000000" w:themeColor="text1"/>
          <w:sz w:val="22"/>
          <w:szCs w:val="22"/>
        </w:rPr>
        <w:t xml:space="preserve"> be evaluated individually. If polymer stays liquid in the coating, </w:t>
      </w:r>
      <w:proofErr w:type="gramStart"/>
      <w:r w:rsidRPr="009E3604">
        <w:rPr>
          <w:rFonts w:asciiTheme="minorHAnsi" w:hAnsiTheme="minorHAnsi" w:cstheme="minorHAnsi"/>
          <w:color w:val="000000" w:themeColor="text1"/>
          <w:sz w:val="22"/>
          <w:szCs w:val="22"/>
        </w:rPr>
        <w:t>than</w:t>
      </w:r>
      <w:proofErr w:type="gramEnd"/>
      <w:r w:rsidRPr="009E3604">
        <w:rPr>
          <w:rFonts w:asciiTheme="minorHAnsi" w:hAnsiTheme="minorHAnsi" w:cstheme="minorHAnsi"/>
          <w:color w:val="000000" w:themeColor="text1"/>
          <w:sz w:val="22"/>
          <w:szCs w:val="22"/>
        </w:rPr>
        <w:t xml:space="preserve"> it won’t be in the scope of the restriction.</w:t>
      </w:r>
      <w:bookmarkEnd w:id="18"/>
      <w:bookmarkEnd w:id="19"/>
      <w:r w:rsidRPr="009E3604">
        <w:rPr>
          <w:rFonts w:asciiTheme="minorHAnsi" w:hAnsiTheme="minorHAnsi" w:cstheme="minorHAnsi"/>
          <w:color w:val="000000" w:themeColor="text1"/>
          <w:sz w:val="22"/>
          <w:szCs w:val="22"/>
        </w:rPr>
        <w:t xml:space="preserve"> </w:t>
      </w:r>
    </w:p>
    <w:p w14:paraId="3C203C5E" w14:textId="77777777" w:rsidR="00080996" w:rsidRPr="00923A39" w:rsidRDefault="00080996" w:rsidP="00080996">
      <w:pPr>
        <w:rPr>
          <w:rFonts w:cstheme="minorHAnsi"/>
        </w:rPr>
      </w:pPr>
    </w:p>
    <w:p w14:paraId="3BB8ABA7" w14:textId="77777777" w:rsidR="00080996" w:rsidRPr="007B4385" w:rsidRDefault="00080996" w:rsidP="008A4391">
      <w:pPr>
        <w:pStyle w:val="Pealkiri2"/>
        <w:numPr>
          <w:ilvl w:val="1"/>
          <w:numId w:val="16"/>
        </w:numPr>
        <w:tabs>
          <w:tab w:val="left" w:pos="0"/>
        </w:tabs>
        <w:ind w:left="0" w:firstLine="0"/>
        <w:jc w:val="both"/>
      </w:pPr>
      <w:bookmarkStart w:id="20" w:name="_Toc170393904"/>
      <w:bookmarkStart w:id="21" w:name="_Toc170394065"/>
      <w:r w:rsidRPr="007B4385">
        <w:t>Paragraph 16 states that the paragraph 1 of the restriction shall not apply to synthetic polymer microparticles placed on the market prior to a certain date. There is an additional sentence that this would not apply to uses listed in paragraph 6</w:t>
      </w:r>
      <w:proofErr w:type="gramStart"/>
      <w:r w:rsidRPr="007B4385">
        <w:t>. ?</w:t>
      </w:r>
      <w:bookmarkEnd w:id="20"/>
      <w:bookmarkEnd w:id="21"/>
      <w:proofErr w:type="gramEnd"/>
      <w:r w:rsidRPr="007B4385">
        <w:t xml:space="preserve">  </w:t>
      </w:r>
    </w:p>
    <w:p w14:paraId="52314356" w14:textId="4AFFE992" w:rsidR="00080996" w:rsidRPr="005840E6" w:rsidRDefault="00080996" w:rsidP="005840E6">
      <w:pPr>
        <w:spacing w:after="120"/>
        <w:jc w:val="both"/>
      </w:pPr>
      <w:r w:rsidRPr="002C1BBF">
        <w:t>There is a grace period for those uses without transitional period</w:t>
      </w:r>
      <w:r w:rsidRPr="002C1BBF">
        <w:rPr>
          <w:rStyle w:val="normaltextrun"/>
        </w:rPr>
        <w:t>. Those with transitional period are subject to the paragraph 6 conditions.</w:t>
      </w:r>
      <w:r w:rsidR="005840E6">
        <w:rPr>
          <w:rStyle w:val="normaltextrun"/>
        </w:rPr>
        <w:t xml:space="preserve"> </w:t>
      </w:r>
      <w:r w:rsidRPr="002C1BBF">
        <w:rPr>
          <w:rStyle w:val="normaltextrun"/>
        </w:rPr>
        <w:t>Different transition periods for ‘placing on the market’ apply for different sectors. However, according to the Commission Regulation all transition periods refer to ‘placing on the market’. Placing on market is equivalent to leaving the distribution facilities or “on shelf”. The d</w:t>
      </w:r>
      <w:r w:rsidRPr="002C1BBF">
        <w:rPr>
          <w:rStyle w:val="normaltextrun"/>
          <w:rFonts w:eastAsiaTheme="minorEastAsia"/>
        </w:rPr>
        <w:t xml:space="preserve">efinition in REACH. (Article 3.12): </w:t>
      </w:r>
      <w:r w:rsidRPr="002C1BBF">
        <w:rPr>
          <w:rFonts w:eastAsiaTheme="minorEastAsia"/>
          <w:kern w:val="0"/>
        </w:rPr>
        <w:t xml:space="preserve">means supplying </w:t>
      </w:r>
      <w:r w:rsidRPr="002C1BBF">
        <w:rPr>
          <w:rFonts w:eastAsiaTheme="minorEastAsia"/>
          <w:b/>
          <w:bCs/>
          <w:kern w:val="0"/>
        </w:rPr>
        <w:t>or making available</w:t>
      </w:r>
      <w:r w:rsidRPr="002C1BBF">
        <w:rPr>
          <w:rFonts w:eastAsiaTheme="minorEastAsia"/>
        </w:rPr>
        <w:t>, whether in return for payment or free of charge, to a third party. Import shall be deemed</w:t>
      </w:r>
      <w:r w:rsidRPr="002C1BBF">
        <w:rPr>
          <w:rFonts w:eastAsiaTheme="minorEastAsia"/>
          <w:kern w:val="0"/>
        </w:rPr>
        <w:t xml:space="preserve"> to be placing on the </w:t>
      </w:r>
      <w:proofErr w:type="gramStart"/>
      <w:r w:rsidRPr="002C1BBF">
        <w:rPr>
          <w:rFonts w:eastAsiaTheme="minorEastAsia"/>
          <w:kern w:val="0"/>
          <w14:ligatures w14:val="none"/>
        </w:rPr>
        <w:t>market;</w:t>
      </w:r>
      <w:proofErr w:type="gramEnd"/>
    </w:p>
    <w:p w14:paraId="46F12CCF" w14:textId="77777777" w:rsidR="00080996" w:rsidRPr="00C15D58" w:rsidRDefault="00080996" w:rsidP="00080996">
      <w:pPr>
        <w:autoSpaceDE w:val="0"/>
        <w:autoSpaceDN w:val="0"/>
        <w:adjustRightInd w:val="0"/>
        <w:jc w:val="both"/>
        <w:rPr>
          <w:rStyle w:val="normaltextrun"/>
          <w:rFonts w:eastAsiaTheme="minorEastAsia"/>
          <w:sz w:val="24"/>
          <w:szCs w:val="24"/>
        </w:rPr>
      </w:pPr>
    </w:p>
    <w:p w14:paraId="10605249" w14:textId="7FCA7C9D" w:rsidR="00080996" w:rsidRPr="007B4385" w:rsidRDefault="00080996" w:rsidP="008A4391">
      <w:pPr>
        <w:pStyle w:val="Pealkiri2"/>
        <w:numPr>
          <w:ilvl w:val="1"/>
          <w:numId w:val="16"/>
        </w:numPr>
        <w:tabs>
          <w:tab w:val="left" w:pos="0"/>
        </w:tabs>
        <w:ind w:left="0" w:firstLine="0"/>
        <w:jc w:val="both"/>
        <w:rPr>
          <w:rStyle w:val="normaltextrun"/>
        </w:rPr>
      </w:pPr>
      <w:bookmarkStart w:id="22" w:name="_Toc170393905"/>
      <w:bookmarkStart w:id="23" w:name="_Toc170394066"/>
      <w:r w:rsidRPr="007B4385">
        <w:rPr>
          <w:rStyle w:val="normaltextrun"/>
        </w:rPr>
        <w:t>Is read-across permitted within a product family?</w:t>
      </w:r>
      <w:bookmarkEnd w:id="22"/>
      <w:bookmarkEnd w:id="23"/>
      <w:r w:rsidRPr="007B4385">
        <w:rPr>
          <w:rStyle w:val="normaltextrun"/>
        </w:rPr>
        <w:t> </w:t>
      </w:r>
    </w:p>
    <w:p w14:paraId="5A416AEC" w14:textId="7F6C3A69" w:rsidR="00080996" w:rsidRPr="000B50A1" w:rsidRDefault="00080996" w:rsidP="00080996">
      <w:pPr>
        <w:pStyle w:val="Pealkiri2"/>
        <w:rPr>
          <w:rStyle w:val="normaltextrun"/>
          <w:rFonts w:asciiTheme="minorHAnsi" w:hAnsiTheme="minorHAnsi" w:cstheme="minorHAnsi"/>
          <w:b/>
          <w:bCs/>
          <w:sz w:val="22"/>
          <w:szCs w:val="22"/>
        </w:rPr>
      </w:pPr>
      <w:bookmarkStart w:id="24" w:name="_Toc170393906"/>
      <w:bookmarkStart w:id="25" w:name="_Toc170394067"/>
      <w:r w:rsidRPr="00DB2B76">
        <w:rPr>
          <w:rStyle w:val="normaltextrun"/>
          <w:rFonts w:asciiTheme="minorHAnsi" w:hAnsiTheme="minorHAnsi" w:cstheme="minorHAnsi"/>
          <w:color w:val="000000" w:themeColor="text1"/>
          <w:sz w:val="22"/>
          <w:szCs w:val="22"/>
        </w:rPr>
        <w:t>This is a technical question for ECHA and Commission to address.</w:t>
      </w:r>
      <w:bookmarkEnd w:id="24"/>
      <w:bookmarkEnd w:id="25"/>
    </w:p>
    <w:p w14:paraId="1AAFC69D" w14:textId="77777777" w:rsidR="00080996" w:rsidRPr="00BA6CA8" w:rsidRDefault="00080996" w:rsidP="00080996"/>
    <w:p w14:paraId="64633792" w14:textId="781A5FDA" w:rsidR="00080996" w:rsidRPr="007B4385" w:rsidRDefault="00080996" w:rsidP="008A4391">
      <w:pPr>
        <w:pStyle w:val="Pealkiri2"/>
        <w:numPr>
          <w:ilvl w:val="1"/>
          <w:numId w:val="16"/>
        </w:numPr>
        <w:tabs>
          <w:tab w:val="left" w:pos="0"/>
        </w:tabs>
        <w:ind w:left="0" w:firstLine="0"/>
        <w:jc w:val="both"/>
        <w:rPr>
          <w:rStyle w:val="normaltextrun"/>
        </w:rPr>
      </w:pPr>
      <w:bookmarkStart w:id="26" w:name="_Toc170393907"/>
      <w:bookmarkStart w:id="27" w:name="_Toc170394068"/>
      <w:r w:rsidRPr="007B4385">
        <w:rPr>
          <w:rStyle w:val="normaltextrun"/>
        </w:rPr>
        <w:t xml:space="preserve">How to assess whether a seed coating formulation falls under </w:t>
      </w:r>
      <w:r w:rsidR="003C0025" w:rsidRPr="007B4385">
        <w:rPr>
          <w:rStyle w:val="normaltextrun"/>
        </w:rPr>
        <w:t xml:space="preserve">SPM </w:t>
      </w:r>
      <w:r w:rsidRPr="007B4385">
        <w:rPr>
          <w:rStyle w:val="normaltextrun"/>
        </w:rPr>
        <w:t>restriction? Can we have examples considering the weight of the seed and each polymer in a formulation in relation to the threshold value of 0.01% by weight (and size of the seed considering the 1%)</w:t>
      </w:r>
      <w:bookmarkEnd w:id="26"/>
      <w:bookmarkEnd w:id="27"/>
      <w:r w:rsidRPr="007B4385">
        <w:rPr>
          <w:rStyle w:val="normaltextrun"/>
        </w:rPr>
        <w:t xml:space="preserve"> </w:t>
      </w:r>
    </w:p>
    <w:p w14:paraId="3A9E36C1" w14:textId="77777777" w:rsidR="00080996" w:rsidRPr="008213E6" w:rsidRDefault="00080996" w:rsidP="00080996">
      <w:pPr>
        <w:pStyle w:val="Pealkiri2"/>
        <w:jc w:val="both"/>
        <w:rPr>
          <w:rStyle w:val="normaltextrun"/>
          <w:rFonts w:asciiTheme="minorHAnsi" w:hAnsiTheme="minorHAnsi" w:cstheme="minorHAnsi"/>
          <w:color w:val="auto"/>
          <w:sz w:val="22"/>
          <w:szCs w:val="22"/>
        </w:rPr>
      </w:pPr>
      <w:bookmarkStart w:id="28" w:name="_Toc170393908"/>
      <w:bookmarkStart w:id="29" w:name="_Toc170394069"/>
      <w:r w:rsidRPr="008213E6">
        <w:rPr>
          <w:rStyle w:val="normaltextrun"/>
          <w:rFonts w:asciiTheme="minorHAnsi" w:hAnsiTheme="minorHAnsi" w:cstheme="minorHAnsi"/>
          <w:color w:val="auto"/>
          <w:sz w:val="22"/>
          <w:szCs w:val="22"/>
        </w:rPr>
        <w:t xml:space="preserve">This is a question that </w:t>
      </w:r>
      <w:proofErr w:type="spellStart"/>
      <w:r w:rsidRPr="008213E6">
        <w:rPr>
          <w:rStyle w:val="normaltextrun"/>
          <w:rFonts w:asciiTheme="minorHAnsi" w:hAnsiTheme="minorHAnsi" w:cstheme="minorHAnsi"/>
          <w:color w:val="auto"/>
          <w:sz w:val="22"/>
          <w:szCs w:val="22"/>
        </w:rPr>
        <w:t>Cefic</w:t>
      </w:r>
      <w:proofErr w:type="spellEnd"/>
      <w:r w:rsidRPr="008213E6">
        <w:rPr>
          <w:rStyle w:val="normaltextrun"/>
          <w:rFonts w:asciiTheme="minorHAnsi" w:hAnsiTheme="minorHAnsi" w:cstheme="minorHAnsi"/>
          <w:color w:val="auto"/>
          <w:sz w:val="22"/>
          <w:szCs w:val="22"/>
        </w:rPr>
        <w:t xml:space="preserve"> cannot answer. </w:t>
      </w:r>
      <w:proofErr w:type="spellStart"/>
      <w:r w:rsidRPr="008213E6">
        <w:rPr>
          <w:rStyle w:val="normaltextrun"/>
          <w:rFonts w:asciiTheme="minorHAnsi" w:hAnsiTheme="minorHAnsi" w:cstheme="minorHAnsi"/>
          <w:color w:val="auto"/>
          <w:sz w:val="22"/>
          <w:szCs w:val="22"/>
        </w:rPr>
        <w:t>Cefic</w:t>
      </w:r>
      <w:proofErr w:type="spellEnd"/>
      <w:r w:rsidRPr="008213E6">
        <w:rPr>
          <w:rStyle w:val="normaltextrun"/>
          <w:rFonts w:asciiTheme="minorHAnsi" w:hAnsiTheme="minorHAnsi" w:cstheme="minorHAnsi"/>
          <w:color w:val="auto"/>
          <w:sz w:val="22"/>
          <w:szCs w:val="22"/>
        </w:rPr>
        <w:t xml:space="preserve"> recommends that CropLife Europe or </w:t>
      </w:r>
      <w:proofErr w:type="spellStart"/>
      <w:r w:rsidRPr="008213E6">
        <w:rPr>
          <w:rStyle w:val="normaltextrun"/>
          <w:rFonts w:asciiTheme="minorHAnsi" w:hAnsiTheme="minorHAnsi" w:cstheme="minorHAnsi"/>
          <w:color w:val="auto"/>
          <w:sz w:val="22"/>
          <w:szCs w:val="22"/>
        </w:rPr>
        <w:t>Euroseeds</w:t>
      </w:r>
      <w:proofErr w:type="spellEnd"/>
      <w:r w:rsidRPr="008213E6">
        <w:rPr>
          <w:rStyle w:val="normaltextrun"/>
          <w:rFonts w:asciiTheme="minorHAnsi" w:hAnsiTheme="minorHAnsi" w:cstheme="minorHAnsi"/>
          <w:color w:val="auto"/>
          <w:sz w:val="22"/>
          <w:szCs w:val="22"/>
        </w:rPr>
        <w:t xml:space="preserve"> should be contacted to provide the answer to this question, not </w:t>
      </w:r>
      <w:proofErr w:type="spellStart"/>
      <w:r w:rsidRPr="008213E6">
        <w:rPr>
          <w:rStyle w:val="normaltextrun"/>
          <w:rFonts w:asciiTheme="minorHAnsi" w:hAnsiTheme="minorHAnsi" w:cstheme="minorHAnsi"/>
          <w:color w:val="auto"/>
          <w:sz w:val="22"/>
          <w:szCs w:val="22"/>
        </w:rPr>
        <w:t>Cefic</w:t>
      </w:r>
      <w:proofErr w:type="spellEnd"/>
      <w:r w:rsidRPr="008213E6">
        <w:rPr>
          <w:rStyle w:val="normaltextrun"/>
          <w:rFonts w:asciiTheme="minorHAnsi" w:hAnsiTheme="minorHAnsi" w:cstheme="minorHAnsi"/>
          <w:color w:val="auto"/>
          <w:sz w:val="22"/>
          <w:szCs w:val="22"/>
        </w:rPr>
        <w:t>.</w:t>
      </w:r>
      <w:bookmarkEnd w:id="28"/>
      <w:bookmarkEnd w:id="29"/>
    </w:p>
    <w:p w14:paraId="62A756EA" w14:textId="77777777" w:rsidR="00080996" w:rsidRPr="00482A13" w:rsidRDefault="00080996" w:rsidP="00080996"/>
    <w:p w14:paraId="48BE2FD1" w14:textId="66671278" w:rsidR="00080996" w:rsidRPr="007B4385" w:rsidRDefault="00080996" w:rsidP="00C03766">
      <w:pPr>
        <w:pStyle w:val="Pealkiri2"/>
        <w:numPr>
          <w:ilvl w:val="1"/>
          <w:numId w:val="16"/>
        </w:numPr>
        <w:tabs>
          <w:tab w:val="left" w:pos="0"/>
        </w:tabs>
        <w:ind w:left="0" w:firstLine="0"/>
        <w:rPr>
          <w:rStyle w:val="normaltextrun"/>
        </w:rPr>
      </w:pPr>
      <w:bookmarkStart w:id="30" w:name="_Toc170393909"/>
      <w:bookmarkStart w:id="31" w:name="_Toc170394070"/>
      <w:r w:rsidRPr="007B4385">
        <w:rPr>
          <w:rStyle w:val="normaltextrun"/>
        </w:rPr>
        <w:t>In connection with what could be the definition of "end use" and "products on the market", along the supply chain, with all B2B actors and the final company placing the final product in the market. Who of each company must declare the "synthetic polymer microparticle" or "non-synthetic polymer microparticle" status of their product or only give an assessment against exemptions (liquid, soluble, biodegradable, natural, &lt;0.01%) each user needs to report.</w:t>
      </w:r>
      <w:r w:rsidRPr="007B4385">
        <w:br/>
      </w:r>
      <w:r w:rsidRPr="007B4385">
        <w:rPr>
          <w:rStyle w:val="normaltextrun"/>
        </w:rPr>
        <w:t xml:space="preserve">In order to determine the </w:t>
      </w:r>
      <w:r w:rsidR="003C0025" w:rsidRPr="007B4385">
        <w:rPr>
          <w:rStyle w:val="normaltextrun"/>
        </w:rPr>
        <w:t xml:space="preserve">SPM </w:t>
      </w:r>
      <w:r w:rsidRPr="007B4385">
        <w:rPr>
          <w:rStyle w:val="normaltextrun"/>
        </w:rPr>
        <w:t>downstream risk, can a company be satisfied with a "non-synthetic polymer microparticle" upstream statements or must it receive an assessment against exemptions (liquid, soluble, biodegradable, natural, &lt;0.01%?</w:t>
      </w:r>
      <w:bookmarkEnd w:id="30"/>
      <w:bookmarkEnd w:id="31"/>
      <w:r w:rsidRPr="007B4385">
        <w:rPr>
          <w:rStyle w:val="normaltextrun"/>
        </w:rPr>
        <w:t xml:space="preserve"> </w:t>
      </w:r>
    </w:p>
    <w:p w14:paraId="19349725" w14:textId="275C1D56" w:rsidR="00C263FB" w:rsidRDefault="00080996" w:rsidP="005840E6">
      <w:pPr>
        <w:spacing w:after="120"/>
        <w:jc w:val="both"/>
        <w:rPr>
          <w:rStyle w:val="normaltextrun"/>
        </w:rPr>
      </w:pPr>
      <w:r w:rsidRPr="00826473">
        <w:rPr>
          <w:rStyle w:val="normaltextrun"/>
        </w:rPr>
        <w:t>It depends on what company does. If there is no change of polymer then it should not need to be declared but refer</w:t>
      </w:r>
      <w:r w:rsidR="003C0025">
        <w:rPr>
          <w:rStyle w:val="normaltextrun"/>
        </w:rPr>
        <w:t>red</w:t>
      </w:r>
      <w:r w:rsidRPr="00826473">
        <w:rPr>
          <w:rStyle w:val="normaltextrun"/>
        </w:rPr>
        <w:t xml:space="preserve"> to the status from the previous player on the supply chain. If the formulation </w:t>
      </w:r>
      <w:proofErr w:type="gramStart"/>
      <w:r w:rsidRPr="00826473">
        <w:rPr>
          <w:rStyle w:val="normaltextrun"/>
        </w:rPr>
        <w:t>changes</w:t>
      </w:r>
      <w:proofErr w:type="gramEnd"/>
      <w:r w:rsidRPr="00826473">
        <w:rPr>
          <w:rStyle w:val="normaltextrun"/>
        </w:rPr>
        <w:t xml:space="preserve"> then companies might need to generate additional information to understand if the product contains or not SPMs. Please note that even if a company does not have a SPM, additional information might be needed to show on what grounds it is not a nonsynthetic polymer microparticle (soluble, degradable, natural or non</w:t>
      </w:r>
      <w:r w:rsidR="00F9248D">
        <w:rPr>
          <w:rStyle w:val="normaltextrun"/>
        </w:rPr>
        <w:t>-</w:t>
      </w:r>
      <w:r w:rsidRPr="00826473">
        <w:rPr>
          <w:rStyle w:val="normaltextrun"/>
        </w:rPr>
        <w:t>carbon polymer).</w:t>
      </w:r>
    </w:p>
    <w:p w14:paraId="306BA9D1" w14:textId="77777777" w:rsidR="005840E6" w:rsidRPr="005840E6" w:rsidRDefault="005840E6" w:rsidP="005840E6">
      <w:pPr>
        <w:spacing w:after="120"/>
        <w:jc w:val="both"/>
      </w:pPr>
    </w:p>
    <w:p w14:paraId="2E500001" w14:textId="58EB0B98" w:rsidR="00661F5B" w:rsidRDefault="00080996" w:rsidP="008A4391">
      <w:pPr>
        <w:pStyle w:val="Pealkiri1"/>
        <w:numPr>
          <w:ilvl w:val="0"/>
          <w:numId w:val="11"/>
        </w:numPr>
      </w:pPr>
      <w:bookmarkStart w:id="32" w:name="_Toc170394071"/>
      <w:r w:rsidRPr="002067A9">
        <w:t>TRANSITION PERIODS</w:t>
      </w:r>
      <w:bookmarkEnd w:id="32"/>
    </w:p>
    <w:p w14:paraId="7D1ECE2E" w14:textId="77777777" w:rsidR="009C61E0" w:rsidRPr="009C61E0" w:rsidRDefault="009C61E0" w:rsidP="009C61E0"/>
    <w:p w14:paraId="1BAE838A" w14:textId="301BE32D" w:rsidR="00080996" w:rsidRPr="006B3F3B" w:rsidRDefault="00080996" w:rsidP="00080996">
      <w:pPr>
        <w:pStyle w:val="Pealkiri2"/>
        <w:spacing w:before="0"/>
        <w:jc w:val="both"/>
        <w:rPr>
          <w:rStyle w:val="normaltextrun"/>
          <w:rFonts w:asciiTheme="minorHAnsi" w:eastAsiaTheme="minorHAnsi" w:hAnsiTheme="minorHAnsi" w:cstheme="minorBidi"/>
          <w:color w:val="auto"/>
          <w:sz w:val="22"/>
          <w:szCs w:val="22"/>
        </w:rPr>
      </w:pPr>
      <w:bookmarkStart w:id="33" w:name="_Toc170393911"/>
      <w:bookmarkStart w:id="34" w:name="_Toc170394072"/>
      <w:r w:rsidRPr="006B3F3B">
        <w:rPr>
          <w:rStyle w:val="normaltextrun"/>
          <w:rFonts w:asciiTheme="minorHAnsi" w:eastAsiaTheme="minorHAnsi" w:hAnsiTheme="minorHAnsi" w:cstheme="minorBidi"/>
          <w:color w:val="auto"/>
          <w:sz w:val="22"/>
          <w:szCs w:val="22"/>
        </w:rPr>
        <w:t xml:space="preserve">The present section includes questions received from companies and associations concerning paragraph 6 of the restriction on </w:t>
      </w:r>
      <w:r w:rsidR="0048425E">
        <w:rPr>
          <w:rStyle w:val="normaltextrun"/>
          <w:rFonts w:asciiTheme="minorHAnsi" w:eastAsiaTheme="minorHAnsi" w:hAnsiTheme="minorHAnsi" w:cstheme="minorBidi"/>
          <w:color w:val="auto"/>
          <w:sz w:val="22"/>
          <w:szCs w:val="22"/>
        </w:rPr>
        <w:t>SPM</w:t>
      </w:r>
      <w:r w:rsidRPr="006B3F3B">
        <w:rPr>
          <w:rStyle w:val="normaltextrun"/>
          <w:rFonts w:asciiTheme="minorHAnsi" w:eastAsiaTheme="minorHAnsi" w:hAnsiTheme="minorHAnsi" w:cstheme="minorBidi"/>
          <w:color w:val="auto"/>
          <w:sz w:val="22"/>
          <w:szCs w:val="22"/>
        </w:rPr>
        <w:t xml:space="preserve">. </w:t>
      </w:r>
      <w:bookmarkEnd w:id="33"/>
      <w:bookmarkEnd w:id="34"/>
    </w:p>
    <w:p w14:paraId="10F90F2A" w14:textId="77777777" w:rsidR="00080996" w:rsidRDefault="00080996" w:rsidP="00080996">
      <w:pPr>
        <w:pStyle w:val="Pealkiri2"/>
        <w:spacing w:before="0"/>
        <w:jc w:val="both"/>
        <w:rPr>
          <w:sz w:val="24"/>
          <w:szCs w:val="24"/>
        </w:rPr>
      </w:pPr>
    </w:p>
    <w:p w14:paraId="3DC7836B" w14:textId="4CB5D29B" w:rsidR="00080996" w:rsidRPr="001B0E65" w:rsidRDefault="00157D59" w:rsidP="001B0E65">
      <w:pPr>
        <w:pStyle w:val="Pealkiri2"/>
        <w:jc w:val="both"/>
        <w:rPr>
          <w:rStyle w:val="normaltextrun"/>
        </w:rPr>
      </w:pPr>
      <w:bookmarkStart w:id="35" w:name="_Toc170393912"/>
      <w:bookmarkStart w:id="36" w:name="_Toc170394073"/>
      <w:r>
        <w:rPr>
          <w:rStyle w:val="normaltextrun"/>
        </w:rPr>
        <w:t xml:space="preserve">8.1 </w:t>
      </w:r>
      <w:r w:rsidR="00080996" w:rsidRPr="001B0E65">
        <w:rPr>
          <w:rStyle w:val="normaltextrun"/>
        </w:rPr>
        <w:t xml:space="preserve">"From [Publications Office, </w:t>
      </w:r>
      <w:r w:rsidR="00C263FB" w:rsidRPr="001B0E65">
        <w:rPr>
          <w:rStyle w:val="normaltextrun"/>
        </w:rPr>
        <w:t>17 October 2028</w:t>
      </w:r>
      <w:r w:rsidR="00080996" w:rsidRPr="001B0E65">
        <w:rPr>
          <w:rStyle w:val="normaltextrun"/>
        </w:rPr>
        <w:t xml:space="preserve"> = 5 years after the date of entry into force of this amending Regulation] for products for agricultural and horticultural uses not covered by points (g) or (h); Is it possible to provide some examples of which types of products would fall within this category (for example, do we mean adjuvants according to art. 2(3)(d) of Reg. 1107/2009 or instead does it refer to other products)?</w:t>
      </w:r>
      <w:bookmarkEnd w:id="35"/>
      <w:bookmarkEnd w:id="36"/>
    </w:p>
    <w:p w14:paraId="469243AE" w14:textId="77777777" w:rsidR="00080996" w:rsidRDefault="00080996" w:rsidP="00080996">
      <w:pPr>
        <w:jc w:val="both"/>
        <w:rPr>
          <w:rStyle w:val="normaltextrun"/>
          <w:sz w:val="24"/>
          <w:szCs w:val="24"/>
        </w:rPr>
      </w:pPr>
      <w:r w:rsidRPr="00465950">
        <w:rPr>
          <w:rStyle w:val="normaltextrun"/>
        </w:rPr>
        <w:t xml:space="preserve">For the moment </w:t>
      </w:r>
      <w:proofErr w:type="spellStart"/>
      <w:r w:rsidRPr="00465950">
        <w:rPr>
          <w:rStyle w:val="normaltextrun"/>
        </w:rPr>
        <w:t>Cefic</w:t>
      </w:r>
      <w:proofErr w:type="spellEnd"/>
      <w:r w:rsidRPr="00465950">
        <w:rPr>
          <w:rStyle w:val="normaltextrun"/>
        </w:rPr>
        <w:t xml:space="preserve"> is not able to provide the answer to this question. The corresponding trade association should be contacted by the company </w:t>
      </w:r>
      <w:proofErr w:type="gramStart"/>
      <w:r w:rsidRPr="00465950">
        <w:rPr>
          <w:rStyle w:val="normaltextrun"/>
        </w:rPr>
        <w:t>in order to</w:t>
      </w:r>
      <w:proofErr w:type="gramEnd"/>
      <w:r w:rsidRPr="00465950">
        <w:rPr>
          <w:rStyle w:val="normaltextrun"/>
        </w:rPr>
        <w:t xml:space="preserve"> get the examples requested</w:t>
      </w:r>
      <w:r w:rsidRPr="00482A13">
        <w:rPr>
          <w:rStyle w:val="normaltextrun"/>
          <w:sz w:val="24"/>
          <w:szCs w:val="24"/>
        </w:rPr>
        <w:t>.</w:t>
      </w:r>
    </w:p>
    <w:p w14:paraId="2B79795D" w14:textId="0CCFE09B" w:rsidR="00AD2B97" w:rsidRPr="00A147C4" w:rsidRDefault="00AD2B97" w:rsidP="008A4391">
      <w:pPr>
        <w:pStyle w:val="Pealkiri1"/>
        <w:numPr>
          <w:ilvl w:val="0"/>
          <w:numId w:val="11"/>
        </w:numPr>
        <w:rPr>
          <w:rStyle w:val="normaltextrun"/>
        </w:rPr>
      </w:pPr>
      <w:bookmarkStart w:id="37" w:name="_Toc170394074"/>
      <w:r w:rsidRPr="00A147C4">
        <w:rPr>
          <w:rStyle w:val="normaltextrun"/>
        </w:rPr>
        <w:t>INSTRUCTIONS FOR USE AND DISPOSAL</w:t>
      </w:r>
      <w:bookmarkEnd w:id="37"/>
    </w:p>
    <w:p w14:paraId="02E9EC68" w14:textId="77777777" w:rsidR="008A2A17" w:rsidRPr="00EF3D41" w:rsidRDefault="008A2A17" w:rsidP="008A2A17">
      <w:pPr>
        <w:pStyle w:val="Loendilik"/>
        <w:ind w:left="643"/>
        <w:rPr>
          <w:color w:val="4472C4" w:themeColor="accent1"/>
          <w:sz w:val="40"/>
          <w:szCs w:val="40"/>
        </w:rPr>
      </w:pPr>
    </w:p>
    <w:p w14:paraId="631EFDEA" w14:textId="56DF27F4" w:rsidR="008A2A17" w:rsidRPr="009C6C67" w:rsidRDefault="008A2A17" w:rsidP="009C6C67">
      <w:pPr>
        <w:jc w:val="both"/>
      </w:pPr>
      <w:r w:rsidRPr="009C6C67">
        <w:t xml:space="preserve">The present </w:t>
      </w:r>
      <w:r w:rsidR="008F18A4" w:rsidRPr="009C6C67">
        <w:t xml:space="preserve">section includes questions received from companies and associations concerning paragraph 7, 8, 9 and 10 of the restriction on SPM. </w:t>
      </w:r>
    </w:p>
    <w:p w14:paraId="36FFD353" w14:textId="02CB5C4A" w:rsidR="008A2A17" w:rsidRPr="00C92A2E" w:rsidRDefault="00C869DD" w:rsidP="00284BDE">
      <w:pPr>
        <w:pStyle w:val="Pealkiri2"/>
        <w:jc w:val="both"/>
      </w:pPr>
      <w:r>
        <w:t xml:space="preserve">9.1 </w:t>
      </w:r>
      <w:r w:rsidR="008A2A17" w:rsidRPr="00C92A2E">
        <w:t>Are urban water discharges in scope, even if a water treatment plant collecting any plastics residues is operating?</w:t>
      </w:r>
    </w:p>
    <w:p w14:paraId="2F85AA51" w14:textId="3AC35AD4" w:rsidR="008A2A17" w:rsidRPr="009C6C67" w:rsidRDefault="008A2A17" w:rsidP="008A2A17">
      <w:pPr>
        <w:jc w:val="both"/>
        <w:rPr>
          <w:rFonts w:eastAsiaTheme="minorEastAsia"/>
        </w:rPr>
      </w:pPr>
      <w:r w:rsidRPr="009C6C67">
        <w:rPr>
          <w:rFonts w:eastAsiaTheme="minorEastAsia"/>
        </w:rPr>
        <w:t xml:space="preserve">This answer depends, weather the </w:t>
      </w:r>
      <w:proofErr w:type="gramStart"/>
      <w:r w:rsidRPr="009C6C67">
        <w:rPr>
          <w:rFonts w:eastAsiaTheme="minorEastAsia"/>
        </w:rPr>
        <w:t>filters  are</w:t>
      </w:r>
      <w:proofErr w:type="gramEnd"/>
      <w:r w:rsidRPr="009C6C67">
        <w:rPr>
          <w:rFonts w:eastAsiaTheme="minorEastAsia"/>
        </w:rPr>
        <w:t xml:space="preserve"> sufficient in preventing SPM release into environment.   </w:t>
      </w:r>
    </w:p>
    <w:p w14:paraId="1BC076D3" w14:textId="41A09E7D" w:rsidR="008A2A17" w:rsidRPr="00284BDE" w:rsidRDefault="00C869DD" w:rsidP="00284BDE">
      <w:pPr>
        <w:pStyle w:val="Pealkiri2"/>
        <w:jc w:val="both"/>
        <w:rPr>
          <w:rStyle w:val="normaltextrun"/>
          <w:rFonts w:eastAsiaTheme="minorEastAsia"/>
          <w:color w:val="4472C4" w:themeColor="accent1"/>
          <w:sz w:val="24"/>
          <w:szCs w:val="24"/>
        </w:rPr>
      </w:pPr>
      <w:r>
        <w:rPr>
          <w:rStyle w:val="normaltextrun"/>
          <w:rFonts w:eastAsiaTheme="minorEastAsia"/>
          <w:color w:val="4472C4" w:themeColor="accent1"/>
          <w:sz w:val="24"/>
          <w:szCs w:val="24"/>
        </w:rPr>
        <w:t xml:space="preserve">9.2 </w:t>
      </w:r>
      <w:r w:rsidR="008A2A17" w:rsidRPr="00284BDE">
        <w:rPr>
          <w:rStyle w:val="normaltextrun"/>
          <w:rFonts w:eastAsiaTheme="minorEastAsia"/>
          <w:color w:val="4472C4" w:themeColor="accent1"/>
          <w:sz w:val="24"/>
          <w:szCs w:val="24"/>
        </w:rPr>
        <w:t xml:space="preserve">Does the name for </w:t>
      </w:r>
      <w:r w:rsidR="008F18A4" w:rsidRPr="00284BDE">
        <w:rPr>
          <w:rStyle w:val="normaltextrun"/>
          <w:rFonts w:eastAsiaTheme="minorEastAsia"/>
          <w:color w:val="4472C4" w:themeColor="accent1"/>
          <w:sz w:val="24"/>
          <w:szCs w:val="24"/>
        </w:rPr>
        <w:t>each SPM</w:t>
      </w:r>
      <w:r w:rsidR="008A2A17" w:rsidRPr="00284BDE">
        <w:rPr>
          <w:rStyle w:val="normaltextrun"/>
          <w:rFonts w:eastAsiaTheme="minorEastAsia"/>
          <w:color w:val="4472C4" w:themeColor="accent1"/>
          <w:sz w:val="24"/>
          <w:szCs w:val="24"/>
        </w:rPr>
        <w:t xml:space="preserve"> need to be included when microparticles are made of more than one polymer? (</w:t>
      </w:r>
      <w:r w:rsidR="008A2A17" w:rsidRPr="00284BDE">
        <w:t>Referring to the text written under Paragraphs 5(b), 7(d), 11(</w:t>
      </w:r>
      <w:proofErr w:type="gramStart"/>
      <w:r w:rsidR="008A2A17" w:rsidRPr="00284BDE">
        <w:t>b)  )</w:t>
      </w:r>
      <w:proofErr w:type="gramEnd"/>
    </w:p>
    <w:p w14:paraId="799233A8" w14:textId="298B7571" w:rsidR="008A2A17" w:rsidRPr="009C6C67" w:rsidRDefault="008A2A17" w:rsidP="008A2A17">
      <w:pPr>
        <w:spacing w:after="120"/>
        <w:jc w:val="both"/>
        <w:textAlignment w:val="baseline"/>
        <w:rPr>
          <w:rStyle w:val="normaltextrun"/>
          <w:rFonts w:eastAsiaTheme="minorEastAsia" w:cstheme="minorHAnsi"/>
        </w:rPr>
      </w:pPr>
      <w:r w:rsidRPr="009C6C67">
        <w:rPr>
          <w:rStyle w:val="normaltextrun"/>
          <w:rFonts w:eastAsiaTheme="minorEastAsia" w:cstheme="minorHAnsi"/>
        </w:rPr>
        <w:t xml:space="preserve">Yes, manufacturers, suppliers, and industrial users of </w:t>
      </w:r>
      <w:r w:rsidR="00341378" w:rsidRPr="009C6C67">
        <w:rPr>
          <w:rStyle w:val="normaltextrun"/>
          <w:rFonts w:eastAsiaTheme="minorEastAsia" w:cstheme="minorHAnsi"/>
        </w:rPr>
        <w:t>SPM</w:t>
      </w:r>
      <w:r w:rsidRPr="009C6C67">
        <w:rPr>
          <w:rStyle w:val="normaltextrun"/>
          <w:rFonts w:eastAsiaTheme="minorEastAsia" w:cstheme="minorHAnsi"/>
        </w:rPr>
        <w:t xml:space="preserve"> should maintain </w:t>
      </w:r>
      <w:r w:rsidRPr="009C6C67">
        <w:rPr>
          <w:rStyle w:val="normaltextrun"/>
          <w:rFonts w:eastAsiaTheme="minorEastAsia" w:cstheme="minorHAnsi"/>
          <w:b/>
          <w:bCs/>
        </w:rPr>
        <w:t>generic information</w:t>
      </w:r>
      <w:r w:rsidRPr="009C6C67">
        <w:rPr>
          <w:rStyle w:val="normaltextrun"/>
          <w:rFonts w:eastAsiaTheme="minorEastAsia" w:cstheme="minorHAnsi"/>
        </w:rPr>
        <w:t xml:space="preserve"> on the identity of the </w:t>
      </w:r>
      <w:r w:rsidRPr="009C6C67">
        <w:rPr>
          <w:rStyle w:val="normaltextrun"/>
          <w:rFonts w:eastAsiaTheme="minorEastAsia" w:cstheme="minorHAnsi"/>
          <w:b/>
          <w:bCs/>
        </w:rPr>
        <w:t>polymers</w:t>
      </w:r>
      <w:r w:rsidRPr="009C6C67">
        <w:rPr>
          <w:rStyle w:val="normaltextrun"/>
          <w:rFonts w:eastAsiaTheme="minorEastAsia" w:cstheme="minorHAnsi"/>
        </w:rPr>
        <w:t xml:space="preserve"> contained in the substance of mixture. </w:t>
      </w:r>
    </w:p>
    <w:p w14:paraId="78D4B3C8" w14:textId="77777777" w:rsidR="008A2A17" w:rsidRDefault="008A2A17" w:rsidP="00C92A2E">
      <w:pPr>
        <w:autoSpaceDE w:val="0"/>
        <w:autoSpaceDN w:val="0"/>
        <w:adjustRightInd w:val="0"/>
        <w:spacing w:after="0" w:line="240" w:lineRule="auto"/>
        <w:jc w:val="both"/>
        <w:rPr>
          <w:rFonts w:ascii="EUAlbertina" w:hAnsi="EUAlbertina" w:cs="EUAlbertina"/>
          <w:color w:val="000000"/>
          <w:kern w:val="0"/>
          <w:sz w:val="24"/>
          <w:szCs w:val="24"/>
          <w14:ligatures w14:val="none"/>
        </w:rPr>
      </w:pPr>
      <w:r w:rsidRPr="009C6C67">
        <w:rPr>
          <w:rFonts w:cstheme="minorHAnsi"/>
          <w:color w:val="000000"/>
          <w:kern w:val="0"/>
          <w14:ligatures w14:val="none"/>
        </w:rPr>
        <w:t xml:space="preserve">Manufacturers, importers and industrial downstream users of </w:t>
      </w:r>
      <w:r w:rsidRPr="009C6C67">
        <w:rPr>
          <w:rFonts w:cstheme="minorHAnsi"/>
          <w:b/>
          <w:bCs/>
          <w:color w:val="000000"/>
          <w:kern w:val="0"/>
          <w14:ligatures w14:val="none"/>
        </w:rPr>
        <w:t>products containing synthetic polymer</w:t>
      </w:r>
      <w:r w:rsidRPr="009C6C67">
        <w:rPr>
          <w:rFonts w:cstheme="minorHAnsi"/>
          <w:color w:val="000000"/>
          <w:kern w:val="0"/>
          <w14:ligatures w14:val="none"/>
        </w:rPr>
        <w:t xml:space="preserve"> microparticles shall provide </w:t>
      </w:r>
      <w:r w:rsidRPr="009C6C67">
        <w:rPr>
          <w:rFonts w:cstheme="minorHAnsi"/>
          <w:b/>
          <w:bCs/>
          <w:color w:val="000000"/>
          <w:kern w:val="0"/>
          <w14:ligatures w14:val="none"/>
        </w:rPr>
        <w:t>specific information</w:t>
      </w:r>
      <w:r w:rsidRPr="009C6C67">
        <w:rPr>
          <w:rFonts w:cstheme="minorHAnsi"/>
          <w:color w:val="000000"/>
          <w:kern w:val="0"/>
          <w14:ligatures w14:val="none"/>
        </w:rPr>
        <w:t xml:space="preserve"> on the identity of polymers covered by this entry contained in those products and the function of those polymers in the products to competent authorities upon their request. The specific information on the polymer identity shall be sufficient to unequivocally identify polymers and shall at least include the information laid down in points 2.1 to 2.2.3 and points 2.3.5, 2.3.6 and 2.3.7 of Annex VI, where applicable</w:t>
      </w:r>
      <w:r w:rsidRPr="00205F42">
        <w:rPr>
          <w:rFonts w:ascii="EUAlbertina" w:hAnsi="EUAlbertina" w:cs="EUAlbertina"/>
          <w:color w:val="000000"/>
          <w:kern w:val="0"/>
          <w:sz w:val="24"/>
          <w:szCs w:val="24"/>
          <w14:ligatures w14:val="none"/>
        </w:rPr>
        <w:t>.</w:t>
      </w:r>
    </w:p>
    <w:p w14:paraId="1301F453" w14:textId="77777777" w:rsidR="008A2A17" w:rsidRPr="004E6FF1" w:rsidRDefault="008A2A17" w:rsidP="008A2A17">
      <w:pPr>
        <w:spacing w:after="120" w:line="240" w:lineRule="auto"/>
        <w:rPr>
          <w:rFonts w:eastAsia="Times New Roman" w:cstheme="minorHAnsi"/>
          <w:i/>
          <w:iCs/>
          <w:color w:val="333333"/>
        </w:rPr>
      </w:pPr>
    </w:p>
    <w:tbl>
      <w:tblPr>
        <w:tblStyle w:val="Kontuurtabel"/>
        <w:tblW w:w="0" w:type="auto"/>
        <w:shd w:val="clear" w:color="auto" w:fill="D9E2F3" w:themeFill="accent1" w:themeFillTint="33"/>
        <w:tblLook w:val="04A0" w:firstRow="1" w:lastRow="0" w:firstColumn="1" w:lastColumn="0" w:noHBand="0" w:noVBand="1"/>
      </w:tblPr>
      <w:tblGrid>
        <w:gridCol w:w="9350"/>
      </w:tblGrid>
      <w:tr w:rsidR="008A2A17" w:rsidRPr="00205F42" w14:paraId="69CD458F" w14:textId="77777777" w:rsidTr="004E6FF1">
        <w:tc>
          <w:tcPr>
            <w:tcW w:w="9350" w:type="dxa"/>
            <w:shd w:val="clear" w:color="auto" w:fill="D9E2F3" w:themeFill="accent1" w:themeFillTint="33"/>
          </w:tcPr>
          <w:p w14:paraId="4D06C096" w14:textId="77777777" w:rsidR="008A2A17" w:rsidRPr="004E6FF1" w:rsidRDefault="008A2A17" w:rsidP="004E6FF1">
            <w:pPr>
              <w:spacing w:after="120"/>
              <w:rPr>
                <w:rFonts w:eastAsia="Times New Roman" w:cstheme="minorHAnsi"/>
                <w:i/>
                <w:iCs/>
                <w:color w:val="333333"/>
              </w:rPr>
            </w:pPr>
            <w:r w:rsidRPr="004E6FF1">
              <w:rPr>
                <w:rFonts w:eastAsia="Times New Roman" w:cstheme="minorHAnsi"/>
                <w:i/>
                <w:iCs/>
                <w:color w:val="333333"/>
              </w:rPr>
              <w:t xml:space="preserve">(4) </w:t>
            </w:r>
            <w:r w:rsidRPr="004E6FF1">
              <w:rPr>
                <w:rFonts w:eastAsia="Times New Roman" w:cstheme="minorHAnsi"/>
                <w:b/>
                <w:bCs/>
                <w:i/>
                <w:iCs/>
                <w:color w:val="333333"/>
              </w:rPr>
              <w:t>Paragraph 1 shall not apply</w:t>
            </w:r>
            <w:r w:rsidRPr="004E6FF1">
              <w:rPr>
                <w:rFonts w:eastAsia="Times New Roman" w:cstheme="minorHAnsi"/>
                <w:i/>
                <w:iCs/>
                <w:color w:val="333333"/>
              </w:rPr>
              <w:t xml:space="preserve"> to the placing on the market of:</w:t>
            </w:r>
          </w:p>
          <w:p w14:paraId="17170952" w14:textId="77777777" w:rsidR="008A2A17" w:rsidRPr="004E6FF1" w:rsidRDefault="008A2A17" w:rsidP="004E6FF1">
            <w:pPr>
              <w:spacing w:after="120"/>
              <w:rPr>
                <w:rFonts w:eastAsia="Times New Roman" w:cstheme="minorHAnsi"/>
                <w:i/>
                <w:iCs/>
                <w:color w:val="333333"/>
              </w:rPr>
            </w:pPr>
            <w:r>
              <w:rPr>
                <w:rFonts w:eastAsia="Times New Roman" w:cstheme="minorHAnsi"/>
                <w:i/>
                <w:iCs/>
                <w:color w:val="333333"/>
              </w:rPr>
              <w:t xml:space="preserve">(a) </w:t>
            </w:r>
            <w:r w:rsidRPr="004E6FF1">
              <w:rPr>
                <w:rFonts w:eastAsia="Times New Roman" w:cstheme="minorHAnsi"/>
                <w:i/>
                <w:iCs/>
                <w:color w:val="333333"/>
              </w:rPr>
              <w:t>synthetic polymer microparticles, as substances on their own or in mixtures, for use at industrial sites;</w:t>
            </w:r>
          </w:p>
        </w:tc>
      </w:tr>
    </w:tbl>
    <w:p w14:paraId="02F276B0" w14:textId="77777777" w:rsidR="008A2A17" w:rsidRDefault="008A2A17" w:rsidP="008A2A17">
      <w:pPr>
        <w:autoSpaceDE w:val="0"/>
        <w:autoSpaceDN w:val="0"/>
        <w:adjustRightInd w:val="0"/>
        <w:spacing w:after="0" w:line="240" w:lineRule="auto"/>
        <w:rPr>
          <w:rFonts w:ascii="EUAlbertina" w:hAnsi="EUAlbertina" w:cs="EUAlbertina"/>
          <w:color w:val="000000"/>
          <w:kern w:val="0"/>
          <w14:ligatures w14:val="none"/>
        </w:rPr>
      </w:pPr>
    </w:p>
    <w:p w14:paraId="2ABFFB75" w14:textId="77777777" w:rsidR="008A2A17" w:rsidRDefault="008A2A17" w:rsidP="008A2A17">
      <w:pPr>
        <w:autoSpaceDE w:val="0"/>
        <w:autoSpaceDN w:val="0"/>
        <w:adjustRightInd w:val="0"/>
        <w:spacing w:after="0" w:line="240" w:lineRule="auto"/>
        <w:rPr>
          <w:rFonts w:ascii="EUAlbertina" w:hAnsi="EUAlbertina" w:cs="EUAlbertina"/>
          <w:color w:val="000000"/>
          <w:kern w:val="0"/>
          <w:sz w:val="24"/>
          <w:szCs w:val="24"/>
          <w14:ligatures w14:val="none"/>
        </w:rPr>
      </w:pPr>
    </w:p>
    <w:tbl>
      <w:tblPr>
        <w:tblStyle w:val="Kontuurtabel"/>
        <w:tblW w:w="9265" w:type="dxa"/>
        <w:shd w:val="clear" w:color="auto" w:fill="D9E2F3" w:themeFill="accent1" w:themeFillTint="33"/>
        <w:tblLook w:val="04A0" w:firstRow="1" w:lastRow="0" w:firstColumn="1" w:lastColumn="0" w:noHBand="0" w:noVBand="1"/>
      </w:tblPr>
      <w:tblGrid>
        <w:gridCol w:w="9265"/>
      </w:tblGrid>
      <w:tr w:rsidR="008A2A17" w14:paraId="406F7FDA" w14:textId="77777777" w:rsidTr="004E6FF1">
        <w:trPr>
          <w:trHeight w:val="2954"/>
        </w:trPr>
        <w:tc>
          <w:tcPr>
            <w:tcW w:w="9265" w:type="dxa"/>
            <w:shd w:val="clear" w:color="auto" w:fill="D9E2F3" w:themeFill="accent1" w:themeFillTint="33"/>
          </w:tcPr>
          <w:p w14:paraId="221E6FDB" w14:textId="77777777" w:rsidR="008A2A17" w:rsidRPr="008F24C3" w:rsidRDefault="008A2A17" w:rsidP="004E6FF1">
            <w:pPr>
              <w:spacing w:after="120"/>
              <w:rPr>
                <w:rFonts w:eastAsia="Times New Roman" w:cstheme="minorHAnsi"/>
                <w:i/>
                <w:iCs/>
                <w:color w:val="333333"/>
              </w:rPr>
            </w:pPr>
            <w:r>
              <w:rPr>
                <w:rFonts w:eastAsia="Times New Roman" w:cstheme="minorHAnsi"/>
                <w:i/>
                <w:iCs/>
                <w:color w:val="333333"/>
              </w:rPr>
              <w:t xml:space="preserve">(5) </w:t>
            </w:r>
            <w:r w:rsidRPr="006E05FA">
              <w:rPr>
                <w:rFonts w:eastAsia="Times New Roman" w:cstheme="minorHAnsi"/>
                <w:b/>
                <w:bCs/>
                <w:i/>
                <w:iCs/>
                <w:color w:val="333333"/>
              </w:rPr>
              <w:t>Paragraph 1 shall not apply</w:t>
            </w:r>
            <w:r w:rsidRPr="008F24C3">
              <w:rPr>
                <w:rFonts w:eastAsia="Times New Roman" w:cstheme="minorHAnsi"/>
                <w:i/>
                <w:iCs/>
                <w:color w:val="333333"/>
              </w:rPr>
              <w:t xml:space="preserve"> to the placing on the market of the following synthetic polymer microparticles, as substances on their own or in mixtures:</w:t>
            </w:r>
          </w:p>
          <w:p w14:paraId="04B5DF75" w14:textId="77777777" w:rsidR="008A2A17" w:rsidRPr="008F24C3" w:rsidRDefault="008A2A17" w:rsidP="004E6FF1">
            <w:pPr>
              <w:spacing w:after="120"/>
              <w:rPr>
                <w:rFonts w:eastAsia="Times New Roman" w:cstheme="minorHAnsi"/>
                <w:i/>
                <w:iCs/>
                <w:color w:val="333333"/>
              </w:rPr>
            </w:pPr>
            <w:r w:rsidRPr="008F24C3">
              <w:rPr>
                <w:rFonts w:eastAsia="Times New Roman" w:cstheme="minorHAnsi"/>
                <w:i/>
                <w:iCs/>
                <w:color w:val="333333"/>
              </w:rPr>
              <w:t>(a)</w:t>
            </w:r>
            <w:r>
              <w:rPr>
                <w:rFonts w:eastAsia="Times New Roman" w:cstheme="minorHAnsi"/>
                <w:i/>
                <w:iCs/>
                <w:color w:val="333333"/>
              </w:rPr>
              <w:t xml:space="preserve"> </w:t>
            </w:r>
            <w:r w:rsidRPr="008F24C3">
              <w:rPr>
                <w:rFonts w:eastAsia="Times New Roman" w:cstheme="minorHAnsi"/>
                <w:i/>
                <w:iCs/>
                <w:color w:val="333333"/>
              </w:rPr>
              <w:t xml:space="preserve">synthetic polymer microparticles which are contained by technical means so that releases to the environment are prevented when used in accordance with the instructions for use during the intended end </w:t>
            </w:r>
            <w:proofErr w:type="gramStart"/>
            <w:r w:rsidRPr="008F24C3">
              <w:rPr>
                <w:rFonts w:eastAsia="Times New Roman" w:cstheme="minorHAnsi"/>
                <w:i/>
                <w:iCs/>
                <w:color w:val="333333"/>
              </w:rPr>
              <w:t>use;</w:t>
            </w:r>
            <w:proofErr w:type="gramEnd"/>
          </w:p>
          <w:p w14:paraId="504A3623" w14:textId="77777777" w:rsidR="008A2A17" w:rsidRPr="008F24C3" w:rsidRDefault="008A2A17" w:rsidP="004E6FF1">
            <w:pPr>
              <w:spacing w:after="120"/>
              <w:rPr>
                <w:rFonts w:eastAsia="Times New Roman" w:cstheme="minorHAnsi"/>
                <w:i/>
                <w:iCs/>
                <w:color w:val="333333"/>
              </w:rPr>
            </w:pPr>
            <w:r w:rsidRPr="008F24C3">
              <w:rPr>
                <w:rFonts w:eastAsia="Times New Roman" w:cstheme="minorHAnsi"/>
                <w:i/>
                <w:iCs/>
                <w:color w:val="333333"/>
              </w:rPr>
              <w:t>(b)</w:t>
            </w:r>
            <w:r>
              <w:rPr>
                <w:rFonts w:eastAsia="Times New Roman" w:cstheme="minorHAnsi"/>
                <w:i/>
                <w:iCs/>
                <w:color w:val="333333"/>
              </w:rPr>
              <w:t xml:space="preserve"> </w:t>
            </w:r>
            <w:r w:rsidRPr="006E05FA">
              <w:rPr>
                <w:rFonts w:eastAsia="Times New Roman" w:cstheme="minorHAnsi"/>
                <w:b/>
                <w:bCs/>
                <w:i/>
                <w:iCs/>
                <w:color w:val="333333"/>
              </w:rPr>
              <w:t xml:space="preserve">synthetic polymer microparticles the physical properties of which are permanently modified during intended end use in such a way that the polymer no longer falls within the scope of this </w:t>
            </w:r>
            <w:proofErr w:type="gramStart"/>
            <w:r w:rsidRPr="006E05FA">
              <w:rPr>
                <w:rFonts w:eastAsia="Times New Roman" w:cstheme="minorHAnsi"/>
                <w:b/>
                <w:bCs/>
                <w:i/>
                <w:iCs/>
                <w:color w:val="333333"/>
              </w:rPr>
              <w:t>entry;</w:t>
            </w:r>
            <w:proofErr w:type="gramEnd"/>
          </w:p>
          <w:p w14:paraId="4A0BC41E" w14:textId="77777777" w:rsidR="008A2A17" w:rsidRPr="008F24C3" w:rsidRDefault="008A2A17" w:rsidP="004E6FF1">
            <w:pPr>
              <w:spacing w:after="120"/>
              <w:rPr>
                <w:rFonts w:eastAsia="Times New Roman" w:cstheme="minorHAnsi"/>
                <w:i/>
                <w:iCs/>
                <w:color w:val="333333"/>
              </w:rPr>
            </w:pPr>
            <w:r w:rsidRPr="008F24C3">
              <w:rPr>
                <w:rFonts w:eastAsia="Times New Roman" w:cstheme="minorHAnsi"/>
                <w:i/>
                <w:iCs/>
                <w:color w:val="333333"/>
              </w:rPr>
              <w:t>(c)</w:t>
            </w:r>
            <w:r>
              <w:rPr>
                <w:rFonts w:eastAsia="Times New Roman" w:cstheme="minorHAnsi"/>
                <w:i/>
                <w:iCs/>
                <w:color w:val="333333"/>
              </w:rPr>
              <w:t xml:space="preserve"> </w:t>
            </w:r>
            <w:r w:rsidRPr="008F24C3">
              <w:rPr>
                <w:rFonts w:eastAsia="Times New Roman" w:cstheme="minorHAnsi"/>
                <w:i/>
                <w:iCs/>
                <w:color w:val="333333"/>
              </w:rPr>
              <w:t>synthetic polymer microparticles which are permanently incorporated into a solid matrix during intended end use.</w:t>
            </w:r>
          </w:p>
        </w:tc>
      </w:tr>
    </w:tbl>
    <w:p w14:paraId="63057113" w14:textId="77777777" w:rsidR="008A2A17" w:rsidRPr="00741CD6" w:rsidRDefault="008A2A17" w:rsidP="008A2A17">
      <w:pPr>
        <w:autoSpaceDE w:val="0"/>
        <w:autoSpaceDN w:val="0"/>
        <w:adjustRightInd w:val="0"/>
        <w:spacing w:after="0" w:line="240" w:lineRule="auto"/>
        <w:rPr>
          <w:rFonts w:ascii="EUAlbertina" w:hAnsi="EUAlbertina" w:cs="EUAlbertina"/>
          <w:color w:val="000000"/>
          <w:kern w:val="0"/>
          <w:sz w:val="24"/>
          <w:szCs w:val="24"/>
          <w14:ligatures w14:val="none"/>
        </w:rPr>
      </w:pPr>
    </w:p>
    <w:tbl>
      <w:tblPr>
        <w:tblW w:w="9360" w:type="dxa"/>
        <w:tblInd w:w="-60" w:type="dxa"/>
        <w:tblBorders>
          <w:top w:val="none" w:sz="6" w:space="0" w:color="auto"/>
          <w:left w:val="none" w:sz="6" w:space="0" w:color="auto"/>
          <w:bottom w:val="none" w:sz="6" w:space="0" w:color="auto"/>
          <w:right w:val="none" w:sz="6" w:space="0" w:color="auto"/>
        </w:tblBorders>
        <w:shd w:val="clear" w:color="auto" w:fill="D9E2F3" w:themeFill="accent1" w:themeFillTint="33"/>
        <w:tblLayout w:type="fixed"/>
        <w:tblLook w:val="0000" w:firstRow="0" w:lastRow="0" w:firstColumn="0" w:lastColumn="0" w:noHBand="0" w:noVBand="0"/>
      </w:tblPr>
      <w:tblGrid>
        <w:gridCol w:w="9360"/>
      </w:tblGrid>
      <w:tr w:rsidR="008A2A17" w:rsidRPr="00741CD6" w14:paraId="70BD1811" w14:textId="77777777" w:rsidTr="004E6FF1">
        <w:trPr>
          <w:trHeight w:val="435"/>
        </w:trPr>
        <w:tc>
          <w:tcPr>
            <w:tcW w:w="9360" w:type="dxa"/>
            <w:tcBorders>
              <w:top w:val="none" w:sz="6" w:space="0" w:color="auto"/>
              <w:bottom w:val="none" w:sz="6" w:space="0" w:color="auto"/>
            </w:tcBorders>
            <w:shd w:val="clear" w:color="auto" w:fill="D9E2F3" w:themeFill="accent1" w:themeFillTint="33"/>
          </w:tcPr>
          <w:p w14:paraId="62CFC06A" w14:textId="77777777" w:rsidR="008A2A17" w:rsidRPr="008F24C3" w:rsidRDefault="008A2A17" w:rsidP="004E6FF1">
            <w:pPr>
              <w:spacing w:after="120" w:line="240" w:lineRule="auto"/>
              <w:rPr>
                <w:rFonts w:eastAsia="Times New Roman" w:cstheme="minorHAnsi"/>
                <w:i/>
                <w:iCs/>
                <w:color w:val="333333"/>
              </w:rPr>
            </w:pPr>
            <w:r w:rsidRPr="008F24C3">
              <w:rPr>
                <w:rFonts w:eastAsia="Times New Roman" w:cstheme="minorHAnsi"/>
                <w:i/>
                <w:iCs/>
                <w:color w:val="333333"/>
              </w:rPr>
              <w:t>(7) From 17 October 2025</w:t>
            </w:r>
            <w:r>
              <w:rPr>
                <w:rFonts w:eastAsia="Times New Roman" w:cstheme="minorHAnsi"/>
                <w:i/>
                <w:iCs/>
                <w:color w:val="333333"/>
              </w:rPr>
              <w:t xml:space="preserve"> </w:t>
            </w:r>
            <w:r w:rsidRPr="008F24C3">
              <w:rPr>
                <w:rFonts w:eastAsia="Times New Roman" w:cstheme="minorHAnsi"/>
                <w:i/>
                <w:iCs/>
                <w:color w:val="333333"/>
              </w:rPr>
              <w:t>suppliers of synthetic polymer microparticles referred to in paragraph 4, point (a), shall provide the following information:</w:t>
            </w:r>
          </w:p>
          <w:p w14:paraId="57158C88" w14:textId="77777777" w:rsidR="008A2A17" w:rsidRPr="00741CD6" w:rsidRDefault="008A2A17" w:rsidP="004E6FF1">
            <w:pPr>
              <w:autoSpaceDE w:val="0"/>
              <w:autoSpaceDN w:val="0"/>
              <w:adjustRightInd w:val="0"/>
              <w:spacing w:after="0" w:line="240" w:lineRule="auto"/>
              <w:rPr>
                <w:rFonts w:eastAsia="Times New Roman" w:cstheme="minorHAnsi"/>
                <w:i/>
                <w:iCs/>
                <w:color w:val="333333"/>
              </w:rPr>
            </w:pPr>
            <w:r w:rsidRPr="008F24C3">
              <w:rPr>
                <w:rFonts w:eastAsia="Times New Roman" w:cstheme="minorHAnsi"/>
                <w:i/>
                <w:iCs/>
                <w:color w:val="333333"/>
              </w:rPr>
              <w:t xml:space="preserve">d) </w:t>
            </w:r>
            <w:r w:rsidRPr="006E05FA">
              <w:rPr>
                <w:rFonts w:eastAsia="Times New Roman" w:cstheme="minorHAnsi"/>
                <w:b/>
                <w:bCs/>
                <w:i/>
                <w:iCs/>
                <w:color w:val="333333"/>
              </w:rPr>
              <w:t>generic</w:t>
            </w:r>
            <w:r w:rsidRPr="00741CD6">
              <w:rPr>
                <w:rFonts w:eastAsia="Times New Roman" w:cstheme="minorHAnsi"/>
                <w:b/>
                <w:bCs/>
                <w:i/>
                <w:iCs/>
                <w:color w:val="333333"/>
              </w:rPr>
              <w:t xml:space="preserve"> information</w:t>
            </w:r>
            <w:r w:rsidRPr="00741CD6">
              <w:rPr>
                <w:rFonts w:eastAsia="Times New Roman" w:cstheme="minorHAnsi"/>
                <w:i/>
                <w:iCs/>
                <w:color w:val="333333"/>
              </w:rPr>
              <w:t xml:space="preserve"> on the </w:t>
            </w:r>
            <w:r w:rsidRPr="00741CD6">
              <w:rPr>
                <w:rFonts w:eastAsia="Times New Roman" w:cstheme="minorHAnsi"/>
                <w:b/>
                <w:bCs/>
                <w:i/>
                <w:iCs/>
                <w:color w:val="333333"/>
              </w:rPr>
              <w:t>identity of the polymers</w:t>
            </w:r>
            <w:r w:rsidRPr="00741CD6">
              <w:rPr>
                <w:rFonts w:eastAsia="Times New Roman" w:cstheme="minorHAnsi"/>
                <w:i/>
                <w:iCs/>
                <w:color w:val="333333"/>
              </w:rPr>
              <w:t xml:space="preserve"> contained in the substance or mixture that enables manufacturers, industrial downstream users and other suppliers to comply with their obligations laid down in paragraphs 11 and 12.</w:t>
            </w:r>
          </w:p>
        </w:tc>
      </w:tr>
    </w:tbl>
    <w:p w14:paraId="21513C23" w14:textId="77777777" w:rsidR="008A2A17" w:rsidRPr="00741CD6" w:rsidRDefault="008A2A17" w:rsidP="008A2A17">
      <w:pPr>
        <w:spacing w:after="120"/>
        <w:jc w:val="both"/>
        <w:textAlignment w:val="baseline"/>
        <w:rPr>
          <w:rStyle w:val="normaltextrun"/>
          <w:rFonts w:eastAsiaTheme="minorEastAsia"/>
          <w:i/>
          <w:iCs/>
          <w:sz w:val="24"/>
          <w:szCs w:val="24"/>
        </w:rPr>
      </w:pPr>
    </w:p>
    <w:tbl>
      <w:tblPr>
        <w:tblStyle w:val="Kontuurtabel"/>
        <w:tblW w:w="0" w:type="auto"/>
        <w:shd w:val="clear" w:color="auto" w:fill="D9E2F3" w:themeFill="accent1" w:themeFillTint="33"/>
        <w:tblLook w:val="04A0" w:firstRow="1" w:lastRow="0" w:firstColumn="1" w:lastColumn="0" w:noHBand="0" w:noVBand="1"/>
      </w:tblPr>
      <w:tblGrid>
        <w:gridCol w:w="9350"/>
      </w:tblGrid>
      <w:tr w:rsidR="008A2A17" w:rsidRPr="00F10A32" w14:paraId="04FFEE82" w14:textId="77777777" w:rsidTr="004E6FF1">
        <w:tc>
          <w:tcPr>
            <w:tcW w:w="9350" w:type="dxa"/>
            <w:shd w:val="clear" w:color="auto" w:fill="D9E2F3" w:themeFill="accent1" w:themeFillTint="33"/>
          </w:tcPr>
          <w:p w14:paraId="447CDD36" w14:textId="77777777" w:rsidR="008A2A17" w:rsidRPr="00F10A32" w:rsidRDefault="008A2A17" w:rsidP="004E6FF1">
            <w:pPr>
              <w:spacing w:after="120"/>
              <w:textAlignment w:val="baseline"/>
              <w:rPr>
                <w:rStyle w:val="normaltextrun"/>
                <w:rFonts w:eastAsiaTheme="minorEastAsia"/>
                <w:i/>
                <w:iCs/>
              </w:rPr>
            </w:pPr>
            <w:r w:rsidRPr="00F10A32">
              <w:rPr>
                <w:rStyle w:val="normaltextrun"/>
                <w:rFonts w:eastAsiaTheme="minorEastAsia"/>
                <w:i/>
                <w:iCs/>
              </w:rPr>
              <w:t xml:space="preserve">(11) Starting from 2026 </w:t>
            </w:r>
            <w:r w:rsidRPr="00F10A32">
              <w:rPr>
                <w:rStyle w:val="normaltextrun"/>
                <w:rFonts w:eastAsiaTheme="minorEastAsia"/>
                <w:b/>
                <w:bCs/>
                <w:i/>
                <w:iCs/>
              </w:rPr>
              <w:t>manufacturers and industrial downstream users</w:t>
            </w:r>
            <w:r w:rsidRPr="00F10A32">
              <w:rPr>
                <w:rStyle w:val="normaltextrun"/>
                <w:rFonts w:eastAsiaTheme="minorEastAsia"/>
                <w:i/>
                <w:iCs/>
              </w:rPr>
              <w:t xml:space="preserve"> of synthetic polymer microparticles in the form of pellets, flakes, and powders used as feedstock in plastic manufacturing at industrial sites, and, starting from 2027, other manufacturers of synthetic polymer microparticles and other industrial downstream users using synthetic polymer microparticles at industrial sites shall submit the following information to the Agency by 31 May of each year:</w:t>
            </w:r>
          </w:p>
          <w:p w14:paraId="053F39F0" w14:textId="77777777" w:rsidR="008A2A17" w:rsidRPr="00F10A32" w:rsidRDefault="008A2A17" w:rsidP="004E6FF1">
            <w:pPr>
              <w:spacing w:after="120"/>
              <w:textAlignment w:val="baseline"/>
              <w:rPr>
                <w:rStyle w:val="normaltextrun"/>
                <w:rFonts w:eastAsiaTheme="minorEastAsia"/>
                <w:i/>
                <w:iCs/>
              </w:rPr>
            </w:pPr>
            <w:r w:rsidRPr="00F10A32">
              <w:rPr>
                <w:rStyle w:val="normaltextrun"/>
                <w:rFonts w:eastAsiaTheme="minorEastAsia"/>
                <w:i/>
                <w:iCs/>
              </w:rPr>
              <w:t xml:space="preserve">(a) a description of the uses of synthetic polymer microparticles in the previous calendar </w:t>
            </w:r>
            <w:proofErr w:type="gramStart"/>
            <w:r w:rsidRPr="00F10A32">
              <w:rPr>
                <w:rStyle w:val="normaltextrun"/>
                <w:rFonts w:eastAsiaTheme="minorEastAsia"/>
                <w:i/>
                <w:iCs/>
              </w:rPr>
              <w:t>year;</w:t>
            </w:r>
            <w:proofErr w:type="gramEnd"/>
          </w:p>
          <w:p w14:paraId="659E4D14" w14:textId="77777777" w:rsidR="008A2A17" w:rsidRPr="00F10A32" w:rsidRDefault="008A2A17" w:rsidP="004E6FF1">
            <w:pPr>
              <w:spacing w:after="120"/>
              <w:textAlignment w:val="baseline"/>
              <w:rPr>
                <w:rStyle w:val="normaltextrun"/>
                <w:rFonts w:eastAsiaTheme="minorEastAsia"/>
                <w:i/>
                <w:iCs/>
              </w:rPr>
            </w:pPr>
            <w:r w:rsidRPr="00F10A32">
              <w:rPr>
                <w:rStyle w:val="normaltextrun"/>
                <w:rFonts w:eastAsiaTheme="minorEastAsia"/>
                <w:i/>
                <w:iCs/>
              </w:rPr>
              <w:t xml:space="preserve">(b) For each use of synthetic polymer microparticles, </w:t>
            </w:r>
            <w:r w:rsidRPr="00F10A32">
              <w:rPr>
                <w:rStyle w:val="normaltextrun"/>
                <w:rFonts w:eastAsiaTheme="minorEastAsia"/>
                <w:b/>
                <w:bCs/>
                <w:i/>
                <w:iCs/>
              </w:rPr>
              <w:t>generic information on the identity of the polymers used;</w:t>
            </w:r>
          </w:p>
        </w:tc>
      </w:tr>
    </w:tbl>
    <w:p w14:paraId="1D8D2AFA" w14:textId="77777777" w:rsidR="008A2A17" w:rsidRPr="00F10A32" w:rsidRDefault="008A2A17" w:rsidP="008A2A17">
      <w:pPr>
        <w:spacing w:after="120"/>
        <w:jc w:val="both"/>
        <w:textAlignment w:val="baseline"/>
        <w:rPr>
          <w:rStyle w:val="normaltextrun"/>
          <w:rFonts w:eastAsiaTheme="minorEastAsia"/>
        </w:rPr>
      </w:pPr>
    </w:p>
    <w:p w14:paraId="4BB68C97" w14:textId="08378067" w:rsidR="008A2A17" w:rsidRPr="00284BDE" w:rsidRDefault="00C869DD" w:rsidP="00284BDE">
      <w:pPr>
        <w:pStyle w:val="Pealkiri2"/>
        <w:jc w:val="both"/>
        <w:rPr>
          <w:rStyle w:val="normaltextrun"/>
          <w:rFonts w:eastAsiaTheme="minorEastAsia"/>
          <w:color w:val="4472C4" w:themeColor="accent1"/>
        </w:rPr>
      </w:pPr>
      <w:r>
        <w:rPr>
          <w:rStyle w:val="normaltextrun"/>
          <w:rFonts w:eastAsiaTheme="minorEastAsia"/>
          <w:color w:val="4472C4" w:themeColor="accent1"/>
        </w:rPr>
        <w:t xml:space="preserve">9.3 </w:t>
      </w:r>
      <w:r w:rsidR="008A2A17" w:rsidRPr="00284BDE">
        <w:rPr>
          <w:rStyle w:val="normaltextrun"/>
          <w:rFonts w:eastAsiaTheme="minorEastAsia"/>
          <w:color w:val="4472C4" w:themeColor="accent1"/>
        </w:rPr>
        <w:t xml:space="preserve">Referring to the text written under </w:t>
      </w:r>
      <w:r w:rsidR="008A2A17" w:rsidRPr="00284BDE">
        <w:t xml:space="preserve">Paragraphs 5(b), 7(d), 11(b) </w:t>
      </w:r>
      <w:r w:rsidR="008A2A17" w:rsidRPr="00284BDE">
        <w:rPr>
          <w:rStyle w:val="normaltextrun"/>
          <w:rFonts w:cstheme="minorHAnsi"/>
          <w:color w:val="4472C4" w:themeColor="accent1"/>
        </w:rPr>
        <w:t xml:space="preserve">How are we able to maintain confidentiality if companies have the obligation to disclose specific polymer names? </w:t>
      </w:r>
    </w:p>
    <w:p w14:paraId="6743F76B" w14:textId="77777777" w:rsidR="008A2A17" w:rsidRPr="00F10A32" w:rsidRDefault="008A2A17" w:rsidP="008A2A17">
      <w:pPr>
        <w:spacing w:after="0"/>
        <w:jc w:val="both"/>
        <w:textAlignment w:val="baseline"/>
        <w:rPr>
          <w:rStyle w:val="normaltextrun"/>
          <w:rFonts w:eastAsiaTheme="minorEastAsia"/>
        </w:rPr>
      </w:pPr>
      <w:proofErr w:type="spellStart"/>
      <w:r w:rsidRPr="00F10A32">
        <w:rPr>
          <w:rStyle w:val="normaltextrun"/>
          <w:rFonts w:eastAsiaTheme="minorEastAsia"/>
        </w:rPr>
        <w:t>Cefic</w:t>
      </w:r>
      <w:proofErr w:type="spellEnd"/>
      <w:r w:rsidRPr="00F10A32">
        <w:rPr>
          <w:rStyle w:val="normaltextrun"/>
          <w:rFonts w:eastAsiaTheme="minorEastAsia"/>
        </w:rPr>
        <w:t xml:space="preserve"> is not </w:t>
      </w:r>
      <w:proofErr w:type="gramStart"/>
      <w:r w:rsidRPr="00F10A32">
        <w:rPr>
          <w:rStyle w:val="normaltextrun"/>
          <w:rFonts w:eastAsiaTheme="minorEastAsia"/>
        </w:rPr>
        <w:t>in a position</w:t>
      </w:r>
      <w:proofErr w:type="gramEnd"/>
      <w:r w:rsidRPr="00F10A32">
        <w:rPr>
          <w:rStyle w:val="normaltextrun"/>
          <w:rFonts w:eastAsiaTheme="minorEastAsia"/>
        </w:rPr>
        <w:t xml:space="preserve"> to answer this question. The question should be addressed by the Commission and ECHA. However, based on previous experience, CBI issues are kept confidential by ECHA and not shared with other companies.</w:t>
      </w:r>
    </w:p>
    <w:p w14:paraId="3577C07A" w14:textId="77777777" w:rsidR="008A2A17" w:rsidRPr="00F10A32" w:rsidRDefault="008A2A17" w:rsidP="008A2A17">
      <w:pPr>
        <w:spacing w:after="0"/>
        <w:jc w:val="both"/>
        <w:textAlignment w:val="baseline"/>
        <w:rPr>
          <w:rStyle w:val="normaltextrun"/>
          <w:rFonts w:eastAsiaTheme="minorEastAsia"/>
          <w:color w:val="4472C4" w:themeColor="accent1"/>
        </w:rPr>
      </w:pPr>
    </w:p>
    <w:p w14:paraId="4E1FE4C8" w14:textId="28D9C6B8" w:rsidR="008A2A17" w:rsidRPr="00284BDE" w:rsidRDefault="00C869DD" w:rsidP="00284BDE">
      <w:pPr>
        <w:pStyle w:val="Pealkiri2"/>
        <w:jc w:val="both"/>
        <w:rPr>
          <w:rStyle w:val="normaltextrun"/>
          <w:rFonts w:cstheme="minorHAnsi"/>
          <w:color w:val="4472C4" w:themeColor="accent1"/>
        </w:rPr>
      </w:pPr>
      <w:r>
        <w:rPr>
          <w:rStyle w:val="normaltextrun"/>
          <w:rFonts w:eastAsiaTheme="minorEastAsia"/>
          <w:color w:val="4472C4" w:themeColor="accent1"/>
        </w:rPr>
        <w:t xml:space="preserve">9.4 </w:t>
      </w:r>
      <w:r w:rsidR="008A2A17" w:rsidRPr="00284BDE">
        <w:rPr>
          <w:rStyle w:val="normaltextrun"/>
          <w:rFonts w:eastAsiaTheme="minorEastAsia"/>
          <w:color w:val="4472C4" w:themeColor="accent1"/>
        </w:rPr>
        <w:t xml:space="preserve">Referring to the text written under </w:t>
      </w:r>
      <w:r w:rsidR="008A2A17" w:rsidRPr="00284BDE">
        <w:t>Paragraphs 5(b), 7(d), 11(b)</w:t>
      </w:r>
      <w:r w:rsidR="008F18A4" w:rsidRPr="00284BDE">
        <w:t>.</w:t>
      </w:r>
      <w:r w:rsidR="008A2A17" w:rsidRPr="00284BDE">
        <w:t xml:space="preserve"> </w:t>
      </w:r>
      <w:r w:rsidR="008A2A17" w:rsidRPr="00284BDE">
        <w:rPr>
          <w:rStyle w:val="normaltextrun"/>
          <w:rFonts w:cstheme="minorHAnsi"/>
          <w:color w:val="4472C4" w:themeColor="accent1"/>
        </w:rPr>
        <w:t>Can we use polymer abbreviations, such as PVC, PET, as generic polymer names?</w:t>
      </w:r>
    </w:p>
    <w:p w14:paraId="540CDE3D" w14:textId="77777777" w:rsidR="008A2A17" w:rsidRPr="00F10A32" w:rsidRDefault="008A2A17" w:rsidP="008A2A17">
      <w:pPr>
        <w:spacing w:after="0"/>
        <w:jc w:val="both"/>
        <w:rPr>
          <w:rStyle w:val="normaltextrun"/>
          <w:rFonts w:eastAsiaTheme="minorEastAsia"/>
        </w:rPr>
      </w:pPr>
      <w:proofErr w:type="spellStart"/>
      <w:r w:rsidRPr="00F10A32">
        <w:rPr>
          <w:rStyle w:val="normaltextrun"/>
          <w:rFonts w:eastAsiaTheme="minorEastAsia"/>
        </w:rPr>
        <w:t>Cefic</w:t>
      </w:r>
      <w:proofErr w:type="spellEnd"/>
      <w:r w:rsidRPr="00F10A32">
        <w:rPr>
          <w:rStyle w:val="normaltextrun"/>
          <w:rFonts w:eastAsiaTheme="minorEastAsia"/>
        </w:rPr>
        <w:t xml:space="preserve"> is not </w:t>
      </w:r>
      <w:proofErr w:type="gramStart"/>
      <w:r w:rsidRPr="00F10A32">
        <w:rPr>
          <w:rStyle w:val="normaltextrun"/>
          <w:rFonts w:eastAsiaTheme="minorEastAsia"/>
        </w:rPr>
        <w:t>in a position</w:t>
      </w:r>
      <w:proofErr w:type="gramEnd"/>
      <w:r w:rsidRPr="00F10A32">
        <w:rPr>
          <w:rStyle w:val="normaltextrun"/>
          <w:rFonts w:eastAsiaTheme="minorEastAsia"/>
        </w:rPr>
        <w:t xml:space="preserve"> to answer this question. The question should be addressed by the Commission and ECHA.</w:t>
      </w:r>
    </w:p>
    <w:p w14:paraId="0CB6A580" w14:textId="77777777" w:rsidR="008A2A17" w:rsidRPr="00F10A32" w:rsidRDefault="008A2A17" w:rsidP="008A2A17">
      <w:pPr>
        <w:spacing w:after="0"/>
        <w:jc w:val="both"/>
        <w:rPr>
          <w:rStyle w:val="normaltextrun"/>
          <w:rFonts w:cstheme="minorHAnsi"/>
          <w:b/>
          <w:bCs/>
          <w:color w:val="4472C4" w:themeColor="accent1"/>
        </w:rPr>
      </w:pPr>
    </w:p>
    <w:p w14:paraId="55F7E316" w14:textId="74FD617F" w:rsidR="008A2A17" w:rsidRPr="00284BDE" w:rsidRDefault="00C869DD" w:rsidP="00284BDE">
      <w:pPr>
        <w:pStyle w:val="Pealkiri2"/>
        <w:rPr>
          <w:rStyle w:val="normaltextrun"/>
        </w:rPr>
      </w:pPr>
      <w:r>
        <w:t xml:space="preserve">9.5 </w:t>
      </w:r>
      <w:r w:rsidR="008A2A17" w:rsidRPr="00284BDE">
        <w:t>Referring to the text written under</w:t>
      </w:r>
      <w:r w:rsidR="008A2A17" w:rsidRPr="00284BDE">
        <w:rPr>
          <w:rStyle w:val="normaltextrun"/>
        </w:rPr>
        <w:t xml:space="preserve"> </w:t>
      </w:r>
      <w:r w:rsidR="008A2A17" w:rsidRPr="00284BDE">
        <w:t xml:space="preserve">Paragraphs 5(b), 7(d), 11(b) – </w:t>
      </w:r>
      <w:r w:rsidR="008A2A17" w:rsidRPr="00284BDE">
        <w:rPr>
          <w:rStyle w:val="normaltextrun"/>
        </w:rPr>
        <w:t>Can we use tariff codes as generic polymer identifiers?</w:t>
      </w:r>
    </w:p>
    <w:p w14:paraId="01FD0615" w14:textId="77777777" w:rsidR="008A2A17" w:rsidRPr="00F10A32" w:rsidRDefault="008A2A17" w:rsidP="008A2A17">
      <w:pPr>
        <w:spacing w:after="0"/>
        <w:jc w:val="both"/>
        <w:rPr>
          <w:rStyle w:val="normaltextrun"/>
          <w:rFonts w:eastAsiaTheme="minorEastAsia"/>
        </w:rPr>
      </w:pPr>
      <w:proofErr w:type="spellStart"/>
      <w:r w:rsidRPr="00F10A32">
        <w:rPr>
          <w:rStyle w:val="normaltextrun"/>
          <w:rFonts w:eastAsiaTheme="minorEastAsia"/>
        </w:rPr>
        <w:t>Cefic</w:t>
      </w:r>
      <w:proofErr w:type="spellEnd"/>
      <w:r w:rsidRPr="00F10A32">
        <w:rPr>
          <w:rStyle w:val="normaltextrun"/>
          <w:rFonts w:eastAsiaTheme="minorEastAsia"/>
        </w:rPr>
        <w:t xml:space="preserve"> is not </w:t>
      </w:r>
      <w:proofErr w:type="gramStart"/>
      <w:r w:rsidRPr="00F10A32">
        <w:rPr>
          <w:rStyle w:val="normaltextrun"/>
          <w:rFonts w:eastAsiaTheme="minorEastAsia"/>
        </w:rPr>
        <w:t>in a position</w:t>
      </w:r>
      <w:proofErr w:type="gramEnd"/>
      <w:r w:rsidRPr="00F10A32">
        <w:rPr>
          <w:rStyle w:val="normaltextrun"/>
          <w:rFonts w:eastAsiaTheme="minorEastAsia"/>
        </w:rPr>
        <w:t xml:space="preserve"> to answer this question. The question should be addressed by the Commission and ECHA.</w:t>
      </w:r>
    </w:p>
    <w:p w14:paraId="62DF0322" w14:textId="77777777" w:rsidR="008A2A17" w:rsidRPr="00F10A32" w:rsidRDefault="008A2A17" w:rsidP="008A2A17">
      <w:pPr>
        <w:pStyle w:val="paragraph"/>
        <w:spacing w:before="0" w:beforeAutospacing="0" w:after="0" w:afterAutospacing="0" w:line="280" w:lineRule="exact"/>
        <w:jc w:val="both"/>
        <w:textAlignment w:val="baseline"/>
        <w:rPr>
          <w:rStyle w:val="normaltextrun"/>
          <w:rFonts w:asciiTheme="minorHAnsi" w:hAnsiTheme="minorHAnsi" w:cstheme="minorHAnsi"/>
          <w:color w:val="4472C4" w:themeColor="accent1"/>
          <w:sz w:val="22"/>
          <w:szCs w:val="22"/>
        </w:rPr>
      </w:pPr>
    </w:p>
    <w:p w14:paraId="3EDE4319" w14:textId="77777777" w:rsidR="009C6C67" w:rsidRDefault="00C869DD" w:rsidP="009C6C67">
      <w:pPr>
        <w:pStyle w:val="Pealkiri2"/>
        <w:rPr>
          <w:rStyle w:val="normaltextrun"/>
        </w:rPr>
      </w:pPr>
      <w:r>
        <w:t xml:space="preserve">9.6 </w:t>
      </w:r>
      <w:r w:rsidR="008A2A17" w:rsidRPr="00284BDE">
        <w:t>Referring to the text written under</w:t>
      </w:r>
      <w:r w:rsidR="008A2A17" w:rsidRPr="00284BDE">
        <w:rPr>
          <w:rStyle w:val="normaltextrun"/>
        </w:rPr>
        <w:t xml:space="preserve"> </w:t>
      </w:r>
      <w:r w:rsidR="008A2A17" w:rsidRPr="00284BDE">
        <w:t xml:space="preserve">Paragraph 7(a) </w:t>
      </w:r>
      <w:proofErr w:type="spellStart"/>
      <w:r w:rsidR="008A2A17" w:rsidRPr="00284BDE">
        <w:t>i</w:t>
      </w:r>
      <w:proofErr w:type="spellEnd"/>
      <w:r w:rsidR="008A2A17" w:rsidRPr="00284BDE">
        <w:t xml:space="preserve">) </w:t>
      </w:r>
      <w:r w:rsidR="008A2A17" w:rsidRPr="00284BDE">
        <w:rPr>
          <w:rStyle w:val="normaltextrun"/>
        </w:rPr>
        <w:t>What level of detail is expected that a supplier should provide to industrial downstream users on the instructions for use and disposal (IFUD) of synthetic polymer microparticles? Do instructions for use and disposal (IFUD) need to be specific or generic?</w:t>
      </w:r>
    </w:p>
    <w:p w14:paraId="55BFB148" w14:textId="78611136" w:rsidR="008A2A17" w:rsidRDefault="008A2A17" w:rsidP="009C6C67">
      <w:pPr>
        <w:pStyle w:val="Pealkiri2"/>
        <w:rPr>
          <w:rFonts w:asciiTheme="minorHAnsi" w:hAnsiTheme="minorHAnsi" w:cstheme="minorHAnsi"/>
          <w:color w:val="000000" w:themeColor="text1"/>
          <w:sz w:val="22"/>
          <w:szCs w:val="22"/>
        </w:rPr>
      </w:pPr>
      <w:r w:rsidRPr="00F10A32">
        <w:rPr>
          <w:rFonts w:asciiTheme="minorHAnsi" w:hAnsiTheme="minorHAnsi" w:cstheme="minorHAnsi"/>
          <w:color w:val="000000" w:themeColor="text1"/>
          <w:sz w:val="22"/>
          <w:szCs w:val="22"/>
        </w:rPr>
        <w:t>This information will be product specific and use dependent</w:t>
      </w:r>
      <w:r w:rsidR="008F18A4" w:rsidRPr="00F10A32">
        <w:rPr>
          <w:rFonts w:asciiTheme="minorHAnsi" w:hAnsiTheme="minorHAnsi" w:cstheme="minorHAnsi"/>
          <w:color w:val="000000" w:themeColor="text1"/>
          <w:sz w:val="22"/>
          <w:szCs w:val="22"/>
        </w:rPr>
        <w:t xml:space="preserve">. </w:t>
      </w:r>
      <w:r w:rsidRPr="00F10A32">
        <w:rPr>
          <w:rFonts w:asciiTheme="minorHAnsi" w:hAnsiTheme="minorHAnsi" w:cstheme="minorHAnsi"/>
          <w:color w:val="000000" w:themeColor="text1"/>
          <w:sz w:val="22"/>
          <w:szCs w:val="22"/>
        </w:rPr>
        <w:t xml:space="preserve">Recital 25 mentions that instructions should properly explain the use and disposal </w:t>
      </w:r>
      <w:proofErr w:type="gramStart"/>
      <w:r w:rsidRPr="00F10A32">
        <w:rPr>
          <w:rFonts w:asciiTheme="minorHAnsi" w:hAnsiTheme="minorHAnsi" w:cstheme="minorHAnsi"/>
          <w:color w:val="000000" w:themeColor="text1"/>
          <w:sz w:val="22"/>
          <w:szCs w:val="22"/>
        </w:rPr>
        <w:t>in order to</w:t>
      </w:r>
      <w:proofErr w:type="gramEnd"/>
      <w:r w:rsidRPr="00F10A32">
        <w:rPr>
          <w:rFonts w:asciiTheme="minorHAnsi" w:hAnsiTheme="minorHAnsi" w:cstheme="minorHAnsi"/>
          <w:color w:val="000000" w:themeColor="text1"/>
          <w:sz w:val="22"/>
          <w:szCs w:val="22"/>
        </w:rPr>
        <w:t xml:space="preserve"> minimize pollution in the environment from </w:t>
      </w:r>
      <w:r w:rsidR="008F18A4" w:rsidRPr="00F10A32">
        <w:rPr>
          <w:rFonts w:asciiTheme="minorHAnsi" w:hAnsiTheme="minorHAnsi" w:cstheme="minorHAnsi"/>
          <w:color w:val="000000" w:themeColor="text1"/>
          <w:sz w:val="22"/>
          <w:szCs w:val="22"/>
        </w:rPr>
        <w:t>SPM</w:t>
      </w:r>
      <w:r w:rsidRPr="00F10A32">
        <w:rPr>
          <w:rFonts w:asciiTheme="minorHAnsi" w:hAnsiTheme="minorHAnsi" w:cstheme="minorHAnsi"/>
          <w:color w:val="000000" w:themeColor="text1"/>
          <w:sz w:val="22"/>
          <w:szCs w:val="22"/>
        </w:rPr>
        <w:t xml:space="preserve">. It is an individual company decision/responsibility to assess how to communicate with their consumers &amp; end-users to fulfill the REACH </w:t>
      </w:r>
      <w:r w:rsidR="008F18A4" w:rsidRPr="00F10A32">
        <w:rPr>
          <w:rFonts w:asciiTheme="minorHAnsi" w:hAnsiTheme="minorHAnsi" w:cstheme="minorHAnsi"/>
          <w:color w:val="000000" w:themeColor="text1"/>
          <w:sz w:val="22"/>
          <w:szCs w:val="22"/>
        </w:rPr>
        <w:t>SPM</w:t>
      </w:r>
      <w:r w:rsidRPr="00F10A32">
        <w:rPr>
          <w:rFonts w:asciiTheme="minorHAnsi" w:hAnsiTheme="minorHAnsi" w:cstheme="minorHAnsi"/>
          <w:color w:val="000000" w:themeColor="text1"/>
          <w:sz w:val="22"/>
          <w:szCs w:val="22"/>
        </w:rPr>
        <w:t xml:space="preserve"> Restriction obligations. </w:t>
      </w:r>
    </w:p>
    <w:p w14:paraId="20DDCF29" w14:textId="77777777" w:rsidR="009C6C67" w:rsidRPr="009C6C67" w:rsidRDefault="009C6C67" w:rsidP="009C6C67"/>
    <w:tbl>
      <w:tblPr>
        <w:tblStyle w:val="Kontuurtabel"/>
        <w:tblW w:w="0" w:type="auto"/>
        <w:shd w:val="clear" w:color="auto" w:fill="D9E2F3" w:themeFill="accent1" w:themeFillTint="33"/>
        <w:tblLook w:val="04A0" w:firstRow="1" w:lastRow="0" w:firstColumn="1" w:lastColumn="0" w:noHBand="0" w:noVBand="1"/>
      </w:tblPr>
      <w:tblGrid>
        <w:gridCol w:w="9350"/>
      </w:tblGrid>
      <w:tr w:rsidR="009A29F8" w:rsidRPr="00F10A32" w14:paraId="07E99AA3" w14:textId="77777777" w:rsidTr="009A29F8">
        <w:tc>
          <w:tcPr>
            <w:tcW w:w="9350" w:type="dxa"/>
            <w:shd w:val="clear" w:color="auto" w:fill="D9E2F3" w:themeFill="accent1" w:themeFillTint="33"/>
          </w:tcPr>
          <w:p w14:paraId="360107ED" w14:textId="2F9EEF23" w:rsidR="008A2A17" w:rsidRPr="00F10A32" w:rsidRDefault="008A2A17" w:rsidP="004E6FF1">
            <w:pPr>
              <w:pStyle w:val="paragraph"/>
              <w:spacing w:after="0" w:line="280" w:lineRule="exact"/>
              <w:jc w:val="both"/>
              <w:textAlignment w:val="baseline"/>
              <w:rPr>
                <w:rFonts w:asciiTheme="minorHAnsi" w:hAnsiTheme="minorHAnsi" w:cstheme="minorHAnsi"/>
                <w:i/>
                <w:iCs/>
                <w:sz w:val="22"/>
                <w:szCs w:val="22"/>
              </w:rPr>
            </w:pPr>
            <w:r w:rsidRPr="00F10A32">
              <w:rPr>
                <w:rFonts w:asciiTheme="minorHAnsi" w:hAnsiTheme="minorHAnsi" w:cstheme="minorHAnsi"/>
                <w:i/>
                <w:iCs/>
                <w:sz w:val="22"/>
                <w:szCs w:val="22"/>
              </w:rPr>
              <w:t>(7) From 17 October 2025</w:t>
            </w:r>
            <w:r w:rsidR="008F18A4" w:rsidRPr="00F10A32">
              <w:rPr>
                <w:rFonts w:asciiTheme="minorHAnsi" w:hAnsiTheme="minorHAnsi" w:cstheme="minorHAnsi"/>
                <w:i/>
                <w:iCs/>
                <w:sz w:val="22"/>
                <w:szCs w:val="22"/>
              </w:rPr>
              <w:t xml:space="preserve"> </w:t>
            </w:r>
            <w:r w:rsidRPr="00F10A32">
              <w:rPr>
                <w:rFonts w:asciiTheme="minorHAnsi" w:hAnsiTheme="minorHAnsi" w:cstheme="minorHAnsi"/>
                <w:i/>
                <w:iCs/>
                <w:sz w:val="22"/>
                <w:szCs w:val="22"/>
              </w:rPr>
              <w:t>suppliers of synthetic polymer microparticles referred to in paragraph 4, point (a), shall provide the following information:</w:t>
            </w:r>
          </w:p>
          <w:p w14:paraId="6099D0BC" w14:textId="77777777" w:rsidR="008A2A17" w:rsidRPr="00F10A32" w:rsidRDefault="008A2A17" w:rsidP="004E6FF1">
            <w:pPr>
              <w:pStyle w:val="paragraph"/>
              <w:spacing w:after="0" w:line="280" w:lineRule="exact"/>
              <w:jc w:val="both"/>
              <w:textAlignment w:val="baseline"/>
              <w:rPr>
                <w:rFonts w:asciiTheme="minorHAnsi" w:hAnsiTheme="minorHAnsi" w:cstheme="minorHAnsi"/>
                <w:sz w:val="22"/>
                <w:szCs w:val="22"/>
              </w:rPr>
            </w:pPr>
            <w:r w:rsidRPr="00F10A32">
              <w:rPr>
                <w:rFonts w:asciiTheme="minorHAnsi" w:hAnsiTheme="minorHAnsi" w:cstheme="minorHAnsi"/>
                <w:i/>
                <w:iCs/>
                <w:sz w:val="22"/>
                <w:szCs w:val="22"/>
              </w:rPr>
              <w:t>(a) instructions for use and disposal explaining to industrial downstream users how to prevent releases of synthetic polymer microparticles to the environment;</w:t>
            </w:r>
          </w:p>
        </w:tc>
      </w:tr>
    </w:tbl>
    <w:p w14:paraId="27DE06A1" w14:textId="77777777" w:rsidR="008A2A17" w:rsidRPr="00F10A32" w:rsidRDefault="008A2A17" w:rsidP="008A2A17">
      <w:pPr>
        <w:pStyle w:val="paragraph"/>
        <w:spacing w:after="0" w:line="280" w:lineRule="exact"/>
        <w:jc w:val="both"/>
        <w:textAlignment w:val="baseline"/>
        <w:rPr>
          <w:rFonts w:asciiTheme="minorHAnsi" w:hAnsiTheme="minorHAnsi" w:cstheme="minorHAnsi"/>
          <w:sz w:val="22"/>
          <w:szCs w:val="22"/>
        </w:rPr>
      </w:pPr>
    </w:p>
    <w:tbl>
      <w:tblPr>
        <w:tblStyle w:val="Kontuurtabel"/>
        <w:tblW w:w="0" w:type="auto"/>
        <w:shd w:val="clear" w:color="auto" w:fill="D9E2F3" w:themeFill="accent1" w:themeFillTint="33"/>
        <w:tblLook w:val="04A0" w:firstRow="1" w:lastRow="0" w:firstColumn="1" w:lastColumn="0" w:noHBand="0" w:noVBand="1"/>
      </w:tblPr>
      <w:tblGrid>
        <w:gridCol w:w="9350"/>
      </w:tblGrid>
      <w:tr w:rsidR="009A29F8" w:rsidRPr="00F10A32" w14:paraId="23C44E74" w14:textId="77777777" w:rsidTr="009A29F8">
        <w:tc>
          <w:tcPr>
            <w:tcW w:w="9350" w:type="dxa"/>
            <w:shd w:val="clear" w:color="auto" w:fill="D9E2F3" w:themeFill="accent1" w:themeFillTint="33"/>
          </w:tcPr>
          <w:p w14:paraId="0BB116CC" w14:textId="77777777" w:rsidR="008A2A17" w:rsidRPr="00F10A32" w:rsidRDefault="008A2A17" w:rsidP="004E6FF1">
            <w:pPr>
              <w:pStyle w:val="paragraph"/>
              <w:spacing w:before="0" w:beforeAutospacing="0" w:after="0" w:afterAutospacing="0" w:line="280" w:lineRule="exact"/>
              <w:jc w:val="both"/>
              <w:textAlignment w:val="baseline"/>
              <w:rPr>
                <w:rFonts w:asciiTheme="minorHAnsi" w:hAnsiTheme="minorHAnsi" w:cstheme="minorHAnsi"/>
                <w:i/>
                <w:iCs/>
                <w:sz w:val="22"/>
                <w:szCs w:val="22"/>
              </w:rPr>
            </w:pPr>
            <w:r w:rsidRPr="00F10A32">
              <w:rPr>
                <w:rFonts w:asciiTheme="minorHAnsi" w:hAnsiTheme="minorHAnsi" w:cstheme="minorHAnsi"/>
                <w:i/>
                <w:iCs/>
                <w:sz w:val="22"/>
                <w:szCs w:val="22"/>
              </w:rPr>
              <w:t xml:space="preserve">(25) Where pollution in the environment from synthetic polymer microparticles can be minimized by the requirement to provide instructions for use and disposal, the Annex XV dossier proposed a derogation from the prohibition of placing on the market. Those instructions should explain how to properly use and dispose of products </w:t>
            </w:r>
            <w:proofErr w:type="gramStart"/>
            <w:r w:rsidRPr="00F10A32">
              <w:rPr>
                <w:rFonts w:asciiTheme="minorHAnsi" w:hAnsiTheme="minorHAnsi" w:cstheme="minorHAnsi"/>
                <w:i/>
                <w:iCs/>
                <w:sz w:val="22"/>
                <w:szCs w:val="22"/>
              </w:rPr>
              <w:t>in order to</w:t>
            </w:r>
            <w:proofErr w:type="gramEnd"/>
            <w:r w:rsidRPr="00F10A32">
              <w:rPr>
                <w:rFonts w:asciiTheme="minorHAnsi" w:hAnsiTheme="minorHAnsi" w:cstheme="minorHAnsi"/>
                <w:i/>
                <w:iCs/>
                <w:sz w:val="22"/>
                <w:szCs w:val="22"/>
              </w:rPr>
              <w:t xml:space="preserve"> minimize releases to the environment.</w:t>
            </w:r>
          </w:p>
        </w:tc>
      </w:tr>
    </w:tbl>
    <w:p w14:paraId="599AD2A9" w14:textId="77777777" w:rsidR="008A2A17" w:rsidRPr="00F10A32" w:rsidRDefault="008A2A17" w:rsidP="008A2A17">
      <w:pPr>
        <w:pStyle w:val="paragraph"/>
        <w:spacing w:before="0" w:beforeAutospacing="0" w:after="0" w:afterAutospacing="0" w:line="280" w:lineRule="exact"/>
        <w:textAlignment w:val="baseline"/>
        <w:rPr>
          <w:rFonts w:asciiTheme="minorHAnsi" w:hAnsiTheme="minorHAnsi" w:cstheme="minorBidi"/>
          <w:color w:val="4472C4" w:themeColor="accent1"/>
          <w:sz w:val="22"/>
          <w:szCs w:val="22"/>
        </w:rPr>
      </w:pPr>
    </w:p>
    <w:p w14:paraId="2390944F" w14:textId="28CA027E" w:rsidR="008A2A17" w:rsidRPr="00284BDE" w:rsidRDefault="008A2A17" w:rsidP="00284BDE">
      <w:pPr>
        <w:pStyle w:val="Pealkiri2"/>
        <w:jc w:val="both"/>
        <w:rPr>
          <w:rStyle w:val="normaltextrun"/>
        </w:rPr>
      </w:pPr>
      <w:r w:rsidRPr="00284BDE">
        <w:t>Referring to the text written under</w:t>
      </w:r>
      <w:r w:rsidRPr="00284BDE">
        <w:rPr>
          <w:rStyle w:val="normaltextrun"/>
        </w:rPr>
        <w:t xml:space="preserve"> </w:t>
      </w:r>
      <w:r w:rsidRPr="00284BDE">
        <w:t xml:space="preserve">Paragraph 7(a) iii) – </w:t>
      </w:r>
      <w:r w:rsidRPr="00284BDE">
        <w:rPr>
          <w:rStyle w:val="normaltextrun"/>
        </w:rPr>
        <w:t>In a mixture with two or more types of synthetic polymer microparticles, do suppliers need to indicate the overall quantity/concentration of synthetic polymer microparticles in the mixture rather than quantity/concentration of each type of polymer?</w:t>
      </w:r>
    </w:p>
    <w:p w14:paraId="7A8815B8" w14:textId="4A0C9D1F" w:rsidR="008A2A17" w:rsidRPr="00F10A32" w:rsidRDefault="008A2A17" w:rsidP="00C235BD">
      <w:pPr>
        <w:pStyle w:val="paragraph"/>
        <w:spacing w:before="0" w:beforeAutospacing="0" w:after="0" w:afterAutospacing="0" w:line="280" w:lineRule="exact"/>
        <w:jc w:val="both"/>
        <w:textAlignment w:val="baseline"/>
        <w:rPr>
          <w:rStyle w:val="normaltextrun"/>
          <w:rFonts w:asciiTheme="minorHAnsi" w:eastAsiaTheme="majorEastAsia" w:hAnsiTheme="minorHAnsi" w:cstheme="minorBidi"/>
          <w:color w:val="2F5496" w:themeColor="accent1" w:themeShade="BF"/>
          <w:kern w:val="2"/>
          <w:sz w:val="22"/>
          <w:szCs w:val="22"/>
        </w:rPr>
      </w:pPr>
      <w:r w:rsidRPr="00F10A32">
        <w:rPr>
          <w:rStyle w:val="normaltextrun"/>
          <w:rFonts w:asciiTheme="minorHAnsi" w:hAnsiTheme="minorHAnsi" w:cstheme="minorBidi"/>
          <w:sz w:val="22"/>
          <w:szCs w:val="22"/>
        </w:rPr>
        <w:t xml:space="preserve">Paragraph 7c) does not contain provisions to report “per polymer” thus the overall quantity/concentration of </w:t>
      </w:r>
      <w:r w:rsidR="00C03C29">
        <w:rPr>
          <w:rStyle w:val="normaltextrun"/>
          <w:rFonts w:asciiTheme="minorHAnsi" w:hAnsiTheme="minorHAnsi" w:cstheme="minorBidi"/>
          <w:sz w:val="22"/>
          <w:szCs w:val="22"/>
        </w:rPr>
        <w:t>SPM</w:t>
      </w:r>
      <w:r w:rsidRPr="00F10A32">
        <w:rPr>
          <w:rStyle w:val="normaltextrun"/>
          <w:rFonts w:asciiTheme="minorHAnsi" w:hAnsiTheme="minorHAnsi" w:cstheme="minorBidi"/>
          <w:sz w:val="22"/>
          <w:szCs w:val="22"/>
        </w:rPr>
        <w:t xml:space="preserve"> </w:t>
      </w:r>
      <w:r w:rsidR="00B94E33">
        <w:rPr>
          <w:rStyle w:val="normaltextrun"/>
          <w:rFonts w:asciiTheme="minorHAnsi" w:hAnsiTheme="minorHAnsi" w:cstheme="minorBidi"/>
          <w:sz w:val="22"/>
          <w:szCs w:val="22"/>
        </w:rPr>
        <w:t>should be</w:t>
      </w:r>
      <w:r w:rsidR="00B94E33" w:rsidRPr="00F10A32">
        <w:rPr>
          <w:rStyle w:val="normaltextrun"/>
          <w:rFonts w:asciiTheme="minorHAnsi" w:hAnsiTheme="minorHAnsi" w:cstheme="minorBidi"/>
          <w:sz w:val="22"/>
          <w:szCs w:val="22"/>
        </w:rPr>
        <w:t xml:space="preserve"> </w:t>
      </w:r>
      <w:r w:rsidRPr="00F10A32">
        <w:rPr>
          <w:rStyle w:val="normaltextrun"/>
          <w:rFonts w:asciiTheme="minorHAnsi" w:hAnsiTheme="minorHAnsi" w:cstheme="minorBidi"/>
          <w:sz w:val="22"/>
          <w:szCs w:val="22"/>
        </w:rPr>
        <w:t>sufficient.</w:t>
      </w:r>
      <w:r w:rsidRPr="00F10A32">
        <w:rPr>
          <w:sz w:val="22"/>
          <w:szCs w:val="22"/>
        </w:rPr>
        <w:br/>
      </w:r>
    </w:p>
    <w:tbl>
      <w:tblPr>
        <w:tblStyle w:val="Kontuurtabel"/>
        <w:tblW w:w="0" w:type="auto"/>
        <w:shd w:val="clear" w:color="auto" w:fill="B4C6E7" w:themeFill="accent1" w:themeFillTint="66"/>
        <w:tblLook w:val="04A0" w:firstRow="1" w:lastRow="0" w:firstColumn="1" w:lastColumn="0" w:noHBand="0" w:noVBand="1"/>
      </w:tblPr>
      <w:tblGrid>
        <w:gridCol w:w="9350"/>
      </w:tblGrid>
      <w:tr w:rsidR="008A2A17" w:rsidRPr="00F10A32" w14:paraId="450D2AD4" w14:textId="77777777" w:rsidTr="00F508FD">
        <w:tc>
          <w:tcPr>
            <w:tcW w:w="9350" w:type="dxa"/>
            <w:shd w:val="clear" w:color="auto" w:fill="B4C6E7" w:themeFill="accent1" w:themeFillTint="66"/>
          </w:tcPr>
          <w:p w14:paraId="56BAF950" w14:textId="6594E730" w:rsidR="008A2A17" w:rsidRPr="00F10A32" w:rsidRDefault="00044666" w:rsidP="00F508FD">
            <w:pPr>
              <w:pStyle w:val="paragraph"/>
              <w:spacing w:after="0" w:line="280" w:lineRule="exact"/>
              <w:jc w:val="both"/>
              <w:textAlignment w:val="baseline"/>
              <w:rPr>
                <w:rStyle w:val="normaltextrun"/>
                <w:rFonts w:asciiTheme="minorHAnsi" w:hAnsiTheme="minorHAnsi" w:cstheme="minorBidi"/>
                <w:i/>
                <w:iCs/>
                <w:sz w:val="22"/>
                <w:szCs w:val="22"/>
              </w:rPr>
            </w:pPr>
            <w:r w:rsidRPr="00F10A32">
              <w:rPr>
                <w:rStyle w:val="normaltextrun"/>
                <w:rFonts w:asciiTheme="minorHAnsi" w:hAnsiTheme="minorHAnsi" w:cstheme="minorBidi"/>
                <w:i/>
                <w:iCs/>
                <w:sz w:val="22"/>
                <w:szCs w:val="22"/>
              </w:rPr>
              <w:t>(</w:t>
            </w:r>
            <w:r w:rsidR="008A2A17" w:rsidRPr="00F10A32">
              <w:rPr>
                <w:rStyle w:val="normaltextrun"/>
                <w:rFonts w:asciiTheme="minorHAnsi" w:hAnsiTheme="minorHAnsi" w:cstheme="minorBidi"/>
                <w:i/>
                <w:iCs/>
                <w:sz w:val="22"/>
                <w:szCs w:val="22"/>
              </w:rPr>
              <w:t>7</w:t>
            </w:r>
            <w:proofErr w:type="gramStart"/>
            <w:r w:rsidRPr="00F10A32">
              <w:rPr>
                <w:rStyle w:val="normaltextrun"/>
                <w:rFonts w:asciiTheme="minorHAnsi" w:hAnsiTheme="minorHAnsi" w:cstheme="minorBidi"/>
                <w:i/>
                <w:iCs/>
                <w:sz w:val="22"/>
                <w:szCs w:val="22"/>
              </w:rPr>
              <w:t>)</w:t>
            </w:r>
            <w:r w:rsidR="008A2A17" w:rsidRPr="00F10A32">
              <w:rPr>
                <w:rStyle w:val="normaltextrun"/>
                <w:rFonts w:asciiTheme="minorHAnsi" w:hAnsiTheme="minorHAnsi" w:cstheme="minorBidi"/>
                <w:i/>
                <w:iCs/>
                <w:sz w:val="22"/>
                <w:szCs w:val="22"/>
              </w:rPr>
              <w:t>.From</w:t>
            </w:r>
            <w:proofErr w:type="gramEnd"/>
            <w:r w:rsidR="008A2A17" w:rsidRPr="00F10A32">
              <w:rPr>
                <w:rStyle w:val="normaltextrun"/>
                <w:rFonts w:asciiTheme="minorHAnsi" w:hAnsiTheme="minorHAnsi" w:cstheme="minorBidi"/>
                <w:i/>
                <w:iCs/>
                <w:sz w:val="22"/>
                <w:szCs w:val="22"/>
              </w:rPr>
              <w:t xml:space="preserve"> 17 October 2025 suppliers of synthetic polymer microparticles referred to in paragraph 4, point (a), shall provide the following information:</w:t>
            </w:r>
          </w:p>
          <w:p w14:paraId="5DFB46BB" w14:textId="77777777" w:rsidR="008A2A17" w:rsidRPr="00F10A32" w:rsidRDefault="008A2A17" w:rsidP="00F508FD">
            <w:pPr>
              <w:pStyle w:val="paragraph"/>
              <w:spacing w:after="0" w:line="280" w:lineRule="exact"/>
              <w:jc w:val="both"/>
              <w:textAlignment w:val="baseline"/>
              <w:rPr>
                <w:rStyle w:val="normaltextrun"/>
                <w:rFonts w:asciiTheme="minorHAnsi" w:hAnsiTheme="minorHAnsi" w:cstheme="minorBidi"/>
                <w:i/>
                <w:iCs/>
                <w:sz w:val="22"/>
                <w:szCs w:val="22"/>
              </w:rPr>
            </w:pPr>
            <w:r w:rsidRPr="00F10A32">
              <w:rPr>
                <w:rStyle w:val="normaltextrun"/>
                <w:rFonts w:asciiTheme="minorHAnsi" w:hAnsiTheme="minorHAnsi" w:cstheme="minorBidi"/>
                <w:i/>
                <w:iCs/>
                <w:sz w:val="22"/>
                <w:szCs w:val="22"/>
              </w:rPr>
              <w:t xml:space="preserve">(a)instructions for use and disposal explaining to industrial downstream users how to prevent releases of synthetic polymer microparticles to the </w:t>
            </w:r>
            <w:proofErr w:type="gramStart"/>
            <w:r w:rsidRPr="00F10A32">
              <w:rPr>
                <w:rStyle w:val="normaltextrun"/>
                <w:rFonts w:asciiTheme="minorHAnsi" w:hAnsiTheme="minorHAnsi" w:cstheme="minorBidi"/>
                <w:i/>
                <w:iCs/>
                <w:sz w:val="22"/>
                <w:szCs w:val="22"/>
              </w:rPr>
              <w:t>environment;</w:t>
            </w:r>
            <w:proofErr w:type="gramEnd"/>
          </w:p>
          <w:p w14:paraId="0BD55784" w14:textId="77777777" w:rsidR="008A2A17" w:rsidRPr="00F10A32" w:rsidRDefault="008A2A17" w:rsidP="00F508FD">
            <w:pPr>
              <w:pStyle w:val="paragraph"/>
              <w:spacing w:after="0" w:line="280" w:lineRule="exact"/>
              <w:jc w:val="both"/>
              <w:textAlignment w:val="baseline"/>
              <w:rPr>
                <w:rStyle w:val="normaltextrun"/>
                <w:rFonts w:asciiTheme="minorHAnsi" w:hAnsiTheme="minorHAnsi" w:cstheme="minorBidi"/>
                <w:i/>
                <w:iCs/>
                <w:sz w:val="22"/>
                <w:szCs w:val="22"/>
              </w:rPr>
            </w:pPr>
            <w:r w:rsidRPr="00F10A32">
              <w:rPr>
                <w:rStyle w:val="normaltextrun"/>
                <w:rFonts w:asciiTheme="minorHAnsi" w:hAnsiTheme="minorHAnsi" w:cstheme="minorBidi"/>
                <w:i/>
                <w:iCs/>
                <w:sz w:val="22"/>
                <w:szCs w:val="22"/>
              </w:rPr>
              <w:t>(b)the following statement: “The synthetic polymer microparticles supplied is subject to conditions laid down by entry 78 of Annex XVII to Regulation (EC) No 1907/2006 of the European Parliament and of the Council</w:t>
            </w:r>
            <w:proofErr w:type="gramStart"/>
            <w:r w:rsidRPr="00F10A32">
              <w:rPr>
                <w:rStyle w:val="normaltextrun"/>
                <w:rFonts w:asciiTheme="minorHAnsi" w:hAnsiTheme="minorHAnsi" w:cstheme="minorBidi"/>
                <w:i/>
                <w:iCs/>
                <w:sz w:val="22"/>
                <w:szCs w:val="22"/>
              </w:rPr>
              <w:t>”;</w:t>
            </w:r>
            <w:proofErr w:type="gramEnd"/>
          </w:p>
          <w:p w14:paraId="128B25CB" w14:textId="77777777" w:rsidR="008A2A17" w:rsidRPr="00F10A32" w:rsidRDefault="008A2A17" w:rsidP="00F508FD">
            <w:pPr>
              <w:pStyle w:val="paragraph"/>
              <w:spacing w:after="0" w:line="280" w:lineRule="exact"/>
              <w:jc w:val="both"/>
              <w:textAlignment w:val="baseline"/>
              <w:rPr>
                <w:rStyle w:val="normaltextrun"/>
                <w:rFonts w:asciiTheme="minorHAnsi" w:hAnsiTheme="minorHAnsi" w:cstheme="minorBidi"/>
                <w:i/>
                <w:iCs/>
                <w:sz w:val="22"/>
                <w:szCs w:val="22"/>
              </w:rPr>
            </w:pPr>
            <w:r w:rsidRPr="00F10A32">
              <w:rPr>
                <w:rStyle w:val="normaltextrun"/>
                <w:rFonts w:asciiTheme="minorHAnsi" w:hAnsiTheme="minorHAnsi" w:cstheme="minorBidi"/>
                <w:i/>
                <w:iCs/>
                <w:sz w:val="22"/>
                <w:szCs w:val="22"/>
              </w:rPr>
              <w:t xml:space="preserve">(c)the information on quantity or, as applicable, </w:t>
            </w:r>
            <w:r w:rsidRPr="00F10A32">
              <w:rPr>
                <w:rStyle w:val="normaltextrun"/>
                <w:rFonts w:asciiTheme="minorHAnsi" w:hAnsiTheme="minorHAnsi" w:cstheme="minorBidi"/>
                <w:b/>
                <w:bCs/>
                <w:i/>
                <w:iCs/>
                <w:sz w:val="22"/>
                <w:szCs w:val="22"/>
              </w:rPr>
              <w:t>concentration of synthetic polymer microparticles</w:t>
            </w:r>
            <w:r w:rsidRPr="00F10A32">
              <w:rPr>
                <w:rStyle w:val="normaltextrun"/>
                <w:rFonts w:asciiTheme="minorHAnsi" w:hAnsiTheme="minorHAnsi" w:cstheme="minorBidi"/>
                <w:i/>
                <w:iCs/>
                <w:sz w:val="22"/>
                <w:szCs w:val="22"/>
              </w:rPr>
              <w:t xml:space="preserve"> in the substance or </w:t>
            </w:r>
            <w:proofErr w:type="gramStart"/>
            <w:r w:rsidRPr="00F10A32">
              <w:rPr>
                <w:rStyle w:val="normaltextrun"/>
                <w:rFonts w:asciiTheme="minorHAnsi" w:hAnsiTheme="minorHAnsi" w:cstheme="minorBidi"/>
                <w:i/>
                <w:iCs/>
                <w:sz w:val="22"/>
                <w:szCs w:val="22"/>
              </w:rPr>
              <w:t>mixture;</w:t>
            </w:r>
            <w:proofErr w:type="gramEnd"/>
          </w:p>
          <w:p w14:paraId="7F35911E" w14:textId="77777777" w:rsidR="008A2A17" w:rsidRPr="00F10A32" w:rsidRDefault="008A2A17" w:rsidP="00F508FD">
            <w:pPr>
              <w:pStyle w:val="paragraph"/>
              <w:spacing w:after="0" w:line="280" w:lineRule="exact"/>
              <w:jc w:val="both"/>
              <w:textAlignment w:val="baseline"/>
              <w:rPr>
                <w:rStyle w:val="normaltextrun"/>
                <w:rFonts w:asciiTheme="minorHAnsi" w:hAnsiTheme="minorHAnsi" w:cstheme="minorBidi"/>
                <w:sz w:val="22"/>
                <w:szCs w:val="22"/>
              </w:rPr>
            </w:pPr>
            <w:r w:rsidRPr="00F10A32">
              <w:rPr>
                <w:rStyle w:val="normaltextrun"/>
                <w:rFonts w:asciiTheme="minorHAnsi" w:hAnsiTheme="minorHAnsi" w:cstheme="minorBidi"/>
                <w:i/>
                <w:iCs/>
                <w:sz w:val="22"/>
                <w:szCs w:val="22"/>
              </w:rPr>
              <w:t xml:space="preserve">(d) </w:t>
            </w:r>
            <w:r w:rsidRPr="00F10A32">
              <w:rPr>
                <w:rStyle w:val="normaltextrun"/>
                <w:rFonts w:asciiTheme="minorHAnsi" w:hAnsiTheme="minorHAnsi" w:cstheme="minorBidi"/>
                <w:b/>
                <w:bCs/>
                <w:i/>
                <w:iCs/>
                <w:sz w:val="22"/>
                <w:szCs w:val="22"/>
              </w:rPr>
              <w:t>generic information on the identity of the polymers contained</w:t>
            </w:r>
            <w:r w:rsidRPr="00F10A32">
              <w:rPr>
                <w:rStyle w:val="normaltextrun"/>
                <w:rFonts w:asciiTheme="minorHAnsi" w:hAnsiTheme="minorHAnsi" w:cstheme="minorBidi"/>
                <w:i/>
                <w:iCs/>
                <w:sz w:val="22"/>
                <w:szCs w:val="22"/>
              </w:rPr>
              <w:t xml:space="preserve"> in the substance or mixture that enables manufacturers, industrial downstream users and other suppliers to comply with their obligations laid down in paragraphs 11 and 12.</w:t>
            </w:r>
          </w:p>
        </w:tc>
      </w:tr>
    </w:tbl>
    <w:p w14:paraId="5D7A16E3" w14:textId="77777777" w:rsidR="008A2A17" w:rsidRPr="00F10A32" w:rsidRDefault="008A2A17" w:rsidP="008A2A17">
      <w:pPr>
        <w:spacing w:after="0"/>
        <w:jc w:val="both"/>
        <w:rPr>
          <w:rFonts w:cstheme="minorHAnsi"/>
          <w:color w:val="4472C4" w:themeColor="accent1"/>
        </w:rPr>
      </w:pPr>
    </w:p>
    <w:p w14:paraId="2FCCE872" w14:textId="48A391BC" w:rsidR="008A2A17" w:rsidRPr="00284BDE" w:rsidRDefault="00C869DD" w:rsidP="00284BDE">
      <w:pPr>
        <w:pStyle w:val="Pealkiri2"/>
        <w:jc w:val="both"/>
        <w:rPr>
          <w:rStyle w:val="normaltextrun"/>
          <w:rFonts w:cstheme="minorHAnsi"/>
          <w:color w:val="4472C4" w:themeColor="accent1"/>
        </w:rPr>
      </w:pPr>
      <w:r>
        <w:rPr>
          <w:rStyle w:val="normaltextrun"/>
          <w:rFonts w:eastAsiaTheme="minorEastAsia"/>
          <w:color w:val="4472C4" w:themeColor="accent1"/>
        </w:rPr>
        <w:t xml:space="preserve">9.7 </w:t>
      </w:r>
      <w:r w:rsidR="008A2A17" w:rsidRPr="00284BDE">
        <w:rPr>
          <w:rStyle w:val="normaltextrun"/>
          <w:rFonts w:eastAsiaTheme="minorEastAsia"/>
          <w:color w:val="4472C4" w:themeColor="accent1"/>
        </w:rPr>
        <w:t xml:space="preserve">Referring to the text written under </w:t>
      </w:r>
      <w:r w:rsidR="008A2A17" w:rsidRPr="00284BDE">
        <w:t xml:space="preserve">Paragraph 7(a) iii) – </w:t>
      </w:r>
      <w:r w:rsidR="008A2A17" w:rsidRPr="00284BDE">
        <w:rPr>
          <w:rStyle w:val="normaltextrun"/>
          <w:rFonts w:cstheme="minorHAnsi"/>
          <w:color w:val="4472C4" w:themeColor="accent1"/>
        </w:rPr>
        <w:t>Can suppliers use any range to describe the concentration of synthetic polymer microparticles in the substance or mixture?</w:t>
      </w:r>
    </w:p>
    <w:p w14:paraId="23DF39F9" w14:textId="77777777" w:rsidR="008A2A17" w:rsidRPr="00F10A32" w:rsidRDefault="008A2A17" w:rsidP="008A2A17">
      <w:pPr>
        <w:spacing w:after="0"/>
        <w:jc w:val="both"/>
        <w:rPr>
          <w:rStyle w:val="normaltextrun"/>
          <w:rFonts w:eastAsiaTheme="minorEastAsia"/>
        </w:rPr>
      </w:pPr>
      <w:proofErr w:type="spellStart"/>
      <w:r w:rsidRPr="00F10A32">
        <w:rPr>
          <w:rStyle w:val="normaltextrun"/>
          <w:rFonts w:eastAsiaTheme="minorEastAsia"/>
        </w:rPr>
        <w:t>Cefic</w:t>
      </w:r>
      <w:proofErr w:type="spellEnd"/>
      <w:r w:rsidRPr="00F10A32">
        <w:rPr>
          <w:rStyle w:val="normaltextrun"/>
          <w:rFonts w:eastAsiaTheme="minorEastAsia"/>
        </w:rPr>
        <w:t xml:space="preserve"> is not </w:t>
      </w:r>
      <w:proofErr w:type="gramStart"/>
      <w:r w:rsidRPr="00F10A32">
        <w:rPr>
          <w:rStyle w:val="normaltextrun"/>
          <w:rFonts w:eastAsiaTheme="minorEastAsia"/>
        </w:rPr>
        <w:t>in a position</w:t>
      </w:r>
      <w:proofErr w:type="gramEnd"/>
      <w:r w:rsidRPr="00F10A32">
        <w:rPr>
          <w:rStyle w:val="normaltextrun"/>
          <w:rFonts w:eastAsiaTheme="minorEastAsia"/>
        </w:rPr>
        <w:t xml:space="preserve"> to answer this question. The question should be addressed by the Commission and ECHA.</w:t>
      </w:r>
    </w:p>
    <w:p w14:paraId="6B87880E" w14:textId="77777777" w:rsidR="008A2A17" w:rsidRPr="00F10A32" w:rsidRDefault="008A2A17" w:rsidP="008A2A17">
      <w:pPr>
        <w:spacing w:after="0"/>
        <w:jc w:val="both"/>
        <w:rPr>
          <w:rFonts w:cstheme="minorHAnsi"/>
          <w:b/>
          <w:bCs/>
          <w:color w:val="4472C4" w:themeColor="accent1"/>
        </w:rPr>
      </w:pPr>
    </w:p>
    <w:p w14:paraId="497B84E2" w14:textId="78591DC5" w:rsidR="008A2A17" w:rsidRPr="00284BDE" w:rsidRDefault="00C869DD" w:rsidP="00284BDE">
      <w:pPr>
        <w:pStyle w:val="Pealkiri2"/>
        <w:jc w:val="both"/>
      </w:pPr>
      <w:r>
        <w:rPr>
          <w:rStyle w:val="normaltextrun"/>
          <w:rFonts w:eastAsiaTheme="minorEastAsia"/>
          <w:color w:val="4472C4" w:themeColor="accent1"/>
        </w:rPr>
        <w:t xml:space="preserve">9.8 </w:t>
      </w:r>
      <w:r w:rsidR="008A2A17" w:rsidRPr="00284BDE">
        <w:rPr>
          <w:rStyle w:val="normaltextrun"/>
          <w:rFonts w:eastAsiaTheme="minorEastAsia"/>
          <w:color w:val="4472C4" w:themeColor="accent1"/>
        </w:rPr>
        <w:t xml:space="preserve">Referring to the text written under </w:t>
      </w:r>
      <w:r w:rsidR="008A2A17" w:rsidRPr="00284BDE">
        <w:t>Paragraph 7(a) iii) – What is the maximum concentration range width that a supplier can use to describe the concentration of synthetic polymer microparticles in the substance or mixture?</w:t>
      </w:r>
    </w:p>
    <w:p w14:paraId="572C05AB" w14:textId="77777777" w:rsidR="008A2A17" w:rsidRPr="00F10A32" w:rsidRDefault="008A2A17" w:rsidP="008A2A17">
      <w:pPr>
        <w:spacing w:after="0"/>
        <w:jc w:val="both"/>
        <w:rPr>
          <w:rStyle w:val="normaltextrun"/>
          <w:rFonts w:eastAsiaTheme="minorEastAsia"/>
        </w:rPr>
      </w:pPr>
      <w:proofErr w:type="spellStart"/>
      <w:r w:rsidRPr="00F10A32">
        <w:rPr>
          <w:rStyle w:val="normaltextrun"/>
          <w:rFonts w:eastAsiaTheme="minorEastAsia"/>
        </w:rPr>
        <w:t>Cefic</w:t>
      </w:r>
      <w:proofErr w:type="spellEnd"/>
      <w:r w:rsidRPr="00F10A32">
        <w:rPr>
          <w:rStyle w:val="normaltextrun"/>
          <w:rFonts w:eastAsiaTheme="minorEastAsia"/>
        </w:rPr>
        <w:t xml:space="preserve"> is not </w:t>
      </w:r>
      <w:proofErr w:type="gramStart"/>
      <w:r w:rsidRPr="00F10A32">
        <w:rPr>
          <w:rStyle w:val="normaltextrun"/>
          <w:rFonts w:eastAsiaTheme="minorEastAsia"/>
        </w:rPr>
        <w:t>in a position</w:t>
      </w:r>
      <w:proofErr w:type="gramEnd"/>
      <w:r w:rsidRPr="00F10A32">
        <w:rPr>
          <w:rStyle w:val="normaltextrun"/>
          <w:rFonts w:eastAsiaTheme="minorEastAsia"/>
        </w:rPr>
        <w:t xml:space="preserve"> to answer this question. The question should be addressed by the Commission and ECHA.</w:t>
      </w:r>
    </w:p>
    <w:p w14:paraId="3571A26D" w14:textId="77777777" w:rsidR="008A2A17" w:rsidRPr="00F10A32" w:rsidRDefault="008A2A17" w:rsidP="008A2A17">
      <w:pPr>
        <w:pStyle w:val="paragraph"/>
        <w:spacing w:before="0" w:beforeAutospacing="0" w:after="0" w:afterAutospacing="0" w:line="280" w:lineRule="exact"/>
        <w:jc w:val="both"/>
        <w:textAlignment w:val="baseline"/>
        <w:rPr>
          <w:rStyle w:val="normaltextrun"/>
          <w:rFonts w:asciiTheme="minorHAnsi" w:hAnsiTheme="minorHAnsi" w:cstheme="minorBidi"/>
          <w:sz w:val="22"/>
          <w:szCs w:val="22"/>
        </w:rPr>
      </w:pPr>
    </w:p>
    <w:p w14:paraId="63710CF5" w14:textId="22218949" w:rsidR="008A2A17" w:rsidRPr="00284BDE" w:rsidRDefault="00C869DD" w:rsidP="00284BDE">
      <w:pPr>
        <w:pStyle w:val="Pealkiri2"/>
        <w:jc w:val="both"/>
      </w:pPr>
      <w:r>
        <w:t xml:space="preserve">9.9 </w:t>
      </w:r>
      <w:r w:rsidR="008A2A17" w:rsidRPr="00284BDE">
        <w:t xml:space="preserve">Paragraph 7(a) iii) – Considering that the exact concentration/quantity may be confidential, </w:t>
      </w:r>
      <w:r w:rsidR="008A2A17" w:rsidRPr="00284BDE">
        <w:rPr>
          <w:rStyle w:val="normaltextrun"/>
        </w:rPr>
        <w:t>can suppliers describe the concentration of synthetic polymer microparticles in the substance or mixture</w:t>
      </w:r>
      <w:r w:rsidR="008A2A17" w:rsidRPr="00284BDE">
        <w:t xml:space="preserve"> &gt; x% or &lt;x%?</w:t>
      </w:r>
    </w:p>
    <w:p w14:paraId="570A16AC" w14:textId="7B9C853D" w:rsidR="008A2A17" w:rsidRPr="00F10A32" w:rsidRDefault="008A2A17" w:rsidP="005840E6">
      <w:pPr>
        <w:pStyle w:val="paragraph"/>
        <w:spacing w:before="0" w:beforeAutospacing="0" w:after="120" w:afterAutospacing="0" w:line="280" w:lineRule="exact"/>
        <w:textAlignment w:val="baseline"/>
        <w:rPr>
          <w:rFonts w:asciiTheme="minorHAnsi" w:hAnsiTheme="minorHAnsi" w:cstheme="minorBidi"/>
          <w:sz w:val="22"/>
          <w:szCs w:val="22"/>
        </w:rPr>
      </w:pPr>
      <w:r w:rsidRPr="00F10A32">
        <w:rPr>
          <w:rFonts w:asciiTheme="minorHAnsi" w:hAnsiTheme="minorHAnsi" w:cstheme="minorBidi"/>
          <w:sz w:val="22"/>
          <w:szCs w:val="22"/>
        </w:rPr>
        <w:t xml:space="preserve">As there is no explicit mentioning of concentration ranges (in opposition to e.g. Annex II, Section 3.2) it </w:t>
      </w:r>
      <w:proofErr w:type="gramStart"/>
      <w:r w:rsidRPr="00F10A32">
        <w:rPr>
          <w:rFonts w:asciiTheme="minorHAnsi" w:hAnsiTheme="minorHAnsi" w:cstheme="minorBidi"/>
          <w:sz w:val="22"/>
          <w:szCs w:val="22"/>
        </w:rPr>
        <w:t>has to</w:t>
      </w:r>
      <w:proofErr w:type="gramEnd"/>
      <w:r w:rsidRPr="00F10A32">
        <w:rPr>
          <w:rFonts w:asciiTheme="minorHAnsi" w:hAnsiTheme="minorHAnsi" w:cstheme="minorBidi"/>
          <w:sz w:val="22"/>
          <w:szCs w:val="22"/>
        </w:rPr>
        <w:t xml:space="preserve"> be assumed that the exact concentration needs to be given.</w:t>
      </w:r>
    </w:p>
    <w:p w14:paraId="4884713A" w14:textId="10757BE1" w:rsidR="008A2A17" w:rsidRPr="00F10A32" w:rsidRDefault="008A2A17" w:rsidP="008A2A17">
      <w:pPr>
        <w:spacing w:line="240" w:lineRule="auto"/>
        <w:rPr>
          <w:rFonts w:eastAsia="Times New Roman"/>
        </w:rPr>
      </w:pPr>
    </w:p>
    <w:p w14:paraId="1BF8AAA5" w14:textId="078118DE" w:rsidR="008A2A17" w:rsidRPr="00B90731" w:rsidRDefault="00C869DD" w:rsidP="00C869DD">
      <w:pPr>
        <w:pStyle w:val="Pealkiri2"/>
      </w:pPr>
      <w:r>
        <w:t xml:space="preserve">9.10 </w:t>
      </w:r>
      <w:r w:rsidR="008A2A17" w:rsidRPr="00B90731">
        <w:t xml:space="preserve">From suppliers of </w:t>
      </w:r>
      <w:r w:rsidR="00252943">
        <w:t>SPM</w:t>
      </w:r>
      <w:r w:rsidR="008A2A17" w:rsidRPr="00B90731">
        <w:t xml:space="preserve"> referred to in paragraph 4, point (a), shall provide the following information:</w:t>
      </w:r>
    </w:p>
    <w:p w14:paraId="2DB736FD" w14:textId="023A744A" w:rsidR="008A2A17" w:rsidRPr="00F10A32" w:rsidRDefault="00E1446B" w:rsidP="00DF3DF5">
      <w:pPr>
        <w:pBdr>
          <w:top w:val="single" w:sz="12" w:space="1" w:color="000000"/>
          <w:left w:val="single" w:sz="12" w:space="4" w:color="000000"/>
          <w:bottom w:val="single" w:sz="12" w:space="1" w:color="000000"/>
          <w:right w:val="single" w:sz="12" w:space="0" w:color="000000"/>
        </w:pBdr>
        <w:shd w:val="clear" w:color="auto" w:fill="E7E6E6" w:themeFill="background2"/>
        <w:jc w:val="both"/>
        <w:rPr>
          <w:rFonts w:eastAsia="Times New Roman"/>
          <w:i/>
          <w:iCs/>
          <w:color w:val="4472C4" w:themeColor="accent1"/>
        </w:rPr>
      </w:pPr>
      <w:r w:rsidRPr="00F10A32">
        <w:rPr>
          <w:rFonts w:eastAsia="Times New Roman"/>
          <w:i/>
          <w:iCs/>
        </w:rPr>
        <w:t>7</w:t>
      </w:r>
      <w:r w:rsidR="008A2A17" w:rsidRPr="00F10A32">
        <w:rPr>
          <w:rFonts w:eastAsia="Times New Roman"/>
          <w:i/>
          <w:iCs/>
        </w:rPr>
        <w:t>(c) the information on quantity or, as applicable, concentration of synthetic polymer microparticles in the substance or mixture.</w:t>
      </w:r>
    </w:p>
    <w:p w14:paraId="68C5407B" w14:textId="77777777" w:rsidR="008A2A17" w:rsidRPr="00B90731" w:rsidRDefault="008A2A17" w:rsidP="00C869DD">
      <w:pPr>
        <w:pStyle w:val="Pealkiri2"/>
        <w:jc w:val="both"/>
      </w:pPr>
      <w:r w:rsidRPr="00B90731">
        <w:t>For a pure polymer this would be 100% or the assay value from a COA if there is an assay but it could also be the quantitative formulation for a mixture. In the latter, this information is often highly confidential and shared only in documents submitted directly to regulators (e.g. a Drug Master File), but there is no provision in the EU for excipient Master Files so how can this information remain confidential?</w:t>
      </w:r>
    </w:p>
    <w:p w14:paraId="3E19652B" w14:textId="77777777" w:rsidR="008A2A17" w:rsidRPr="00F10A32" w:rsidRDefault="008A2A17" w:rsidP="008A2A17">
      <w:pPr>
        <w:jc w:val="both"/>
        <w:rPr>
          <w:rFonts w:eastAsia="Times New Roman"/>
        </w:rPr>
      </w:pPr>
      <w:r w:rsidRPr="00F10A32">
        <w:rPr>
          <w:rFonts w:eastAsia="Times New Roman"/>
        </w:rPr>
        <w:t xml:space="preserve">This question should be answered by the Commission as </w:t>
      </w:r>
      <w:proofErr w:type="spellStart"/>
      <w:r w:rsidRPr="00F10A32">
        <w:rPr>
          <w:rFonts w:eastAsia="Times New Roman"/>
        </w:rPr>
        <w:t>Cefic</w:t>
      </w:r>
      <w:proofErr w:type="spellEnd"/>
      <w:r w:rsidRPr="00F10A32">
        <w:rPr>
          <w:rFonts w:eastAsia="Times New Roman"/>
        </w:rPr>
        <w:t xml:space="preserve"> is not in the position to provide any answer to this question.</w:t>
      </w:r>
    </w:p>
    <w:p w14:paraId="6F4B0A65" w14:textId="77777777" w:rsidR="008A2A17" w:rsidRPr="00F10A32" w:rsidRDefault="008A2A17" w:rsidP="008A2A17">
      <w:pPr>
        <w:jc w:val="both"/>
        <w:rPr>
          <w:rFonts w:eastAsia="Times New Roman"/>
          <w:color w:val="4472C4" w:themeColor="accent1"/>
        </w:rPr>
      </w:pPr>
    </w:p>
    <w:p w14:paraId="2CDAB47C" w14:textId="28AAAE22" w:rsidR="008A2A17" w:rsidRPr="00B90731" w:rsidRDefault="00C869DD" w:rsidP="00C869DD">
      <w:pPr>
        <w:pStyle w:val="Pealkiri2"/>
        <w:jc w:val="both"/>
      </w:pPr>
      <w:r>
        <w:t xml:space="preserve">9.11 </w:t>
      </w:r>
      <w:r w:rsidR="008A2A17" w:rsidRPr="00B90731">
        <w:t xml:space="preserve">Where a consumer product is derogated under paragraph 5b (e.g. forming a solid film -cosmetics on hair) and the residual polymer </w:t>
      </w:r>
      <w:proofErr w:type="gramStart"/>
      <w:r w:rsidR="008A2A17" w:rsidRPr="00B90731">
        <w:t>is considered to be</w:t>
      </w:r>
      <w:proofErr w:type="gramEnd"/>
      <w:r w:rsidR="008A2A17" w:rsidRPr="00B90731">
        <w:t xml:space="preserve"> removed by water ending up down the drain. How can instructions for use and disposal (IFUD) be applied?</w:t>
      </w:r>
    </w:p>
    <w:p w14:paraId="5D4AD32F" w14:textId="71F92433" w:rsidR="008A2A17" w:rsidRPr="00F10A32" w:rsidRDefault="008A2A17" w:rsidP="000646D3">
      <w:pPr>
        <w:jc w:val="both"/>
      </w:pPr>
      <w:r w:rsidRPr="00F10A32">
        <w:t>The answer to this question will highly depend on the product and packaging. type and therefore is a case-by case assessment. Legal text refers to instructions that will facilitate prevention synthetic polymer microparticles being released to the environment.</w:t>
      </w:r>
    </w:p>
    <w:p w14:paraId="1A949F9F" w14:textId="7DEEB894" w:rsidR="008A2A17" w:rsidRPr="00F10A32" w:rsidRDefault="008A2A17" w:rsidP="000646D3">
      <w:pPr>
        <w:jc w:val="both"/>
      </w:pPr>
      <w:r w:rsidRPr="00F10A32">
        <w:t xml:space="preserve">One example for instructions for use and disposal </w:t>
      </w:r>
      <w:proofErr w:type="gramStart"/>
      <w:r w:rsidRPr="00F10A32">
        <w:t>could  be</w:t>
      </w:r>
      <w:proofErr w:type="gramEnd"/>
      <w:r w:rsidRPr="00F10A32">
        <w:t xml:space="preserve">: “ do not flush/clean  with water before disposing with municipal waste”  </w:t>
      </w:r>
    </w:p>
    <w:tbl>
      <w:tblPr>
        <w:tblStyle w:val="Kontuurtabel"/>
        <w:tblW w:w="0" w:type="auto"/>
        <w:shd w:val="clear" w:color="auto" w:fill="D9E2F3" w:themeFill="accent1" w:themeFillTint="33"/>
        <w:tblLook w:val="04A0" w:firstRow="1" w:lastRow="0" w:firstColumn="1" w:lastColumn="0" w:noHBand="0" w:noVBand="1"/>
      </w:tblPr>
      <w:tblGrid>
        <w:gridCol w:w="9350"/>
      </w:tblGrid>
      <w:tr w:rsidR="008A2A17" w:rsidRPr="00F10A32" w14:paraId="1FAEF2D9" w14:textId="77777777" w:rsidTr="004E6FF1">
        <w:trPr>
          <w:trHeight w:val="1493"/>
        </w:trPr>
        <w:tc>
          <w:tcPr>
            <w:tcW w:w="9350" w:type="dxa"/>
            <w:shd w:val="clear" w:color="auto" w:fill="D9E2F3" w:themeFill="accent1" w:themeFillTint="33"/>
          </w:tcPr>
          <w:p w14:paraId="52BC5FAB" w14:textId="77777777" w:rsidR="008A2A17" w:rsidRPr="00F10A32" w:rsidRDefault="008A2A17" w:rsidP="004E6FF1">
            <w:pPr>
              <w:rPr>
                <w:i/>
                <w:iCs/>
              </w:rPr>
            </w:pPr>
            <w:r w:rsidRPr="00F10A32">
              <w:rPr>
                <w:i/>
                <w:iCs/>
              </w:rPr>
              <w:t xml:space="preserve">(8) From 17 October 2026suppliers of products containing synthetic polymer microparticles referred to in paragraph 4, point (e), and from 17 October 2025suppliers of products containing synthetic polymer microparticles referred to in paragraph 4, point (d), and paragraph 5, shall provide </w:t>
            </w:r>
            <w:r w:rsidRPr="00F10A32">
              <w:rPr>
                <w:b/>
                <w:bCs/>
                <w:i/>
                <w:iCs/>
              </w:rPr>
              <w:t xml:space="preserve">instructions for use and disposal explaining to professional users and the </w:t>
            </w:r>
            <w:proofErr w:type="gramStart"/>
            <w:r w:rsidRPr="00F10A32">
              <w:rPr>
                <w:b/>
                <w:bCs/>
                <w:i/>
                <w:iCs/>
              </w:rPr>
              <w:t>general public</w:t>
            </w:r>
            <w:proofErr w:type="gramEnd"/>
            <w:r w:rsidRPr="00F10A32">
              <w:rPr>
                <w:b/>
                <w:bCs/>
                <w:i/>
                <w:iCs/>
              </w:rPr>
              <w:t xml:space="preserve"> how to prevent releases of synthetic polymer microparticles to the environment.</w:t>
            </w:r>
          </w:p>
        </w:tc>
      </w:tr>
    </w:tbl>
    <w:p w14:paraId="15A72C80" w14:textId="77777777" w:rsidR="008A2A17" w:rsidRPr="00F10A32" w:rsidRDefault="008A2A17" w:rsidP="008A2A17"/>
    <w:p w14:paraId="1BDFD3B0" w14:textId="0FE1199A" w:rsidR="00080996" w:rsidRDefault="00A47CA6" w:rsidP="008A4391">
      <w:pPr>
        <w:pStyle w:val="Pealkiri1"/>
        <w:numPr>
          <w:ilvl w:val="0"/>
          <w:numId w:val="11"/>
        </w:numPr>
      </w:pPr>
      <w:bookmarkStart w:id="38" w:name="_Toc170394075"/>
      <w:r w:rsidRPr="00B45D7C">
        <w:t>REPORTING</w:t>
      </w:r>
      <w:bookmarkEnd w:id="38"/>
    </w:p>
    <w:p w14:paraId="62299011" w14:textId="77777777" w:rsidR="005840E6" w:rsidRPr="005840E6" w:rsidRDefault="005840E6" w:rsidP="005840E6"/>
    <w:p w14:paraId="279804AF" w14:textId="60F4942A" w:rsidR="00974607" w:rsidRDefault="00D21984" w:rsidP="00D21984">
      <w:pPr>
        <w:spacing w:after="120" w:line="240" w:lineRule="auto"/>
        <w:jc w:val="both"/>
        <w:rPr>
          <w:rFonts w:eastAsiaTheme="minorEastAsia"/>
          <w:color w:val="000000" w:themeColor="text1"/>
        </w:rPr>
      </w:pPr>
      <w:r>
        <w:rPr>
          <w:rFonts w:eastAsiaTheme="minorEastAsia"/>
          <w:color w:val="000000" w:themeColor="text1"/>
        </w:rPr>
        <w:t xml:space="preserve">The present section includes questions received from companies and associations concerning paragraph 11, 12, 13, 14 and 15 of the restriction on SPM. </w:t>
      </w:r>
    </w:p>
    <w:p w14:paraId="6EAF5B9A" w14:textId="77777777" w:rsidR="005840E6" w:rsidRPr="00D21984" w:rsidRDefault="005840E6" w:rsidP="00D21984">
      <w:pPr>
        <w:spacing w:after="120" w:line="240" w:lineRule="auto"/>
        <w:jc w:val="both"/>
        <w:rPr>
          <w:rFonts w:eastAsiaTheme="minorEastAsia"/>
          <w:color w:val="000000" w:themeColor="text1"/>
        </w:rPr>
      </w:pPr>
    </w:p>
    <w:p w14:paraId="0207570D" w14:textId="7E116412" w:rsidR="00565CDB" w:rsidRPr="00F10A32" w:rsidRDefault="005141D9" w:rsidP="005141D9">
      <w:pPr>
        <w:pStyle w:val="Pealkiri2"/>
        <w:jc w:val="both"/>
      </w:pPr>
      <w:r>
        <w:t xml:space="preserve">10.1 </w:t>
      </w:r>
      <w:r w:rsidR="00565CDB" w:rsidRPr="00F10A32">
        <w:t>Paragraph 11</w:t>
      </w:r>
      <w:bookmarkStart w:id="39" w:name="_Hlk140654808"/>
      <w:r w:rsidR="00565CDB" w:rsidRPr="00F10A32">
        <w:t xml:space="preserve"> requires reporting for both manufacturers and downstream users of </w:t>
      </w:r>
      <w:r w:rsidR="004E4EB5" w:rsidRPr="00F10A32">
        <w:t xml:space="preserve">SPM </w:t>
      </w:r>
      <w:r w:rsidR="00565CDB" w:rsidRPr="00F10A32">
        <w:t xml:space="preserve">(at industrial sites). Clarification is required for </w:t>
      </w:r>
      <w:proofErr w:type="gramStart"/>
      <w:r w:rsidR="00565CDB" w:rsidRPr="00F10A32">
        <w:t>following:</w:t>
      </w:r>
      <w:bookmarkEnd w:id="39"/>
      <w:proofErr w:type="gramEnd"/>
      <w:r w:rsidR="00565CDB" w:rsidRPr="00F10A32">
        <w:t xml:space="preserve"> Description of the uses of synthetic polymer microparticles in the previous calendar year is required. Manufacturers do not always know the end uses of the materials they supply to customers as it may be confidential. Will “use at industrial site” suffice for suppliers?</w:t>
      </w:r>
    </w:p>
    <w:p w14:paraId="2C691216" w14:textId="6486DF2B" w:rsidR="00565CDB" w:rsidRPr="00F10A32" w:rsidRDefault="00565CDB" w:rsidP="00BC36FD">
      <w:pPr>
        <w:jc w:val="both"/>
      </w:pPr>
      <w:r w:rsidRPr="00F10A32">
        <w:rPr>
          <w:b/>
          <w:bCs/>
        </w:rPr>
        <w:t>The manufacturer</w:t>
      </w:r>
      <w:r w:rsidRPr="00F10A32">
        <w:t xml:space="preserve"> of a product sold under paragraph 4a) needs to report on losses during his own use of the product (details are included in paragraph 11); the end use is irrelevant at this stage. </w:t>
      </w:r>
    </w:p>
    <w:p w14:paraId="55E79515" w14:textId="77777777" w:rsidR="00565CDB" w:rsidRDefault="00565CDB" w:rsidP="00BC36FD">
      <w:pPr>
        <w:jc w:val="both"/>
      </w:pPr>
      <w:r w:rsidRPr="00F10A32">
        <w:rPr>
          <w:b/>
          <w:bCs/>
        </w:rPr>
        <w:t>The downstream user,</w:t>
      </w:r>
      <w:r w:rsidRPr="00F10A32">
        <w:t xml:space="preserve"> producing a product for professional users and/or the </w:t>
      </w:r>
      <w:proofErr w:type="gramStart"/>
      <w:r w:rsidRPr="00F10A32">
        <w:t>general public</w:t>
      </w:r>
      <w:proofErr w:type="gramEnd"/>
      <w:r w:rsidRPr="00F10A32">
        <w:t xml:space="preserve">, needs to report both on losses during his own use (according to paragraph11) as well as on estimated losses during end use of the product (according to paragraph12). Further rationale on this matter can also be found in </w:t>
      </w:r>
      <w:r w:rsidRPr="00F10A32">
        <w:rPr>
          <w:b/>
          <w:bCs/>
        </w:rPr>
        <w:t>recital</w:t>
      </w:r>
      <w:r w:rsidRPr="00F10A32">
        <w:t xml:space="preserve"> (56) transcribed below.</w:t>
      </w:r>
    </w:p>
    <w:p w14:paraId="31B9CC1A" w14:textId="77777777" w:rsidR="00127341" w:rsidRDefault="00127341" w:rsidP="00BC36FD">
      <w:pPr>
        <w:jc w:val="both"/>
        <w:rPr>
          <w:i/>
          <w:iCs/>
        </w:rPr>
      </w:pPr>
    </w:p>
    <w:p w14:paraId="784D7D6B" w14:textId="77777777" w:rsidR="009C6C67" w:rsidRDefault="009C6C67" w:rsidP="00BC36FD">
      <w:pPr>
        <w:jc w:val="both"/>
        <w:rPr>
          <w:i/>
          <w:iCs/>
        </w:rPr>
      </w:pPr>
    </w:p>
    <w:p w14:paraId="54C84AED" w14:textId="77777777" w:rsidR="00127341" w:rsidRPr="00F10A32" w:rsidRDefault="00127341" w:rsidP="00BC36FD">
      <w:pPr>
        <w:jc w:val="both"/>
        <w:rPr>
          <w:i/>
          <w:iCs/>
        </w:rPr>
      </w:pPr>
    </w:p>
    <w:tbl>
      <w:tblPr>
        <w:tblStyle w:val="Kontuurtabel"/>
        <w:tblW w:w="0" w:type="auto"/>
        <w:shd w:val="clear" w:color="auto" w:fill="B4C6E7" w:themeFill="accent1" w:themeFillTint="66"/>
        <w:tblLook w:val="04A0" w:firstRow="1" w:lastRow="0" w:firstColumn="1" w:lastColumn="0" w:noHBand="0" w:noVBand="1"/>
      </w:tblPr>
      <w:tblGrid>
        <w:gridCol w:w="9350"/>
      </w:tblGrid>
      <w:tr w:rsidR="00565CDB" w14:paraId="190D37DD" w14:textId="77777777" w:rsidTr="004C7FD4">
        <w:tc>
          <w:tcPr>
            <w:tcW w:w="9350" w:type="dxa"/>
            <w:shd w:val="clear" w:color="auto" w:fill="B4C6E7" w:themeFill="accent1" w:themeFillTint="66"/>
          </w:tcPr>
          <w:p w14:paraId="304F1E39" w14:textId="77777777" w:rsidR="00565CDB" w:rsidRDefault="00565CDB" w:rsidP="007E3B57">
            <w:pPr>
              <w:rPr>
                <w:i/>
                <w:iCs/>
                <w:sz w:val="24"/>
                <w:szCs w:val="24"/>
              </w:rPr>
            </w:pPr>
          </w:p>
          <w:p w14:paraId="66473125" w14:textId="77777777" w:rsidR="00565CDB" w:rsidRPr="00477219" w:rsidRDefault="00565CDB" w:rsidP="004C7FD4">
            <w:pPr>
              <w:jc w:val="both"/>
            </w:pPr>
            <w:r w:rsidRPr="00477219">
              <w:rPr>
                <w:i/>
                <w:iCs/>
              </w:rPr>
              <w:t xml:space="preserve">“(56) As regards the reporting requirements proposed in the Annex XV dossier, as modified by RAC and SEAC, the Commission finds that they will contribute to monitoring the effectiveness of the instructions for use and disposal and will improve the evidence base for the risk management of the uses exempted from the prohibition of placing on the market. The Commission further considers that including a reference to the applicable derogations in the information to be reported to the Agency is needed </w:t>
            </w:r>
            <w:proofErr w:type="gramStart"/>
            <w:r w:rsidRPr="00477219">
              <w:rPr>
                <w:i/>
                <w:iCs/>
              </w:rPr>
              <w:t>in order to</w:t>
            </w:r>
            <w:proofErr w:type="gramEnd"/>
            <w:r w:rsidRPr="00477219">
              <w:rPr>
                <w:i/>
                <w:iCs/>
              </w:rPr>
              <w:t xml:space="preserve"> facilitate enforcement without imposing additional burden on industry. In addition, manufacturers and industrial downstream users should be required to estimate and report their own emissions. Furthermore, in order to ensure that all emissions along the supply chain are monitored and reported without adding undue burden on end users, suppliers of products containing synthetic polymer microparticles that place those products on the market for the first time to professional users and the general public are to also estimate, in addition to their own emissions, the downstream emissions from the moment the product is placed on the market to the moment it is disposed of after end use and report the total emissions to the Agency. To ensure the optimal use of the reported information and facilitate enforcement, such information should be made available to the Member States.</w:t>
            </w:r>
            <w:r w:rsidRPr="00477219">
              <w:t>”</w:t>
            </w:r>
            <w:r w:rsidRPr="00477219">
              <w:br/>
            </w:r>
          </w:p>
          <w:p w14:paraId="54353A5F" w14:textId="77777777" w:rsidR="00565CDB" w:rsidRDefault="00565CDB" w:rsidP="007E3B57">
            <w:pPr>
              <w:rPr>
                <w:i/>
                <w:iCs/>
                <w:sz w:val="24"/>
                <w:szCs w:val="24"/>
              </w:rPr>
            </w:pPr>
          </w:p>
        </w:tc>
      </w:tr>
    </w:tbl>
    <w:p w14:paraId="69C4E52D" w14:textId="77777777" w:rsidR="00565CDB" w:rsidRDefault="00565CDB" w:rsidP="00565CDB">
      <w:pPr>
        <w:rPr>
          <w:b/>
          <w:bCs/>
          <w:sz w:val="24"/>
          <w:szCs w:val="24"/>
        </w:rPr>
      </w:pPr>
    </w:p>
    <w:p w14:paraId="1E4B3E06" w14:textId="29275468" w:rsidR="00565CDB" w:rsidRPr="003E0CC0" w:rsidRDefault="005E3B75" w:rsidP="005141D9">
      <w:pPr>
        <w:pStyle w:val="Pealkiri2"/>
        <w:jc w:val="both"/>
      </w:pPr>
      <w:r w:rsidRPr="003E0CC0">
        <w:rPr>
          <w:noProof/>
        </w:rPr>
        <mc:AlternateContent>
          <mc:Choice Requires="wps">
            <w:drawing>
              <wp:anchor distT="45720" distB="45720" distL="114300" distR="114300" simplePos="0" relativeHeight="251672576" behindDoc="0" locked="0" layoutInCell="1" allowOverlap="1" wp14:anchorId="60ECA25C" wp14:editId="38656181">
                <wp:simplePos x="0" y="0"/>
                <wp:positionH relativeFrom="margin">
                  <wp:align>left</wp:align>
                </wp:positionH>
                <wp:positionV relativeFrom="paragraph">
                  <wp:posOffset>526415</wp:posOffset>
                </wp:positionV>
                <wp:extent cx="6129655" cy="683260"/>
                <wp:effectExtent l="0" t="0" r="23495" b="21590"/>
                <wp:wrapSquare wrapText="bothSides"/>
                <wp:docPr id="854366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683812"/>
                        </a:xfrm>
                        <a:prstGeom prst="rect">
                          <a:avLst/>
                        </a:prstGeom>
                        <a:solidFill>
                          <a:schemeClr val="accent1">
                            <a:lumMod val="40000"/>
                            <a:lumOff val="60000"/>
                          </a:schemeClr>
                        </a:solidFill>
                        <a:ln w="9525">
                          <a:solidFill>
                            <a:srgbClr val="000000"/>
                          </a:solidFill>
                          <a:miter lim="800000"/>
                          <a:headEnd/>
                          <a:tailEnd/>
                        </a:ln>
                      </wps:spPr>
                      <wps:txbx>
                        <w:txbxContent>
                          <w:p w14:paraId="2C4587E1" w14:textId="245A51EE" w:rsidR="00D8177F" w:rsidRPr="003E0CC0" w:rsidRDefault="00D8177F" w:rsidP="00D8177F">
                            <w:pPr>
                              <w:jc w:val="both"/>
                              <w:rPr>
                                <w:b/>
                                <w:bCs/>
                              </w:rPr>
                            </w:pPr>
                            <w:r w:rsidRPr="003E0CC0">
                              <w:rPr>
                                <w:i/>
                                <w:iCs/>
                              </w:rPr>
                              <w:t>From 2027, suppliers of products containing synthetic polymer microparticles referred to in paragraphs 4, points (b), (d) and (e), and paragraph 5, placed on the market for the first time to professional users and the general public, shall submit the following information to the Agency by 31 May of each year:</w:t>
                            </w:r>
                            <w:r w:rsidRPr="003E0CC0">
                              <w:t>”</w:t>
                            </w:r>
                          </w:p>
                          <w:p w14:paraId="5B26DF64" w14:textId="4544831E" w:rsidR="00D8177F" w:rsidRDefault="00D817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CA25C" id="_x0000_s1027" type="#_x0000_t202" style="position:absolute;left:0;text-align:left;margin-left:0;margin-top:41.45pt;width:482.65pt;height:53.8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" fillcolor="#b4c6e7 [1300]">
                <v:textbox>
                  <w:txbxContent>
                    <w:p w14:paraId="2C4587E1" w14:textId="245A51EE" w:rsidR="00D8177F" w:rsidRPr="003E0CC0" w:rsidRDefault="00D8177F" w:rsidP="00D8177F">
                      <w:pPr>
                        <w:jc w:val="both"/>
                        <w:rPr>
                          <w:b/>
                          <w:bCs/>
                        </w:rPr>
                      </w:pPr>
                      <w:r w:rsidRPr="003E0CC0">
                        <w:rPr>
                          <w:i/>
                          <w:iCs/>
                        </w:rPr>
                        <w:t>From 2027, suppliers of products containing synthetic polymer microparticles referred to in paragraphs 4, points (b), (d) and (e), and paragraph 5, placed on the market for the first time to professional users and the general public, shall submit the following information to the Agency by 31 May of each year:</w:t>
                      </w:r>
                      <w:r w:rsidRPr="003E0CC0">
                        <w:t>”</w:t>
                      </w:r>
                    </w:p>
                    <w:p w14:paraId="5B26DF64" w14:textId="4544831E" w:rsidR="00D8177F" w:rsidRDefault="00D8177F"/>
                  </w:txbxContent>
                </v:textbox>
                <w10:wrap type="square" anchorx="margin"/>
              </v:shape>
            </w:pict>
          </mc:Fallback>
        </mc:AlternateContent>
      </w:r>
      <w:r w:rsidR="005141D9">
        <w:t xml:space="preserve">10.2 </w:t>
      </w:r>
      <w:r w:rsidR="00565CDB" w:rsidRPr="003E0CC0">
        <w:t xml:space="preserve">Does the manufacturer have to provide only the description of its customers' use, or they </w:t>
      </w:r>
      <w:proofErr w:type="gramStart"/>
      <w:r w:rsidR="00565CDB" w:rsidRPr="003E0CC0">
        <w:t>have to</w:t>
      </w:r>
      <w:proofErr w:type="gramEnd"/>
      <w:r w:rsidR="00565CDB" w:rsidRPr="003E0CC0">
        <w:t xml:space="preserve"> indicate any further uses known to him during the life cycle of the product?</w:t>
      </w:r>
    </w:p>
    <w:p w14:paraId="321809EF" w14:textId="77777777" w:rsidR="005E3B75" w:rsidRDefault="005E3B75" w:rsidP="00565CDB">
      <w:pPr>
        <w:spacing w:after="0"/>
        <w:jc w:val="both"/>
        <w:rPr>
          <w:color w:val="000000" w:themeColor="text1"/>
          <w:sz w:val="24"/>
          <w:szCs w:val="24"/>
        </w:rPr>
      </w:pPr>
    </w:p>
    <w:p w14:paraId="7D7839FA" w14:textId="2B45DC10" w:rsidR="00565CDB" w:rsidRPr="006334BA" w:rsidRDefault="00565CDB" w:rsidP="00565CDB">
      <w:pPr>
        <w:spacing w:after="0"/>
        <w:jc w:val="both"/>
        <w:rPr>
          <w:color w:val="000000" w:themeColor="text1"/>
        </w:rPr>
      </w:pPr>
      <w:r w:rsidRPr="006334BA">
        <w:rPr>
          <w:color w:val="000000" w:themeColor="text1"/>
        </w:rPr>
        <w:t xml:space="preserve">According to paragraph 12 c) producers of a product for professional users and/or the </w:t>
      </w:r>
      <w:proofErr w:type="gramStart"/>
      <w:r w:rsidRPr="006334BA">
        <w:rPr>
          <w:color w:val="000000" w:themeColor="text1"/>
        </w:rPr>
        <w:t>general public</w:t>
      </w:r>
      <w:proofErr w:type="gramEnd"/>
      <w:r w:rsidRPr="006334BA">
        <w:rPr>
          <w:color w:val="000000" w:themeColor="text1"/>
        </w:rPr>
        <w:t xml:space="preserve"> must report on estimated losses during intended end use(s) of the product (per intended end use).</w:t>
      </w:r>
    </w:p>
    <w:p w14:paraId="08552E59" w14:textId="77777777" w:rsidR="00565CDB" w:rsidRDefault="00565CDB" w:rsidP="00565CDB">
      <w:pPr>
        <w:spacing w:after="0"/>
        <w:jc w:val="both"/>
        <w:rPr>
          <w:i/>
          <w:iCs/>
          <w:color w:val="000000" w:themeColor="text1"/>
          <w:sz w:val="24"/>
          <w:szCs w:val="24"/>
        </w:rPr>
      </w:pPr>
    </w:p>
    <w:tbl>
      <w:tblPr>
        <w:tblStyle w:val="Kontuurtabel"/>
        <w:tblW w:w="9634" w:type="dxa"/>
        <w:shd w:val="clear" w:color="auto" w:fill="B4C6E7" w:themeFill="accent1" w:themeFillTint="66"/>
        <w:tblLook w:val="04A0" w:firstRow="1" w:lastRow="0" w:firstColumn="1" w:lastColumn="0" w:noHBand="0" w:noVBand="1"/>
      </w:tblPr>
      <w:tblGrid>
        <w:gridCol w:w="9634"/>
      </w:tblGrid>
      <w:tr w:rsidR="00565CDB" w14:paraId="5DF851C8" w14:textId="77777777" w:rsidTr="00507766">
        <w:trPr>
          <w:trHeight w:val="876"/>
        </w:trPr>
        <w:tc>
          <w:tcPr>
            <w:tcW w:w="9634" w:type="dxa"/>
            <w:shd w:val="clear" w:color="auto" w:fill="B4C6E7" w:themeFill="accent1" w:themeFillTint="66"/>
          </w:tcPr>
          <w:p w14:paraId="133B1DF1" w14:textId="6CA23E6F" w:rsidR="00565CDB" w:rsidRPr="00507766" w:rsidRDefault="00565CDB" w:rsidP="007E3B57">
            <w:pPr>
              <w:jc w:val="both"/>
              <w:rPr>
                <w:i/>
                <w:iCs/>
                <w:color w:val="000000" w:themeColor="text1"/>
              </w:rPr>
            </w:pPr>
            <w:r w:rsidRPr="00507766">
              <w:rPr>
                <w:i/>
                <w:iCs/>
                <w:color w:val="000000" w:themeColor="text1"/>
              </w:rPr>
              <w:t>“Paragraph 12(c) for each end use for which the synthetic polymer microparticles were placed on the market, an estimate of the quantity of synthetic polymer microparticles released to the environment in the previous calendar year, which shall include also the quantity of synthetic polymer microparticles released to the environment during transportation.”</w:t>
            </w:r>
          </w:p>
        </w:tc>
      </w:tr>
    </w:tbl>
    <w:p w14:paraId="6441E765" w14:textId="77777777" w:rsidR="00565CDB" w:rsidRPr="0087692D" w:rsidRDefault="00565CDB" w:rsidP="00565CDB">
      <w:pPr>
        <w:spacing w:after="0"/>
        <w:jc w:val="both"/>
        <w:rPr>
          <w:color w:val="000000" w:themeColor="text1"/>
          <w:sz w:val="24"/>
          <w:szCs w:val="24"/>
        </w:rPr>
      </w:pPr>
    </w:p>
    <w:p w14:paraId="1A35B1C7" w14:textId="20DD9E0C" w:rsidR="00565CDB" w:rsidRPr="005840E6" w:rsidRDefault="005141D9" w:rsidP="00C235BD">
      <w:pPr>
        <w:rPr>
          <w:color w:val="4472C4" w:themeColor="accent1"/>
        </w:rPr>
      </w:pPr>
      <w:r>
        <w:rPr>
          <w:rStyle w:val="Pealkiri2Mrk"/>
        </w:rPr>
        <w:t xml:space="preserve">10.3 </w:t>
      </w:r>
      <w:r w:rsidR="00565CDB" w:rsidRPr="005141D9">
        <w:rPr>
          <w:rStyle w:val="Pealkiri2Mrk"/>
        </w:rPr>
        <w:t>Are there any obligations for the customers to communicate to producers their use and/or their downstream</w:t>
      </w:r>
      <w:r w:rsidR="00507766" w:rsidRPr="005141D9">
        <w:rPr>
          <w:rStyle w:val="Pealkiri2Mrk"/>
        </w:rPr>
        <w:t xml:space="preserve"> </w:t>
      </w:r>
      <w:r w:rsidR="00565CDB" w:rsidRPr="005141D9">
        <w:rPr>
          <w:rStyle w:val="Pealkiri2Mrk"/>
        </w:rPr>
        <w:t>customers’ use?</w:t>
      </w:r>
      <w:r w:rsidR="00565CDB" w:rsidRPr="005141D9">
        <w:rPr>
          <w:rStyle w:val="Pealkiri2Mrk"/>
        </w:rPr>
        <w:br/>
      </w:r>
      <w:r w:rsidR="00565CDB" w:rsidRPr="006B6DFD">
        <w:t>No such obligation can be found in the legal text.</w:t>
      </w:r>
    </w:p>
    <w:p w14:paraId="18F1F1F1" w14:textId="77777777" w:rsidR="00565CDB" w:rsidRDefault="00565CDB" w:rsidP="00565CDB">
      <w:pPr>
        <w:rPr>
          <w:b/>
          <w:bCs/>
          <w:sz w:val="24"/>
          <w:szCs w:val="24"/>
        </w:rPr>
      </w:pPr>
    </w:p>
    <w:p w14:paraId="7DB6CA56" w14:textId="77777777" w:rsidR="007B02AF" w:rsidRPr="00427FB6" w:rsidRDefault="007B02AF" w:rsidP="00565CDB">
      <w:pPr>
        <w:rPr>
          <w:b/>
          <w:bCs/>
          <w:sz w:val="24"/>
          <w:szCs w:val="24"/>
        </w:rPr>
      </w:pPr>
    </w:p>
    <w:p w14:paraId="14DB6B71" w14:textId="34E3E3C0" w:rsidR="00565CDB" w:rsidRPr="00427FB6" w:rsidRDefault="00565CDB" w:rsidP="00B90731">
      <w:pPr>
        <w:pStyle w:val="Pealkiri2"/>
      </w:pPr>
      <w:bookmarkStart w:id="40" w:name="_Toc170394076"/>
      <w:r w:rsidRPr="00427FB6">
        <w:t>R</w:t>
      </w:r>
      <w:r w:rsidR="00F2215D" w:rsidRPr="00427FB6">
        <w:t xml:space="preserve">EPORTING </w:t>
      </w:r>
      <w:r w:rsidR="00086642" w:rsidRPr="00427FB6">
        <w:t>DURING TRANSPORTATION</w:t>
      </w:r>
      <w:bookmarkEnd w:id="40"/>
    </w:p>
    <w:p w14:paraId="40B58D11" w14:textId="77777777" w:rsidR="00565CDB" w:rsidRPr="00B90731" w:rsidRDefault="00565CDB" w:rsidP="0057247A">
      <w:pPr>
        <w:spacing w:after="120"/>
        <w:jc w:val="both"/>
        <w:rPr>
          <w:b/>
          <w:bCs/>
          <w:sz w:val="24"/>
          <w:szCs w:val="24"/>
        </w:rPr>
      </w:pPr>
    </w:p>
    <w:p w14:paraId="0FF195CD" w14:textId="1DD25013" w:rsidR="00565CDB" w:rsidRPr="00B90731" w:rsidRDefault="005141D9" w:rsidP="005141D9">
      <w:pPr>
        <w:pStyle w:val="Pealkiri2"/>
        <w:jc w:val="both"/>
      </w:pPr>
      <w:r>
        <w:t xml:space="preserve">10.4 </w:t>
      </w:r>
      <w:r w:rsidR="00565CDB" w:rsidRPr="00B90731">
        <w:t>Which amount during transport should be included in estimate volumes? (ref.</w:t>
      </w:r>
      <w:r w:rsidR="005E7D95" w:rsidRPr="00B90731">
        <w:t xml:space="preserve"> </w:t>
      </w:r>
      <w:r w:rsidR="00565CDB" w:rsidRPr="00B90731">
        <w:t xml:space="preserve">Paragraph 11 c) </w:t>
      </w:r>
    </w:p>
    <w:p w14:paraId="79177A76" w14:textId="475131A7" w:rsidR="00565CDB" w:rsidRPr="001C6CEF" w:rsidRDefault="00565CDB" w:rsidP="00565CDB">
      <w:pPr>
        <w:spacing w:after="120"/>
        <w:jc w:val="both"/>
      </w:pPr>
      <w:r w:rsidRPr="001C6CEF">
        <w:t xml:space="preserve">According to legal text manufacturers and industrial users of </w:t>
      </w:r>
      <w:r w:rsidR="006F39DC" w:rsidRPr="001C6CEF">
        <w:t>SPM</w:t>
      </w:r>
      <w:r w:rsidRPr="001C6CEF">
        <w:t xml:space="preserve"> shall submit to Agency </w:t>
      </w:r>
      <w:r w:rsidRPr="001C6CEF">
        <w:rPr>
          <w:b/>
          <w:bCs/>
        </w:rPr>
        <w:t>estimate</w:t>
      </w:r>
      <w:r w:rsidRPr="001C6CEF">
        <w:t xml:space="preserve"> of the </w:t>
      </w:r>
      <w:r w:rsidRPr="001C6CEF">
        <w:rPr>
          <w:b/>
          <w:bCs/>
        </w:rPr>
        <w:t>quantity</w:t>
      </w:r>
      <w:r w:rsidRPr="001C6CEF">
        <w:t xml:space="preserve"> of </w:t>
      </w:r>
      <w:r w:rsidR="00EB76B3">
        <w:t>SPM</w:t>
      </w:r>
      <w:r w:rsidRPr="001C6CEF">
        <w:t xml:space="preserve"> </w:t>
      </w:r>
      <w:r w:rsidRPr="001C6CEF">
        <w:rPr>
          <w:b/>
          <w:bCs/>
        </w:rPr>
        <w:t>released to the environment</w:t>
      </w:r>
      <w:r w:rsidRPr="001C6CEF">
        <w:t xml:space="preserve">. Restriction does not provide further information on methodology to be used. </w:t>
      </w:r>
    </w:p>
    <w:p w14:paraId="14C1EDBE" w14:textId="77777777" w:rsidR="00565CDB" w:rsidRPr="007E3B57" w:rsidRDefault="00565CDB" w:rsidP="00565CDB">
      <w:pPr>
        <w:spacing w:after="120"/>
        <w:jc w:val="both"/>
        <w:rPr>
          <w:i/>
          <w:iCs/>
          <w:sz w:val="24"/>
          <w:szCs w:val="24"/>
        </w:rPr>
      </w:pPr>
    </w:p>
    <w:tbl>
      <w:tblPr>
        <w:tblStyle w:val="Kontuurtabel"/>
        <w:tblW w:w="0" w:type="auto"/>
        <w:shd w:val="clear" w:color="auto" w:fill="B4C6E7" w:themeFill="accent1" w:themeFillTint="66"/>
        <w:tblLook w:val="04A0" w:firstRow="1" w:lastRow="0" w:firstColumn="1" w:lastColumn="0" w:noHBand="0" w:noVBand="1"/>
      </w:tblPr>
      <w:tblGrid>
        <w:gridCol w:w="9350"/>
      </w:tblGrid>
      <w:tr w:rsidR="00565CDB" w:rsidRPr="00BE2070" w14:paraId="777A5E0F" w14:textId="77777777" w:rsidTr="00954F09">
        <w:tc>
          <w:tcPr>
            <w:tcW w:w="9350" w:type="dxa"/>
            <w:shd w:val="clear" w:color="auto" w:fill="B4C6E7" w:themeFill="accent1" w:themeFillTint="66"/>
          </w:tcPr>
          <w:p w14:paraId="6ECA42A6" w14:textId="0D739FBE" w:rsidR="00565CDB" w:rsidRPr="005E7D95" w:rsidRDefault="00565CDB" w:rsidP="007E3B57">
            <w:pPr>
              <w:spacing w:after="120"/>
              <w:jc w:val="both"/>
              <w:rPr>
                <w:i/>
                <w:iCs/>
              </w:rPr>
            </w:pPr>
            <w:proofErr w:type="gramStart"/>
            <w:r w:rsidRPr="005E7D95">
              <w:rPr>
                <w:i/>
                <w:iCs/>
              </w:rPr>
              <w:t>( 11</w:t>
            </w:r>
            <w:proofErr w:type="gramEnd"/>
            <w:r w:rsidRPr="005E7D95">
              <w:rPr>
                <w:i/>
                <w:iCs/>
              </w:rPr>
              <w:t xml:space="preserve">) Starting from 2026 </w:t>
            </w:r>
            <w:r w:rsidRPr="005E7D95">
              <w:rPr>
                <w:b/>
                <w:bCs/>
                <w:i/>
                <w:iCs/>
              </w:rPr>
              <w:t xml:space="preserve">manufacturers and industrial downstream users of </w:t>
            </w:r>
            <w:r w:rsidR="00CC1A0F" w:rsidRPr="005E7D95">
              <w:rPr>
                <w:b/>
                <w:bCs/>
                <w:i/>
                <w:iCs/>
              </w:rPr>
              <w:t>sy</w:t>
            </w:r>
            <w:r w:rsidR="00954F09" w:rsidRPr="005E7D95">
              <w:rPr>
                <w:b/>
                <w:bCs/>
                <w:i/>
                <w:iCs/>
              </w:rPr>
              <w:t>nthetic polymer microparticles</w:t>
            </w:r>
            <w:r w:rsidRPr="005E7D95">
              <w:rPr>
                <w:i/>
                <w:iCs/>
              </w:rPr>
              <w:t xml:space="preserve"> in the form of pellets, flakes, and powders used as feedstock in plastic manufacturing at industrial sites, and, starting from 2027, other manufacturers of synthetic polymer microparticles and other industrial downstream users using </w:t>
            </w:r>
            <w:r w:rsidR="00954F09" w:rsidRPr="005E7D95">
              <w:rPr>
                <w:i/>
                <w:iCs/>
              </w:rPr>
              <w:t>synthetic polymer microparticles</w:t>
            </w:r>
            <w:r w:rsidRPr="005E7D95">
              <w:rPr>
                <w:i/>
                <w:iCs/>
              </w:rPr>
              <w:t xml:space="preserve"> at industrial sites shall submit the following information to the Agency by 31 May of each year:</w:t>
            </w:r>
          </w:p>
          <w:p w14:paraId="606BD616" w14:textId="530DEAB8" w:rsidR="00565CDB" w:rsidRPr="005E7D95" w:rsidRDefault="00565CDB" w:rsidP="007E3B57">
            <w:pPr>
              <w:spacing w:after="120"/>
              <w:jc w:val="both"/>
              <w:rPr>
                <w:i/>
                <w:iCs/>
              </w:rPr>
            </w:pPr>
            <w:r w:rsidRPr="005E7D95">
              <w:rPr>
                <w:i/>
                <w:iCs/>
              </w:rPr>
              <w:t xml:space="preserve">(a)a description of the uses of </w:t>
            </w:r>
            <w:r w:rsidR="00954F09" w:rsidRPr="005E7D95">
              <w:rPr>
                <w:i/>
                <w:iCs/>
              </w:rPr>
              <w:t>synthetic polymer microparticles</w:t>
            </w:r>
            <w:r w:rsidRPr="005E7D95">
              <w:rPr>
                <w:i/>
                <w:iCs/>
              </w:rPr>
              <w:t xml:space="preserve"> in the previous calendar </w:t>
            </w:r>
            <w:proofErr w:type="gramStart"/>
            <w:r w:rsidRPr="005E7D95">
              <w:rPr>
                <w:i/>
                <w:iCs/>
              </w:rPr>
              <w:t>year;</w:t>
            </w:r>
            <w:proofErr w:type="gramEnd"/>
          </w:p>
          <w:p w14:paraId="2400E688" w14:textId="77777777" w:rsidR="00565CDB" w:rsidRPr="005E7D95" w:rsidRDefault="00565CDB" w:rsidP="007E3B57">
            <w:pPr>
              <w:spacing w:after="120"/>
              <w:jc w:val="both"/>
              <w:rPr>
                <w:i/>
                <w:iCs/>
              </w:rPr>
            </w:pPr>
            <w:r w:rsidRPr="005E7D95">
              <w:rPr>
                <w:i/>
                <w:iCs/>
              </w:rPr>
              <w:t xml:space="preserve">(b)for each use of synthetic polymer microparticles, generic information on the identity of the polymers </w:t>
            </w:r>
            <w:proofErr w:type="gramStart"/>
            <w:r w:rsidRPr="005E7D95">
              <w:rPr>
                <w:i/>
                <w:iCs/>
              </w:rPr>
              <w:t>used;</w:t>
            </w:r>
            <w:proofErr w:type="gramEnd"/>
          </w:p>
          <w:p w14:paraId="5198AF65" w14:textId="6E89A40C" w:rsidR="00565CDB" w:rsidRPr="005E7D95" w:rsidRDefault="00565CDB" w:rsidP="007E3B57">
            <w:pPr>
              <w:spacing w:after="120"/>
              <w:jc w:val="both"/>
              <w:rPr>
                <w:b/>
                <w:bCs/>
                <w:i/>
                <w:iCs/>
              </w:rPr>
            </w:pPr>
            <w:r w:rsidRPr="005E7D95">
              <w:rPr>
                <w:i/>
                <w:iCs/>
              </w:rPr>
              <w:t xml:space="preserve">(c)for each use of synthetic polymer microparticles, an </w:t>
            </w:r>
            <w:r w:rsidRPr="005E7D95">
              <w:rPr>
                <w:b/>
                <w:bCs/>
                <w:i/>
                <w:iCs/>
              </w:rPr>
              <w:t xml:space="preserve">estimate of the quantity of </w:t>
            </w:r>
            <w:r w:rsidR="00B80924" w:rsidRPr="005E7D95">
              <w:rPr>
                <w:b/>
                <w:bCs/>
                <w:i/>
                <w:iCs/>
              </w:rPr>
              <w:t>SPM</w:t>
            </w:r>
            <w:r w:rsidRPr="005E7D95">
              <w:rPr>
                <w:b/>
                <w:bCs/>
                <w:i/>
                <w:iCs/>
              </w:rPr>
              <w:t xml:space="preserve"> released</w:t>
            </w:r>
            <w:r w:rsidRPr="005E7D95">
              <w:rPr>
                <w:i/>
                <w:iCs/>
              </w:rPr>
              <w:t xml:space="preserve"> to the </w:t>
            </w:r>
            <w:r w:rsidRPr="005E7D95">
              <w:rPr>
                <w:b/>
                <w:bCs/>
                <w:i/>
                <w:iCs/>
              </w:rPr>
              <w:t>environment i</w:t>
            </w:r>
            <w:r w:rsidRPr="005E7D95">
              <w:rPr>
                <w:i/>
                <w:iCs/>
              </w:rPr>
              <w:t xml:space="preserve">n the previous calendar year, which shall include also the quantity of synthetic polymer microparticles </w:t>
            </w:r>
            <w:r w:rsidRPr="005E7D95">
              <w:rPr>
                <w:b/>
                <w:bCs/>
                <w:i/>
                <w:iCs/>
              </w:rPr>
              <w:t>released to the environment during transportation.</w:t>
            </w:r>
          </w:p>
          <w:p w14:paraId="698D942C" w14:textId="77777777" w:rsidR="00565CDB" w:rsidRPr="007E3B57" w:rsidRDefault="00565CDB" w:rsidP="007E3B57">
            <w:pPr>
              <w:spacing w:after="120"/>
              <w:jc w:val="both"/>
              <w:rPr>
                <w:i/>
                <w:iCs/>
                <w:sz w:val="24"/>
                <w:szCs w:val="24"/>
              </w:rPr>
            </w:pPr>
            <w:r w:rsidRPr="005E7D95">
              <w:rPr>
                <w:i/>
                <w:iCs/>
              </w:rPr>
              <w:t>(d) for each use of synthetic polymer microparticles, a reference to the derogation laid down in paragraph 4, point (a).</w:t>
            </w:r>
          </w:p>
        </w:tc>
      </w:tr>
    </w:tbl>
    <w:p w14:paraId="2C774BE1" w14:textId="77777777" w:rsidR="00565CDB" w:rsidRPr="00B90731" w:rsidRDefault="00565CDB" w:rsidP="00565CDB">
      <w:pPr>
        <w:spacing w:after="120"/>
        <w:jc w:val="both"/>
        <w:rPr>
          <w:b/>
          <w:bCs/>
          <w:sz w:val="24"/>
          <w:szCs w:val="24"/>
        </w:rPr>
      </w:pPr>
    </w:p>
    <w:p w14:paraId="519D3D7A" w14:textId="6DA1F2A5" w:rsidR="00565CDB" w:rsidRPr="00B90731" w:rsidRDefault="005141D9" w:rsidP="005141D9">
      <w:pPr>
        <w:pStyle w:val="Pealkiri2"/>
        <w:jc w:val="both"/>
      </w:pPr>
      <w:r>
        <w:t xml:space="preserve">10.5 </w:t>
      </w:r>
      <w:r w:rsidR="00565CDB" w:rsidRPr="00B90731">
        <w:t xml:space="preserve">Will “released to the environment during transportation.” be based on who has custody on the </w:t>
      </w:r>
      <w:r w:rsidR="00F520AF" w:rsidRPr="00B90731">
        <w:t>SPM</w:t>
      </w:r>
      <w:r w:rsidR="00565CDB" w:rsidRPr="00B90731">
        <w:t xml:space="preserve">s / </w:t>
      </w:r>
      <w:proofErr w:type="gramStart"/>
      <w:r w:rsidR="00565CDB" w:rsidRPr="00B90731">
        <w:t>product ?</w:t>
      </w:r>
      <w:proofErr w:type="gramEnd"/>
      <w:r w:rsidR="00565CDB" w:rsidRPr="00B90731">
        <w:t xml:space="preserve"> </w:t>
      </w:r>
    </w:p>
    <w:p w14:paraId="4ED177F2" w14:textId="5DC2FD9E" w:rsidR="00565CDB" w:rsidRPr="006F0ED8" w:rsidRDefault="00565CDB" w:rsidP="005E56E0">
      <w:pPr>
        <w:jc w:val="both"/>
        <w:rPr>
          <w:sz w:val="24"/>
          <w:szCs w:val="24"/>
        </w:rPr>
      </w:pPr>
      <w:r w:rsidRPr="00B53EF8">
        <w:t xml:space="preserve">Legal text refers to manufacturers and industrial users of </w:t>
      </w:r>
      <w:r w:rsidR="0074634B" w:rsidRPr="00B53EF8">
        <w:t>SPM</w:t>
      </w:r>
      <w:r w:rsidRPr="00B53EF8">
        <w:t>s.</w:t>
      </w:r>
      <w:r w:rsidR="0074634B" w:rsidRPr="00B53EF8">
        <w:t xml:space="preserve"> </w:t>
      </w:r>
      <w:r w:rsidRPr="00B53EF8">
        <w:t>At this stage further clarity on the element of reporting transportation losses is required. Ultimately, Commission should provide an answer to this. Transportation is not subject to REACH, however, reporting on losses during transportation is explicitly required in the SPM restricti</w:t>
      </w:r>
      <w:r w:rsidR="0074634B" w:rsidRPr="00B53EF8">
        <w:t>on</w:t>
      </w:r>
      <w:r w:rsidRPr="00B53EF8">
        <w:t>. Double counting (estimation) or under-counting (estimation) should be avoided</w:t>
      </w:r>
      <w:r w:rsidRPr="00223371">
        <w:rPr>
          <w:sz w:val="24"/>
          <w:szCs w:val="24"/>
        </w:rPr>
        <w:t>.</w:t>
      </w:r>
      <w:r>
        <w:br/>
      </w:r>
    </w:p>
    <w:p w14:paraId="54F353BB" w14:textId="70A471E0" w:rsidR="00565CDB" w:rsidRPr="00B90731" w:rsidRDefault="005141D9" w:rsidP="005141D9">
      <w:pPr>
        <w:pStyle w:val="Pealkiri2"/>
        <w:jc w:val="both"/>
      </w:pPr>
      <w:r>
        <w:t xml:space="preserve">10.6 </w:t>
      </w:r>
      <w:r w:rsidR="00565CDB" w:rsidRPr="00B90731">
        <w:t xml:space="preserve">How is the split being made between the different parties (manufacturers / industrial downstream users) that will have to report, in particular on the quantity </w:t>
      </w:r>
      <w:proofErr w:type="gramStart"/>
      <w:r w:rsidR="00565CDB" w:rsidRPr="00B90731">
        <w:t>of  microparticles</w:t>
      </w:r>
      <w:proofErr w:type="gramEnd"/>
      <w:r w:rsidR="00565CDB" w:rsidRPr="00B90731">
        <w:t xml:space="preserve"> released to the environment during transportation ?</w:t>
      </w:r>
    </w:p>
    <w:p w14:paraId="51FD02BC" w14:textId="3F74E709" w:rsidR="00565CDB" w:rsidRPr="00710402" w:rsidRDefault="00A27BAD" w:rsidP="00565CDB">
      <w:pPr>
        <w:rPr>
          <w:color w:val="000000" w:themeColor="text1"/>
        </w:rPr>
      </w:pPr>
      <w:r w:rsidRPr="00710402">
        <w:rPr>
          <w:color w:val="000000" w:themeColor="text1"/>
        </w:rPr>
        <w:t>S</w:t>
      </w:r>
      <w:r w:rsidR="00565CDB" w:rsidRPr="00710402">
        <w:rPr>
          <w:color w:val="000000" w:themeColor="text1"/>
        </w:rPr>
        <w:t xml:space="preserve">ee above </w:t>
      </w:r>
    </w:p>
    <w:p w14:paraId="383D0D8B" w14:textId="644B8D83" w:rsidR="00565CDB" w:rsidRPr="00ED2C7A" w:rsidRDefault="00565CDB" w:rsidP="00ED2C7A">
      <w:pPr>
        <w:rPr>
          <w:color w:val="4472C4" w:themeColor="accent1"/>
          <w:sz w:val="24"/>
          <w:szCs w:val="24"/>
        </w:rPr>
      </w:pPr>
    </w:p>
    <w:p w14:paraId="193D58F4" w14:textId="6ADE58C5" w:rsidR="00565CDB" w:rsidRPr="00B90731" w:rsidRDefault="005141D9" w:rsidP="005141D9">
      <w:pPr>
        <w:pStyle w:val="Pealkiri2"/>
        <w:jc w:val="both"/>
      </w:pPr>
      <w:r>
        <w:t xml:space="preserve">10.7 </w:t>
      </w:r>
      <w:r w:rsidR="00565CDB" w:rsidRPr="00B90731">
        <w:t xml:space="preserve">What in case of </w:t>
      </w:r>
      <w:r w:rsidR="00BB72C6">
        <w:t>distribut</w:t>
      </w:r>
      <w:r w:rsidR="001945DD">
        <w:t>e</w:t>
      </w:r>
      <w:r w:rsidR="00BB72C6">
        <w:t>rs</w:t>
      </w:r>
      <w:r w:rsidR="00565CDB" w:rsidRPr="00B90731">
        <w:t xml:space="preserve">, which are not manufacturers nor industrial downstream users?   </w:t>
      </w:r>
    </w:p>
    <w:p w14:paraId="0EAFC265" w14:textId="4BD3699D" w:rsidR="00565CDB" w:rsidRPr="00ED2C7A" w:rsidRDefault="00565CDB" w:rsidP="00A53861">
      <w:pPr>
        <w:spacing w:line="257" w:lineRule="auto"/>
        <w:jc w:val="both"/>
      </w:pPr>
      <w:r w:rsidRPr="00ED2C7A">
        <w:t xml:space="preserve">For this question, </w:t>
      </w:r>
      <w:proofErr w:type="spellStart"/>
      <w:r w:rsidRPr="00ED2C7A">
        <w:t>Cefic</w:t>
      </w:r>
      <w:proofErr w:type="spellEnd"/>
      <w:r w:rsidRPr="00ED2C7A">
        <w:t xml:space="preserve"> is of the opinion that </w:t>
      </w:r>
      <w:r w:rsidR="00BB72C6">
        <w:t>distributers</w:t>
      </w:r>
      <w:r w:rsidR="00BB72C6" w:rsidRPr="00ED2C7A">
        <w:t xml:space="preserve"> </w:t>
      </w:r>
      <w:r w:rsidRPr="00ED2C7A">
        <w:t>may hold custody while pellets are being transported.</w:t>
      </w:r>
      <w:r w:rsidRPr="00ED2C7A">
        <w:br/>
        <w:t>According to paragraph 11 only manufacturers and industrial downstream users have to report and according to paragraph 12 suppliers of SPM containing products according to paragraph</w:t>
      </w:r>
      <w:r w:rsidR="00A147C4">
        <w:t xml:space="preserve"> </w:t>
      </w:r>
      <w:r w:rsidRPr="00ED2C7A">
        <w:t xml:space="preserve">4 points b, d and e and paragraph 5 which place the product for the first time on the market to professional users or the general public. If a </w:t>
      </w:r>
      <w:r w:rsidR="001945DD">
        <w:t>distrib</w:t>
      </w:r>
      <w:r w:rsidR="00785512">
        <w:t>uter</w:t>
      </w:r>
      <w:r w:rsidR="001945DD" w:rsidRPr="00ED2C7A">
        <w:t xml:space="preserve"> </w:t>
      </w:r>
      <w:r w:rsidRPr="00ED2C7A">
        <w:t xml:space="preserve">does not have either the role as industrial downstream user or is placing the product on the market, </w:t>
      </w:r>
      <w:r w:rsidR="00785512">
        <w:t>distributers</w:t>
      </w:r>
      <w:r w:rsidR="00785512" w:rsidRPr="00ED2C7A">
        <w:t xml:space="preserve"> </w:t>
      </w:r>
      <w:r w:rsidRPr="00ED2C7A">
        <w:t>have no obligation to report. According to Act 3.24 of REACH says that use means any processing, formulation, consumption, storage, keeping, treatment, filling into containers, transfer from one container to another, mixing, production of an article or any other utilization. Additionally, according to Art 3.13 of REACH a distributor or a consumer is not a downstream user.</w:t>
      </w:r>
    </w:p>
    <w:p w14:paraId="07C1495A" w14:textId="77777777" w:rsidR="00565CDB" w:rsidRDefault="00565CDB" w:rsidP="00A53861">
      <w:pPr>
        <w:spacing w:line="257" w:lineRule="auto"/>
        <w:jc w:val="both"/>
        <w:rPr>
          <w:sz w:val="24"/>
          <w:szCs w:val="24"/>
        </w:rPr>
      </w:pPr>
    </w:p>
    <w:p w14:paraId="6EE5E1FC" w14:textId="4C9EC019" w:rsidR="00565CDB" w:rsidRPr="00934FD8" w:rsidRDefault="005141D9" w:rsidP="005141D9">
      <w:pPr>
        <w:pStyle w:val="Pealkiri2"/>
        <w:jc w:val="both"/>
      </w:pPr>
      <w:r>
        <w:t xml:space="preserve">10.8 </w:t>
      </w:r>
      <w:r w:rsidR="00565CDB" w:rsidRPr="00934FD8">
        <w:t xml:space="preserve">What about the full supply </w:t>
      </w:r>
      <w:proofErr w:type="gramStart"/>
      <w:r w:rsidR="00565CDB" w:rsidRPr="00934FD8">
        <w:t>chain ?</w:t>
      </w:r>
      <w:proofErr w:type="gramEnd"/>
      <w:r w:rsidR="00565CDB" w:rsidRPr="00934FD8">
        <w:t xml:space="preserve"> For instance, plastic pellets are manipulated a dozen (or much more times) during transportation when moving from a manufacturer to an industrial downstream user. </w:t>
      </w:r>
    </w:p>
    <w:p w14:paraId="28CD7E64" w14:textId="77777777" w:rsidR="00565CDB" w:rsidRPr="00195FBE" w:rsidRDefault="00565CDB" w:rsidP="00195FBE">
      <w:pPr>
        <w:jc w:val="both"/>
      </w:pPr>
      <w:r w:rsidRPr="00195FBE">
        <w:t>Only industrial downstream users have a reporting obligation according to paragraph 11 and according to paragraph 12 suppliers of SPM containing products according to §4 points b, d and e and §5 which place the product for the first time on the market.</w:t>
      </w:r>
    </w:p>
    <w:p w14:paraId="6E768DEE" w14:textId="77777777" w:rsidR="00565CDB" w:rsidRPr="00195FBE" w:rsidRDefault="00565CDB" w:rsidP="00195FBE">
      <w:pPr>
        <w:spacing w:line="257" w:lineRule="auto"/>
        <w:jc w:val="both"/>
      </w:pPr>
    </w:p>
    <w:p w14:paraId="552FC7DD" w14:textId="4F36B779" w:rsidR="00565CDB" w:rsidRPr="00934FD8" w:rsidRDefault="005141D9" w:rsidP="005141D9">
      <w:pPr>
        <w:pStyle w:val="Pealkiri2"/>
      </w:pPr>
      <w:r>
        <w:t xml:space="preserve">10.9 </w:t>
      </w:r>
      <w:r w:rsidR="00565CDB" w:rsidRPr="00934FD8">
        <w:t xml:space="preserve">What about logistics service providers (KTN / Huver </w:t>
      </w:r>
      <w:proofErr w:type="spellStart"/>
      <w:r w:rsidR="00565CDB" w:rsidRPr="00934FD8">
        <w:t>Geys</w:t>
      </w:r>
      <w:proofErr w:type="spellEnd"/>
      <w:r w:rsidR="00565CDB" w:rsidRPr="00934FD8">
        <w:t xml:space="preserve"> / …</w:t>
      </w:r>
      <w:proofErr w:type="gramStart"/>
      <w:r w:rsidR="00565CDB" w:rsidRPr="00934FD8">
        <w:t>) ?</w:t>
      </w:r>
      <w:proofErr w:type="gramEnd"/>
      <w:r w:rsidR="00565CDB" w:rsidRPr="00934FD8">
        <w:t xml:space="preserve"> Are they considered part of the transportation </w:t>
      </w:r>
      <w:proofErr w:type="gramStart"/>
      <w:r w:rsidR="00565CDB" w:rsidRPr="00934FD8">
        <w:t>chain ?</w:t>
      </w:r>
      <w:proofErr w:type="gramEnd"/>
      <w:r w:rsidR="00565CDB" w:rsidRPr="00934FD8">
        <w:t xml:space="preserve"> </w:t>
      </w:r>
    </w:p>
    <w:p w14:paraId="714D59E9" w14:textId="587BF1E1" w:rsidR="00565CDB" w:rsidRPr="006B0DF2" w:rsidRDefault="00565CDB" w:rsidP="00996844">
      <w:pPr>
        <w:jc w:val="both"/>
      </w:pPr>
      <w:r w:rsidRPr="006B0DF2">
        <w:rPr>
          <w:b/>
          <w:bCs/>
        </w:rPr>
        <w:t>No</w:t>
      </w:r>
      <w:r w:rsidRPr="006B0DF2">
        <w:t>, only in case they use the substance (s. above). They do not have to report, but the manufacturer/ industrial downstream user must estimate environmental emissions, including releases during transportation.</w:t>
      </w:r>
    </w:p>
    <w:p w14:paraId="268E98C4" w14:textId="77777777" w:rsidR="006B0DF2" w:rsidRDefault="006B0DF2" w:rsidP="006B0DF2">
      <w:pPr>
        <w:rPr>
          <w:color w:val="4472C4" w:themeColor="accent1"/>
          <w:sz w:val="24"/>
          <w:szCs w:val="24"/>
        </w:rPr>
      </w:pPr>
    </w:p>
    <w:p w14:paraId="3500546F" w14:textId="0E670FB6" w:rsidR="00565CDB" w:rsidRPr="00A26BF8" w:rsidRDefault="00917B9C" w:rsidP="00917B9C">
      <w:pPr>
        <w:pStyle w:val="Pealkiri2"/>
      </w:pPr>
      <w:r>
        <w:t xml:space="preserve">10.10 </w:t>
      </w:r>
      <w:r w:rsidR="00565CDB" w:rsidRPr="00A26BF8">
        <w:t xml:space="preserve">Is the ‘geographical scope’ that needs to be considered for reporting of losses (and description of the uses), restricted to the plastic pellets handled in the </w:t>
      </w:r>
      <w:proofErr w:type="gramStart"/>
      <w:r w:rsidR="00565CDB" w:rsidRPr="00A26BF8">
        <w:t>EU ?</w:t>
      </w:r>
      <w:proofErr w:type="gramEnd"/>
    </w:p>
    <w:p w14:paraId="5D5A32B6" w14:textId="77777777" w:rsidR="00565CDB" w:rsidRPr="006B0DF2" w:rsidRDefault="00565CDB" w:rsidP="00565CDB">
      <w:pPr>
        <w:spacing w:line="257" w:lineRule="auto"/>
        <w:jc w:val="both"/>
      </w:pPr>
      <w:r w:rsidRPr="006B0DF2">
        <w:t>REACH applies to EEA (European Economic Area). Therefore, reporting applies to manufacturing, use and placing of the market of products in EEA for the uses and products covered under paragraphs 11 and 12.</w:t>
      </w:r>
    </w:p>
    <w:p w14:paraId="68585D36" w14:textId="77777777" w:rsidR="00565CDB" w:rsidRPr="00223371" w:rsidRDefault="00565CDB" w:rsidP="00565CDB">
      <w:pPr>
        <w:spacing w:line="257" w:lineRule="auto"/>
        <w:jc w:val="both"/>
        <w:rPr>
          <w:sz w:val="24"/>
          <w:szCs w:val="24"/>
        </w:rPr>
      </w:pPr>
    </w:p>
    <w:p w14:paraId="20FCCC71" w14:textId="07E9BA60" w:rsidR="00565CDB" w:rsidRPr="00A26BF8" w:rsidRDefault="00917B9C" w:rsidP="00917B9C">
      <w:pPr>
        <w:pStyle w:val="Pealkiri2"/>
        <w:jc w:val="both"/>
      </w:pPr>
      <w:r>
        <w:t xml:space="preserve">10.11 </w:t>
      </w:r>
      <w:r w:rsidR="00565CDB" w:rsidRPr="00A26BF8">
        <w:t xml:space="preserve">Will an (online)- tool for reporting be provided by ECHA? The Agency is named in paragraphs 11 and 12 of the restriction proposal as recipient of the data that must be reported each year) </w:t>
      </w:r>
    </w:p>
    <w:p w14:paraId="1A399980" w14:textId="77777777" w:rsidR="00565CDB" w:rsidRPr="006B0DF2" w:rsidRDefault="00565CDB" w:rsidP="00565CDB">
      <w:pPr>
        <w:jc w:val="both"/>
      </w:pPr>
      <w:r w:rsidRPr="006B0DF2">
        <w:t>Yes, ECHA is working on an IT tool and emission data will be reported to ECHA.</w:t>
      </w:r>
    </w:p>
    <w:p w14:paraId="2EC2788D" w14:textId="77777777" w:rsidR="00565CDB" w:rsidRPr="00917B9C" w:rsidRDefault="00565CDB" w:rsidP="00917B9C">
      <w:pPr>
        <w:pStyle w:val="Pealkiri2"/>
      </w:pPr>
    </w:p>
    <w:p w14:paraId="759783C6" w14:textId="53A36CC3" w:rsidR="00565CDB" w:rsidRPr="00917B9C" w:rsidRDefault="00917B9C" w:rsidP="00917B9C">
      <w:pPr>
        <w:pStyle w:val="Pealkiri2"/>
        <w:rPr>
          <w:color w:val="4472C4" w:themeColor="accent1"/>
        </w:rPr>
      </w:pPr>
      <w:r>
        <w:rPr>
          <w:color w:val="4472C4" w:themeColor="accent1"/>
        </w:rPr>
        <w:t xml:space="preserve">10.12 </w:t>
      </w:r>
      <w:r w:rsidR="00565CDB" w:rsidRPr="00917B9C">
        <w:rPr>
          <w:color w:val="4472C4" w:themeColor="accent1"/>
        </w:rPr>
        <w:t xml:space="preserve">Which data format will be required for reporting? </w:t>
      </w:r>
    </w:p>
    <w:p w14:paraId="3A3D72E4" w14:textId="77777777" w:rsidR="00565CDB" w:rsidRPr="006B0DF2" w:rsidRDefault="00565CDB" w:rsidP="00565CDB">
      <w:pPr>
        <w:jc w:val="both"/>
        <w:rPr>
          <w:rFonts w:eastAsia="Times New Roman"/>
          <w:color w:val="000000" w:themeColor="text1"/>
        </w:rPr>
      </w:pPr>
      <w:r w:rsidRPr="006B0DF2">
        <w:rPr>
          <w:rFonts w:eastAsia="Times New Roman"/>
          <w:color w:val="000000" w:themeColor="text1"/>
        </w:rPr>
        <w:t xml:space="preserve">This is unknown to industry yet. </w:t>
      </w:r>
    </w:p>
    <w:p w14:paraId="626D714A" w14:textId="77777777" w:rsidR="00565CDB" w:rsidRPr="00953768" w:rsidRDefault="00565CDB" w:rsidP="00565CDB">
      <w:pPr>
        <w:jc w:val="both"/>
        <w:rPr>
          <w:rFonts w:eastAsia="Times New Roman" w:cstheme="minorHAnsi"/>
          <w:color w:val="000000" w:themeColor="text1"/>
          <w:sz w:val="24"/>
          <w:szCs w:val="24"/>
        </w:rPr>
      </w:pPr>
    </w:p>
    <w:p w14:paraId="6F25F409" w14:textId="589DAA17" w:rsidR="00565CDB" w:rsidRPr="00A26BF8" w:rsidRDefault="00917B9C" w:rsidP="00917B9C">
      <w:pPr>
        <w:pStyle w:val="Pealkiri2"/>
        <w:jc w:val="both"/>
      </w:pPr>
      <w:r>
        <w:t xml:space="preserve">10.13 </w:t>
      </w:r>
      <w:r w:rsidR="00565CDB" w:rsidRPr="00A26BF8">
        <w:t xml:space="preserve">How emissions are supposed to be estimated and reported during transportation, knowing that a transporter can transfer different types of products not all from same company at the same time? </w:t>
      </w:r>
    </w:p>
    <w:p w14:paraId="63262330" w14:textId="6D9BCE20" w:rsidR="00565CDB" w:rsidRPr="006B0DF2" w:rsidRDefault="00565CDB" w:rsidP="00565CDB">
      <w:pPr>
        <w:jc w:val="both"/>
      </w:pPr>
      <w:r w:rsidRPr="006B0DF2">
        <w:t>Environmental emission data can be estimated.</w:t>
      </w:r>
    </w:p>
    <w:p w14:paraId="4920CC18" w14:textId="0D3F9FCF" w:rsidR="00565CDB" w:rsidRPr="003D485F" w:rsidRDefault="00565CDB" w:rsidP="00565CDB">
      <w:pPr>
        <w:jc w:val="both"/>
        <w:rPr>
          <w:sz w:val="24"/>
          <w:szCs w:val="24"/>
        </w:rPr>
      </w:pPr>
    </w:p>
    <w:p w14:paraId="6D558A1D" w14:textId="3693A811" w:rsidR="00565CDB" w:rsidRPr="00A26BF8" w:rsidRDefault="0096131C" w:rsidP="0096131C">
      <w:pPr>
        <w:pStyle w:val="Pealkiri2"/>
        <w:jc w:val="both"/>
      </w:pPr>
      <w:r>
        <w:t xml:space="preserve">10.14 </w:t>
      </w:r>
      <w:r w:rsidR="00565CDB" w:rsidRPr="00A26BF8">
        <w:t>Regarding paragraph 15 assuming the following situation:</w:t>
      </w:r>
      <w:r w:rsidR="00565CDB" w:rsidRPr="00A26BF8">
        <w:rPr>
          <w:color w:val="000000" w:themeColor="text1"/>
        </w:rPr>
        <w:t xml:space="preserve"> </w:t>
      </w:r>
      <w:r w:rsidR="00565CDB" w:rsidRPr="00A26BF8">
        <w:t>Company 1: producer of biodegradable polymer (particle size &lt;5 mm), as proved in accordance with Appendix Company 2: purchases biodegradable polymer from Company 1 and reworks polymer without changing compositional properties of the biodegradable polymer from Company 1 (</w:t>
      </w:r>
      <w:r w:rsidR="00565CDB" w:rsidRPr="00A26BF8">
        <w:rPr>
          <w:i/>
          <w:iCs/>
        </w:rPr>
        <w:t>Company 1 provides polymer biodegradation certificate</w:t>
      </w:r>
      <w:r w:rsidR="00565CDB" w:rsidRPr="00A26BF8">
        <w:t>)</w:t>
      </w:r>
      <w:r w:rsidR="003F278E" w:rsidRPr="00A26BF8">
        <w:t xml:space="preserve"> </w:t>
      </w:r>
      <w:r w:rsidR="00565CDB" w:rsidRPr="00A26BF8">
        <w:t>Company 3: Purchases biodegradable polymer reworked by Company 2, formulates the final product (i.e. make-up application) and places it on the market (</w:t>
      </w:r>
      <w:r w:rsidR="00565CDB" w:rsidRPr="00A26BF8">
        <w:rPr>
          <w:i/>
          <w:iCs/>
        </w:rPr>
        <w:t>Company 2 provides Company 1 polymer biodegradation certificate</w:t>
      </w:r>
      <w:r w:rsidR="00565CDB" w:rsidRPr="00A26BF8">
        <w:t>)Is the new Restriction changing the current industry model where company 2 and company 3 can use the biodegradability certificate from company 1? Which company should provide a biodegradability certificate? Only Company 1? (</w:t>
      </w:r>
      <w:proofErr w:type="spellStart"/>
      <w:proofErr w:type="gramStart"/>
      <w:r w:rsidR="00565CDB" w:rsidRPr="00A26BF8">
        <w:t>cfr</w:t>
      </w:r>
      <w:proofErr w:type="spellEnd"/>
      <w:proofErr w:type="gramEnd"/>
      <w:r w:rsidR="00565CDB" w:rsidRPr="00A26BF8">
        <w:t xml:space="preserve">. current industry model) Or all 3 companies? </w:t>
      </w:r>
    </w:p>
    <w:p w14:paraId="79326F29" w14:textId="77777777" w:rsidR="00565CDB" w:rsidRPr="008F7EB6" w:rsidRDefault="00565CDB" w:rsidP="0096131C">
      <w:pPr>
        <w:pStyle w:val="Pealkiri2"/>
        <w:jc w:val="both"/>
        <w:rPr>
          <w:rFonts w:asciiTheme="minorHAnsi" w:hAnsiTheme="minorHAnsi" w:cstheme="minorHAnsi"/>
          <w:color w:val="000000" w:themeColor="text1"/>
          <w:sz w:val="22"/>
          <w:szCs w:val="22"/>
        </w:rPr>
      </w:pPr>
      <w:r w:rsidRPr="008F7EB6">
        <w:rPr>
          <w:rFonts w:asciiTheme="minorHAnsi" w:hAnsiTheme="minorHAnsi" w:cstheme="minorHAnsi"/>
          <w:color w:val="000000" w:themeColor="text1"/>
          <w:sz w:val="22"/>
          <w:szCs w:val="22"/>
        </w:rPr>
        <w:t>In the case every company is expected to provide a biodegradability certificate on their product, is it acceptable to provide a rationale on the unchanged compositional properties of the biodegradable polymer.</w:t>
      </w:r>
      <w:r w:rsidRPr="008F7EB6">
        <w:rPr>
          <w:rFonts w:asciiTheme="minorHAnsi" w:hAnsiTheme="minorHAnsi" w:cstheme="minorHAnsi"/>
          <w:sz w:val="22"/>
          <w:szCs w:val="22"/>
        </w:rPr>
        <w:br/>
      </w:r>
      <w:r w:rsidRPr="008F7EB6">
        <w:rPr>
          <w:rFonts w:asciiTheme="minorHAnsi" w:hAnsiTheme="minorHAnsi" w:cstheme="minorHAnsi"/>
          <w:color w:val="000000" w:themeColor="text1"/>
          <w:sz w:val="22"/>
          <w:szCs w:val="22"/>
        </w:rPr>
        <w:t xml:space="preserve"> If company 2 does not chemically modify the polymer, the assessment of company 1 should still be valid. Information flow and roles in case of inspection are detailed in paragraphs 14 and 15.</w:t>
      </w:r>
    </w:p>
    <w:p w14:paraId="1EDF7E05" w14:textId="77777777" w:rsidR="00565CDB" w:rsidRPr="000B346B" w:rsidRDefault="00565CDB" w:rsidP="00565CDB">
      <w:pPr>
        <w:spacing w:line="240" w:lineRule="auto"/>
        <w:rPr>
          <w:rFonts w:cs="Calibri"/>
          <w:color w:val="000000" w:themeColor="text1"/>
        </w:rPr>
      </w:pPr>
    </w:p>
    <w:p w14:paraId="2E5BBA9C" w14:textId="37184833" w:rsidR="00565CDB" w:rsidRPr="00A26BF8" w:rsidRDefault="008F7EB6" w:rsidP="0096131C">
      <w:pPr>
        <w:pStyle w:val="Pealkiri2"/>
        <w:jc w:val="both"/>
      </w:pPr>
      <w:r>
        <w:t xml:space="preserve">10.15 </w:t>
      </w:r>
      <w:r w:rsidR="00565CDB" w:rsidRPr="00A26BF8">
        <w:t xml:space="preserve">When are applicable the information laid down in points from 2.2 to 2.2.3 and points 2.3.5, 2.3.6 and 2.3.7 of Annex VI? </w:t>
      </w:r>
    </w:p>
    <w:p w14:paraId="37F84068" w14:textId="77777777" w:rsidR="00565CDB" w:rsidRPr="000B346B" w:rsidRDefault="00565CDB" w:rsidP="00565CDB">
      <w:pPr>
        <w:jc w:val="both"/>
        <w:rPr>
          <w:rFonts w:eastAsiaTheme="minorEastAsia"/>
          <w:color w:val="000000" w:themeColor="text1"/>
        </w:rPr>
      </w:pPr>
      <w:r w:rsidRPr="000B346B">
        <w:rPr>
          <w:rFonts w:eastAsiaTheme="minorEastAsia"/>
          <w:color w:val="000000" w:themeColor="text1"/>
        </w:rPr>
        <w:t>In appendix 15.3 the requirements for test materials in degradation tests are described.</w:t>
      </w:r>
    </w:p>
    <w:p w14:paraId="2503851C" w14:textId="77777777" w:rsidR="00565CDB" w:rsidRPr="000B346B" w:rsidRDefault="00565CDB" w:rsidP="000B346B">
      <w:pPr>
        <w:jc w:val="both"/>
        <w:rPr>
          <w:rFonts w:eastAsiaTheme="minorEastAsia"/>
          <w:color w:val="000000" w:themeColor="text1"/>
        </w:rPr>
      </w:pPr>
    </w:p>
    <w:p w14:paraId="49D2B25F" w14:textId="64842ED2" w:rsidR="00565CDB" w:rsidRPr="00A26BF8" w:rsidRDefault="00EB3ABE" w:rsidP="00EB3ABE">
      <w:pPr>
        <w:pStyle w:val="Pealkiri2"/>
        <w:jc w:val="both"/>
      </w:pPr>
      <w:r>
        <w:t xml:space="preserve">10.16 </w:t>
      </w:r>
      <w:r w:rsidR="00565CDB" w:rsidRPr="00A26BF8">
        <w:t>Recital. 58 states (reporting requirements): “To avoid double reporting, when there is more than one actor in the supply chain placing on the market the same product containing synthetic polymer microparticles, only the first actor within that supply chain should provide the required information to the Agency.”</w:t>
      </w:r>
      <w:r w:rsidR="00565CDB" w:rsidRPr="00A26BF8">
        <w:rPr>
          <w:rFonts w:eastAsiaTheme="minorEastAsia"/>
        </w:rPr>
        <w:t xml:space="preserve"> What is meant with „the same </w:t>
      </w:r>
      <w:proofErr w:type="gramStart"/>
      <w:r w:rsidR="00565CDB" w:rsidRPr="00A26BF8">
        <w:rPr>
          <w:rFonts w:eastAsiaTheme="minorEastAsia"/>
        </w:rPr>
        <w:t>product“ as</w:t>
      </w:r>
      <w:proofErr w:type="gramEnd"/>
      <w:r w:rsidR="00565CDB" w:rsidRPr="00A26BF8">
        <w:rPr>
          <w:rFonts w:eastAsiaTheme="minorEastAsia"/>
        </w:rPr>
        <w:t xml:space="preserve"> this is critical for the decision who has to report. Does the „same </w:t>
      </w:r>
      <w:proofErr w:type="gramStart"/>
      <w:r w:rsidR="00565CDB" w:rsidRPr="00A26BF8">
        <w:rPr>
          <w:rFonts w:eastAsiaTheme="minorEastAsia"/>
        </w:rPr>
        <w:t>product“ mean</w:t>
      </w:r>
      <w:proofErr w:type="gramEnd"/>
      <w:r w:rsidR="00565CDB" w:rsidRPr="00A26BF8">
        <w:rPr>
          <w:rFonts w:eastAsiaTheme="minorEastAsia"/>
        </w:rPr>
        <w:t xml:space="preserve"> it‘s the same microplastic or</w:t>
      </w:r>
      <w:r w:rsidR="00BC3E61" w:rsidRPr="00A26BF8">
        <w:t xml:space="preserve"> </w:t>
      </w:r>
      <w:r w:rsidR="00565CDB" w:rsidRPr="00A26BF8">
        <w:rPr>
          <w:rFonts w:eastAsiaTheme="minorEastAsia"/>
        </w:rPr>
        <w:t>is each different formulation a new product? Please see the Power-Point slide for a comprehensive illustration:</w:t>
      </w:r>
    </w:p>
    <w:p w14:paraId="3311CFA3" w14:textId="4AEC5ADE" w:rsidR="00565CDB" w:rsidRDefault="00565CDB" w:rsidP="00565CDB">
      <w:pPr>
        <w:jc w:val="center"/>
      </w:pPr>
      <w:r>
        <w:rPr>
          <w:noProof/>
        </w:rPr>
        <w:drawing>
          <wp:inline distT="0" distB="0" distL="0" distR="0" wp14:anchorId="35979253" wp14:editId="439634D6">
            <wp:extent cx="6221824" cy="3481705"/>
            <wp:effectExtent l="0" t="0" r="7620" b="4445"/>
            <wp:docPr id="1132438098" name="Grafik 1132438098"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438098"/>
                    <pic:cNvPicPr/>
                  </pic:nvPicPr>
                  <pic:blipFill>
                    <a:blip r:embed="rId30">
                      <a:extLst>
                        <a:ext uri="{28A0092B-C50C-407E-A947-70E740481C1C}">
                          <a14:useLocalDpi xmlns:a14="http://schemas.microsoft.com/office/drawing/2010/main" val="0"/>
                        </a:ext>
                      </a:extLst>
                    </a:blip>
                    <a:stretch>
                      <a:fillRect/>
                    </a:stretch>
                  </pic:blipFill>
                  <pic:spPr>
                    <a:xfrm>
                      <a:off x="0" y="0"/>
                      <a:ext cx="6261366" cy="3503832"/>
                    </a:xfrm>
                    <a:prstGeom prst="rect">
                      <a:avLst/>
                    </a:prstGeom>
                  </pic:spPr>
                </pic:pic>
              </a:graphicData>
            </a:graphic>
          </wp:inline>
        </w:drawing>
      </w:r>
    </w:p>
    <w:p w14:paraId="4D5773FC" w14:textId="77777777" w:rsidR="00565CDB" w:rsidRPr="00BC3E61" w:rsidRDefault="00565CDB" w:rsidP="00565CDB">
      <w:pPr>
        <w:jc w:val="both"/>
      </w:pPr>
    </w:p>
    <w:p w14:paraId="2F09673C" w14:textId="77777777" w:rsidR="00565CDB" w:rsidRPr="00BC3E61" w:rsidRDefault="00565CDB" w:rsidP="00565CDB">
      <w:pPr>
        <w:jc w:val="both"/>
      </w:pPr>
      <w:r w:rsidRPr="00BC3E61">
        <w:t xml:space="preserve">Companies </w:t>
      </w:r>
      <w:proofErr w:type="gramStart"/>
      <w:r w:rsidRPr="00BC3E61">
        <w:t>have to</w:t>
      </w:r>
      <w:proofErr w:type="gramEnd"/>
      <w:r w:rsidRPr="00BC3E61">
        <w:t xml:space="preserve"> report the uses. If a company has the same SPM for different uses, companies </w:t>
      </w:r>
      <w:proofErr w:type="gramStart"/>
      <w:r w:rsidRPr="00BC3E61">
        <w:t>have to</w:t>
      </w:r>
      <w:proofErr w:type="gramEnd"/>
      <w:r w:rsidRPr="00BC3E61">
        <w:t xml:space="preserve"> report for each end use. If multiple polymers are used in the same end use, the report can be done as the sum of all (however it might depend on how the IT tool is prepared).</w:t>
      </w:r>
    </w:p>
    <w:p w14:paraId="16CA36BA" w14:textId="77777777" w:rsidR="00565CDB" w:rsidRDefault="00565CDB" w:rsidP="00565CDB">
      <w:pPr>
        <w:ind w:left="284"/>
        <w:jc w:val="both"/>
        <w:rPr>
          <w:sz w:val="24"/>
          <w:szCs w:val="24"/>
        </w:rPr>
      </w:pPr>
    </w:p>
    <w:p w14:paraId="5023108B" w14:textId="486AB8F7" w:rsidR="00565CDB" w:rsidRPr="00A26BF8" w:rsidRDefault="00FA02FD" w:rsidP="00FA02FD">
      <w:pPr>
        <w:pStyle w:val="Pealkiri2"/>
        <w:jc w:val="both"/>
      </w:pPr>
      <w:r>
        <w:t xml:space="preserve">10.17 </w:t>
      </w:r>
      <w:r w:rsidR="00565CDB" w:rsidRPr="00A26BF8">
        <w:t xml:space="preserve">Which part of the release during transportation shall be considered in case of import from a non-EU manufacturer? </w:t>
      </w:r>
    </w:p>
    <w:p w14:paraId="35D4ABA8" w14:textId="77777777" w:rsidR="00565CDB" w:rsidRPr="00BC3E61" w:rsidRDefault="00565CDB" w:rsidP="00565CDB">
      <w:pPr>
        <w:jc w:val="both"/>
      </w:pPr>
      <w:r w:rsidRPr="00BC3E61">
        <w:t>REACH applies to the European economic area. Therefore, also only releases to the EEA environment should be in scope.</w:t>
      </w:r>
    </w:p>
    <w:p w14:paraId="3ACA0B7F" w14:textId="77777777" w:rsidR="00565CDB" w:rsidRPr="00376144" w:rsidRDefault="00565CDB" w:rsidP="00565CDB">
      <w:pPr>
        <w:jc w:val="both"/>
        <w:rPr>
          <w:sz w:val="24"/>
          <w:szCs w:val="24"/>
        </w:rPr>
      </w:pPr>
    </w:p>
    <w:p w14:paraId="7427DB34" w14:textId="117ED2B6" w:rsidR="00565CDB" w:rsidRPr="00A26BF8" w:rsidRDefault="00FA02FD" w:rsidP="00FA02FD">
      <w:pPr>
        <w:pStyle w:val="Pealkiri2"/>
        <w:jc w:val="both"/>
      </w:pPr>
      <w:r>
        <w:t xml:space="preserve">10.18 </w:t>
      </w:r>
      <w:r w:rsidR="00565CDB" w:rsidRPr="00A26BF8">
        <w:t xml:space="preserve">Which of the deadlines and duties for labelling and/or reporting applies if a company uses for example synthetic polymer microparticles at an industrial site to manufacture/formulate a fertilizer or a medical device, which </w:t>
      </w:r>
      <w:proofErr w:type="gramStart"/>
      <w:r w:rsidR="00565CDB" w:rsidRPr="00A26BF8">
        <w:t>in itself falls</w:t>
      </w:r>
      <w:proofErr w:type="gramEnd"/>
      <w:r w:rsidR="00565CDB" w:rsidRPr="00A26BF8">
        <w:t xml:space="preserve"> under the definition of synthetic polymer microparticles? </w:t>
      </w:r>
    </w:p>
    <w:p w14:paraId="0B94E9A9" w14:textId="0FA5B196" w:rsidR="00565CDB" w:rsidRPr="00BC3E61" w:rsidRDefault="005840E6" w:rsidP="00565CDB">
      <w:pPr>
        <w:jc w:val="both"/>
        <w:rPr>
          <w:rFonts w:eastAsia="Lucida Sans Unicode"/>
        </w:rPr>
      </w:pPr>
      <w:r>
        <w:rPr>
          <w:rFonts w:eastAsia="Lucida Sans Unicode"/>
        </w:rPr>
        <w:t>U</w:t>
      </w:r>
      <w:r w:rsidR="00565CDB" w:rsidRPr="00BC3E61">
        <w:rPr>
          <w:rFonts w:eastAsia="Lucida Sans Unicode"/>
        </w:rPr>
        <w:t>nless you are using or producing SPM in form of flakes or powders used as feedstock in plastic manufacturing, all dates are the same (31</w:t>
      </w:r>
      <w:r w:rsidR="00565CDB" w:rsidRPr="00BC3E61">
        <w:rPr>
          <w:rFonts w:eastAsia="Lucida Sans Unicode"/>
          <w:vertAlign w:val="superscript"/>
        </w:rPr>
        <w:t>st</w:t>
      </w:r>
      <w:r w:rsidR="00565CDB" w:rsidRPr="00BC3E61">
        <w:rPr>
          <w:rFonts w:eastAsia="Lucida Sans Unicode"/>
        </w:rPr>
        <w:t xml:space="preserve"> May 2027 for the uses in the year 2026). The content of the reporting is different (for the material you use and for the material you place on the market).</w:t>
      </w:r>
    </w:p>
    <w:p w14:paraId="6AD4B0BD" w14:textId="77777777" w:rsidR="00565CDB" w:rsidRPr="00376144" w:rsidRDefault="00565CDB" w:rsidP="00565CDB">
      <w:pPr>
        <w:jc w:val="both"/>
        <w:rPr>
          <w:sz w:val="24"/>
          <w:szCs w:val="24"/>
        </w:rPr>
      </w:pPr>
    </w:p>
    <w:p w14:paraId="4FF504EE" w14:textId="667C979F" w:rsidR="00565CDB" w:rsidRPr="00A26BF8" w:rsidRDefault="00131C03" w:rsidP="00FA02FD">
      <w:pPr>
        <w:pStyle w:val="Pealkiri2"/>
        <w:jc w:val="both"/>
      </w:pPr>
      <w:r>
        <w:t xml:space="preserve">10.19 </w:t>
      </w:r>
      <w:r w:rsidR="00565CDB" w:rsidRPr="00A26BF8">
        <w:t xml:space="preserve">Who has the duty to report in case a company has different sites and different legal </w:t>
      </w:r>
      <w:r w:rsidR="00565CDB" w:rsidRPr="00A26BF8">
        <w:rPr>
          <w:rFonts w:eastAsia="Calibri"/>
        </w:rPr>
        <w:t xml:space="preserve">entities in Europe? </w:t>
      </w:r>
      <w:r w:rsidR="00565CDB" w:rsidRPr="00A26BF8">
        <w:t xml:space="preserve">Is this at site, legal entity or </w:t>
      </w:r>
      <w:proofErr w:type="gramStart"/>
      <w:r w:rsidR="00565CDB" w:rsidRPr="00A26BF8">
        <w:t>Corporate</w:t>
      </w:r>
      <w:proofErr w:type="gramEnd"/>
      <w:r w:rsidR="00565CDB" w:rsidRPr="00A26BF8">
        <w:t xml:space="preserve"> level? </w:t>
      </w:r>
    </w:p>
    <w:p w14:paraId="599B5180" w14:textId="77777777" w:rsidR="00565CDB" w:rsidRPr="00BC3E61" w:rsidRDefault="00565CDB" w:rsidP="00565CDB">
      <w:pPr>
        <w:spacing w:line="252" w:lineRule="auto"/>
      </w:pPr>
      <w:r w:rsidRPr="00BC3E61">
        <w:t xml:space="preserve">Any reporting is for emission of SPM per Legal entity. </w:t>
      </w:r>
    </w:p>
    <w:p w14:paraId="36928D78" w14:textId="77777777" w:rsidR="00565CDB" w:rsidRPr="00376144" w:rsidRDefault="00565CDB" w:rsidP="00565CDB">
      <w:pPr>
        <w:spacing w:line="252" w:lineRule="auto"/>
        <w:rPr>
          <w:sz w:val="24"/>
          <w:szCs w:val="24"/>
        </w:rPr>
      </w:pPr>
    </w:p>
    <w:p w14:paraId="2F49F2A3" w14:textId="08AEFD88" w:rsidR="00565CDB" w:rsidRDefault="00131C03" w:rsidP="00FA02FD">
      <w:pPr>
        <w:pStyle w:val="Pealkiri2"/>
        <w:jc w:val="both"/>
      </w:pPr>
      <w:r>
        <w:t xml:space="preserve">10.20 </w:t>
      </w:r>
      <w:r w:rsidR="00565CDB" w:rsidRPr="00A26BF8">
        <w:t xml:space="preserve">Can an industrial downstream user </w:t>
      </w:r>
      <w:proofErr w:type="gramStart"/>
      <w:r w:rsidR="00565CDB" w:rsidRPr="00A26BF8">
        <w:t>rely</w:t>
      </w:r>
      <w:proofErr w:type="gramEnd"/>
      <w:r w:rsidR="00565CDB" w:rsidRPr="00A26BF8">
        <w:t xml:space="preserve"> and refer to the results of solubility and degradability tests carried out by its suppliers when competent authorities request this information from him by reference to paragraph 15, provided that he can ensure that the polymer in its product remains physically and chemically unchanged? </w:t>
      </w:r>
    </w:p>
    <w:p w14:paraId="43675F97" w14:textId="77777777" w:rsidR="00565CDB" w:rsidRPr="00935FD8" w:rsidRDefault="00565CDB" w:rsidP="00565CDB">
      <w:pPr>
        <w:spacing w:line="252" w:lineRule="auto"/>
        <w:jc w:val="both"/>
      </w:pPr>
      <w:r w:rsidRPr="00935FD8">
        <w:t>If the supplier of a polymer has proven that the polymer is excluded from the SPM restriction (soluble, biodegradable, etc.), there is no legal requirement to inform the downstream (industrial) user on the presence of that polymer. If no information has arrived until 25</w:t>
      </w:r>
      <w:r w:rsidRPr="00935FD8">
        <w:rPr>
          <w:vertAlign w:val="superscript"/>
        </w:rPr>
        <w:t>th</w:t>
      </w:r>
      <w:r w:rsidRPr="00935FD8">
        <w:t xml:space="preserve"> October 2027, the industrial downstream user can rely on that conclusion and does not have to prove it again. However, if the industrial downstream user is making changes to the polymer (adding acid/base, salts, increasing concentration, </w:t>
      </w:r>
      <w:proofErr w:type="spellStart"/>
      <w:r w:rsidRPr="00935FD8">
        <w:t>etc</w:t>
      </w:r>
      <w:proofErr w:type="spellEnd"/>
      <w:r w:rsidRPr="00935FD8">
        <w:t>) an assessment should be done inhouse if that change may impact the SPM status.</w:t>
      </w:r>
    </w:p>
    <w:p w14:paraId="59E0A26C" w14:textId="3FE030E5" w:rsidR="00565CDB" w:rsidRPr="00A26BF8" w:rsidRDefault="00131C03" w:rsidP="00FA02FD">
      <w:pPr>
        <w:pStyle w:val="Pealkiri2"/>
        <w:jc w:val="both"/>
      </w:pPr>
      <w:r>
        <w:t xml:space="preserve">10.21 </w:t>
      </w:r>
      <w:r w:rsidR="00565CDB" w:rsidRPr="00A26BF8">
        <w:t xml:space="preserve">As stated in Paragraph 12. “From … [Publications Office, please insert the calendar year in which the date 36 months after the date of entry into force of this amending Regulation falls. However, if this calculated date is later in the year than 31 May, please insert the following calendar year], suppliers of products containing synthetic polymer microparticles referred to in paragraphs 4, points (b), (d) and (e), and paragraph 5, placed on the market for the first time to professional users and the general public, shall submit the following information to the Agency by 31 May of each year:…”Does it mean that the information above have to be submitted to ECHA, for products containing synthetic polymer microparticles referred to in paragraph 4, points (b), (d) and (e), and paragraph 5 only in case of new product placed on the market after EIF+36 months? If not, starting from EIF+ 36 months, do we to have send the information to ECHA (ref. paragraph 12) each year (within 31 May) for all the products containing synthetic polymer microparticles referred to in paragraph 4, points (b), (d) and (e) and paragraph 5?  </w:t>
      </w:r>
    </w:p>
    <w:p w14:paraId="0A6127C9" w14:textId="77777777" w:rsidR="00565CDB" w:rsidRPr="00BB2E41" w:rsidRDefault="00565CDB" w:rsidP="00565CDB">
      <w:pPr>
        <w:spacing w:line="252" w:lineRule="auto"/>
        <w:jc w:val="both"/>
      </w:pPr>
      <w:r w:rsidRPr="00BB2E41">
        <w:t xml:space="preserve">The reporting obligation is for all emission of the year prior to the date of the reporting. This </w:t>
      </w:r>
      <w:proofErr w:type="gramStart"/>
      <w:r w:rsidRPr="00BB2E41">
        <w:t>has to</w:t>
      </w:r>
      <w:proofErr w:type="gramEnd"/>
      <w:r w:rsidRPr="00BB2E41">
        <w:t xml:space="preserve"> be done annually for all uses of the SPM and if derogation 5 is applicable also for all intended end uses outside industrial sites.</w:t>
      </w:r>
    </w:p>
    <w:p w14:paraId="4C40030A" w14:textId="77777777" w:rsidR="00565CDB" w:rsidRPr="00FB0A3D" w:rsidRDefault="00565CDB" w:rsidP="00565CDB">
      <w:pPr>
        <w:spacing w:line="252" w:lineRule="auto"/>
        <w:jc w:val="both"/>
        <w:rPr>
          <w:sz w:val="24"/>
          <w:szCs w:val="24"/>
        </w:rPr>
      </w:pPr>
    </w:p>
    <w:p w14:paraId="29349616" w14:textId="12E9B6F7" w:rsidR="00565CDB" w:rsidRPr="00A26BF8" w:rsidRDefault="00131C03" w:rsidP="00FA02FD">
      <w:pPr>
        <w:pStyle w:val="Pealkiri2"/>
        <w:jc w:val="both"/>
      </w:pPr>
      <w:r>
        <w:t xml:space="preserve">10.22 </w:t>
      </w:r>
      <w:r w:rsidR="00565CDB" w:rsidRPr="00A26BF8">
        <w:t xml:space="preserve">Paragraphs 11 and 12 and the following information to the Agency by 31 May of each year:(c) for each end use for which the synthetic polymer microparticles were placed on the market, an estimate of the quantity of synthetic polymer microparticles released to the environment in the previous calendar year, which shall include also the quantity of synthetic polymer microparticles released to the environment during </w:t>
      </w:r>
      <w:r w:rsidR="00A26BF8" w:rsidRPr="00A26BF8">
        <w:t>transportation. “</w:t>
      </w:r>
      <w:proofErr w:type="gramStart"/>
      <w:r w:rsidR="00A26BF8" w:rsidRPr="00A26BF8">
        <w:t>an</w:t>
      </w:r>
      <w:proofErr w:type="gramEnd"/>
      <w:r w:rsidR="00565CDB" w:rsidRPr="00A26BF8">
        <w:t xml:space="preserve"> estimate of the quantity of synthetic polymer microparticles released to the environment”: Does it means the quantity of synthetic polymer microparticles purchased in the previous year (i.e. quantity used for finished product manufacturing and quantity lost as production waste)? </w:t>
      </w:r>
    </w:p>
    <w:p w14:paraId="6BA9FE65" w14:textId="77777777" w:rsidR="00565CDB" w:rsidRPr="00BB2E41" w:rsidRDefault="00565CDB" w:rsidP="00565CDB">
      <w:pPr>
        <w:spacing w:line="252" w:lineRule="auto"/>
        <w:jc w:val="both"/>
      </w:pPr>
      <w:r w:rsidRPr="00BB2E41">
        <w:t xml:space="preserve">According to paragraph 12, only estimated losses during the end use shall be reported for each end use. This reporting is for the emitted amount of all SPMs during such end use without separation into the different generic polymers contained in the SPMs. There is no need to report the quantity of purchased SPMs, but the release only. However, the release is typically the quantity used multiplied by use specific release factors. In addition to this and according to paragraph 11 the reporting on own use (during the production) needs to be done, including transportation (separately). It does not mean releases that were fully </w:t>
      </w:r>
      <w:proofErr w:type="gramStart"/>
      <w:r w:rsidRPr="00BB2E41">
        <w:t>contained,  proper</w:t>
      </w:r>
      <w:proofErr w:type="gramEnd"/>
      <w:r w:rsidRPr="00BB2E41">
        <w:t xml:space="preserve"> disposal of production waste or purchased amounts. </w:t>
      </w:r>
    </w:p>
    <w:p w14:paraId="739158DB" w14:textId="77777777" w:rsidR="00565CDB" w:rsidRPr="00FB0A3D" w:rsidRDefault="00565CDB" w:rsidP="00565CDB">
      <w:pPr>
        <w:spacing w:line="252" w:lineRule="auto"/>
        <w:jc w:val="both"/>
        <w:rPr>
          <w:sz w:val="24"/>
          <w:szCs w:val="24"/>
        </w:rPr>
      </w:pPr>
    </w:p>
    <w:p w14:paraId="2A0AC69E" w14:textId="5D6318AA" w:rsidR="00565CDB" w:rsidRPr="002F6A09" w:rsidRDefault="00131C03" w:rsidP="00FA02FD">
      <w:pPr>
        <w:pStyle w:val="Pealkiri2"/>
        <w:jc w:val="both"/>
      </w:pPr>
      <w:r>
        <w:t xml:space="preserve">10.23 </w:t>
      </w:r>
      <w:r w:rsidR="00BB2E41" w:rsidRPr="002F6A09">
        <w:t>W</w:t>
      </w:r>
      <w:r w:rsidR="00565CDB" w:rsidRPr="002F6A09">
        <w:t xml:space="preserve">hich shall include also the quantity of synthetic polymer microparticles released to the environment during transportation”: Could you specify what means microparticles released to the environment during transportation? </w:t>
      </w:r>
    </w:p>
    <w:p w14:paraId="0F346E72" w14:textId="220460EF" w:rsidR="00565CDB" w:rsidRPr="00483FC9" w:rsidRDefault="00565CDB" w:rsidP="00565CDB">
      <w:pPr>
        <w:spacing w:line="252" w:lineRule="auto"/>
        <w:jc w:val="both"/>
      </w:pPr>
      <w:r w:rsidRPr="00483FC9">
        <w:t xml:space="preserve">During transportation releases can happen by filling and emptying tanks and in exceptional cases also during the transport itself, when emission can´t be avoided. (releases due to accidents to be discussed) </w:t>
      </w:r>
    </w:p>
    <w:p w14:paraId="697DC5C8" w14:textId="77777777" w:rsidR="00565CDB" w:rsidRPr="001F1587" w:rsidRDefault="00565CDB" w:rsidP="00565CDB">
      <w:pPr>
        <w:spacing w:line="252" w:lineRule="auto"/>
        <w:jc w:val="both"/>
        <w:rPr>
          <w:sz w:val="24"/>
          <w:szCs w:val="24"/>
        </w:rPr>
      </w:pPr>
    </w:p>
    <w:p w14:paraId="1919769B" w14:textId="179B534E" w:rsidR="00565CDB" w:rsidRPr="002F6A09" w:rsidRDefault="00131C03" w:rsidP="00FA02FD">
      <w:pPr>
        <w:pStyle w:val="Pealkiri2"/>
        <w:jc w:val="both"/>
      </w:pPr>
      <w:r>
        <w:t xml:space="preserve">10.24 </w:t>
      </w:r>
      <w:r w:rsidR="00565CDB" w:rsidRPr="002F6A09">
        <w:t xml:space="preserve">Can the polymer content be reported in cases where the particle content cannot be determined? </w:t>
      </w:r>
    </w:p>
    <w:p w14:paraId="581CE8B5" w14:textId="77777777" w:rsidR="00565CDB" w:rsidRPr="00483FC9" w:rsidRDefault="00565CDB" w:rsidP="00565CDB">
      <w:pPr>
        <w:spacing w:line="252" w:lineRule="auto"/>
        <w:jc w:val="both"/>
        <w:rPr>
          <w:rFonts w:cs="Calibri"/>
        </w:rPr>
      </w:pPr>
      <w:r w:rsidRPr="00483FC9">
        <w:rPr>
          <w:rFonts w:cs="Calibri"/>
        </w:rPr>
        <w:t xml:space="preserve">If only the polymer content is known that is bound in SPMs, and the amount of SPMs can´t be determined, the polymer content can be reported. Possibly, companies can make an estimate of the particle content and report that. However, this might need to be done on a case by case and expert assessment. </w:t>
      </w:r>
    </w:p>
    <w:p w14:paraId="681848C9" w14:textId="77777777" w:rsidR="00565CDB" w:rsidRPr="000F161D" w:rsidRDefault="00565CDB" w:rsidP="00565CDB">
      <w:pPr>
        <w:spacing w:line="252" w:lineRule="auto"/>
        <w:jc w:val="both"/>
        <w:rPr>
          <w:rFonts w:cs="Calibri"/>
          <w:sz w:val="24"/>
          <w:szCs w:val="24"/>
        </w:rPr>
      </w:pPr>
    </w:p>
    <w:p w14:paraId="06AD34F1" w14:textId="159F5984" w:rsidR="00565CDB" w:rsidRPr="002F6A09" w:rsidRDefault="00131C03" w:rsidP="00FA02FD">
      <w:pPr>
        <w:pStyle w:val="Pealkiri2"/>
      </w:pPr>
      <w:r>
        <w:t xml:space="preserve">10.25 </w:t>
      </w:r>
      <w:r w:rsidR="00565CDB" w:rsidRPr="002F6A09">
        <w:t>Who is responsible for reporting losses during transportation and distribution?</w:t>
      </w:r>
    </w:p>
    <w:p w14:paraId="26E0A04F" w14:textId="77777777" w:rsidR="00565CDB" w:rsidRPr="00483FC9" w:rsidRDefault="00565CDB" w:rsidP="00565CDB">
      <w:pPr>
        <w:spacing w:line="252" w:lineRule="auto"/>
        <w:jc w:val="both"/>
        <w:rPr>
          <w:rFonts w:cs="Calibri"/>
        </w:rPr>
      </w:pPr>
      <w:r w:rsidRPr="00483FC9">
        <w:rPr>
          <w:rFonts w:cs="Calibri"/>
        </w:rPr>
        <w:t xml:space="preserve">Supplier of SPM have the obligation to inform every user how to avoid emission to the environment. This should also include transportation and distribution. However, the reporting of unavoidable emissions during transportations should be reported by the user demanding the transport. Distributers are seen as professional and therefore the emission during use of a distributer should be </w:t>
      </w:r>
      <w:proofErr w:type="gramStart"/>
      <w:r w:rsidRPr="00483FC9">
        <w:rPr>
          <w:rFonts w:cs="Calibri"/>
        </w:rPr>
        <w:t>taken into account</w:t>
      </w:r>
      <w:proofErr w:type="gramEnd"/>
      <w:r w:rsidRPr="00483FC9">
        <w:rPr>
          <w:rFonts w:cs="Calibri"/>
        </w:rPr>
        <w:t xml:space="preserve"> by the last industrial supplier of the value chain. who owns the material during transportation part should be the responsible for the reporting of the releases into the environment. It also depends on the terms of the agreement / contract between companies of the supply chain.  </w:t>
      </w:r>
    </w:p>
    <w:p w14:paraId="1272B63E" w14:textId="77777777" w:rsidR="00565CDB" w:rsidRPr="000F161D" w:rsidRDefault="00565CDB" w:rsidP="00565CDB">
      <w:pPr>
        <w:spacing w:line="252" w:lineRule="auto"/>
        <w:jc w:val="both"/>
        <w:rPr>
          <w:rFonts w:cs="Calibri"/>
          <w:sz w:val="24"/>
          <w:szCs w:val="24"/>
        </w:rPr>
      </w:pPr>
    </w:p>
    <w:p w14:paraId="55C61D32" w14:textId="40ECF2E6" w:rsidR="00565CDB" w:rsidRPr="002F6A09" w:rsidRDefault="00131C03" w:rsidP="00FA02FD">
      <w:pPr>
        <w:pStyle w:val="Pealkiri2"/>
      </w:pPr>
      <w:r>
        <w:t xml:space="preserve">10.26 </w:t>
      </w:r>
      <w:r w:rsidR="00565CDB" w:rsidRPr="002F6A09">
        <w:t xml:space="preserve">What about responsibilities in case of tolling? </w:t>
      </w:r>
    </w:p>
    <w:p w14:paraId="39732720" w14:textId="1BCCCD91" w:rsidR="00565CDB" w:rsidRPr="00483FC9" w:rsidRDefault="00565CDB" w:rsidP="00565CDB">
      <w:pPr>
        <w:jc w:val="both"/>
      </w:pPr>
      <w:r w:rsidRPr="00483FC9">
        <w:t xml:space="preserve">Please see the question </w:t>
      </w:r>
      <w:r w:rsidR="003F3A3B">
        <w:t>below</w:t>
      </w:r>
    </w:p>
    <w:p w14:paraId="11B0CAD9" w14:textId="77777777" w:rsidR="00565CDB" w:rsidRPr="004C6A54" w:rsidRDefault="00565CDB" w:rsidP="00565CDB">
      <w:pPr>
        <w:jc w:val="both"/>
        <w:rPr>
          <w:color w:val="4472C4" w:themeColor="accent1"/>
          <w:sz w:val="24"/>
          <w:szCs w:val="24"/>
        </w:rPr>
      </w:pPr>
    </w:p>
    <w:p w14:paraId="4662A09A" w14:textId="63B2E2C0" w:rsidR="00565CDB" w:rsidRPr="002F6A09" w:rsidRDefault="00131C03" w:rsidP="00FA02FD">
      <w:pPr>
        <w:pStyle w:val="Pealkiri2"/>
        <w:jc w:val="both"/>
      </w:pPr>
      <w:r>
        <w:t xml:space="preserve">10.27 </w:t>
      </w:r>
      <w:r w:rsidR="00565CDB" w:rsidRPr="002F6A09">
        <w:t xml:space="preserve">Section 11 Reporting – “other manufacturers of synthetic polymer microparticles and other industrial downstream users using synthetic polymer microparticles at industrial sites shall submit the following information to the Agency by 31 May of each </w:t>
      </w:r>
      <w:proofErr w:type="gramStart"/>
      <w:r w:rsidR="00565CDB" w:rsidRPr="002F6A09">
        <w:t>year:…</w:t>
      </w:r>
      <w:proofErr w:type="gramEnd"/>
      <w:r w:rsidR="00565CDB" w:rsidRPr="002F6A09">
        <w:t>”  It has been interpreted by some that tolling (contract manufacturing) is considered an industrial site (i.e. business to business) even if it is used to manufacture a derogated product. There is discussion in industry that the company contracting the tolling would be responsible for any reporting obligations, not the toller(s) to avoid duplication of reporting.  Therefore, if     material was released into the environment by the toller, the company responsible for that product must do the reporting.  Please confirm if this is correct.</w:t>
      </w:r>
    </w:p>
    <w:p w14:paraId="4037C6B8" w14:textId="58BBDA15" w:rsidR="00565CDB" w:rsidRPr="003F3A3B" w:rsidRDefault="003F3A3B" w:rsidP="00565CDB">
      <w:pPr>
        <w:spacing w:line="240" w:lineRule="auto"/>
        <w:jc w:val="both"/>
        <w:rPr>
          <w:rFonts w:cs="Calibri"/>
        </w:rPr>
      </w:pPr>
      <w:r w:rsidRPr="003F3A3B">
        <w:rPr>
          <w:rFonts w:cs="Calibri"/>
        </w:rPr>
        <w:t>T</w:t>
      </w:r>
      <w:r w:rsidR="00565CDB" w:rsidRPr="003F3A3B">
        <w:rPr>
          <w:rFonts w:cs="Calibri"/>
        </w:rPr>
        <w:t>his will most likely depend on the contract with the toller. If the toller is also responsible for REACH registration, the toller will most likely also be considered as manufacturer or user of a SPM and should be responsible for the reporting for the own uses (including transportation). In case REACH obligations are taken over by the contractor of the tolling, the reporting will be laying with the contractor including any emissions at toller site.</w:t>
      </w:r>
    </w:p>
    <w:p w14:paraId="36CF482D" w14:textId="77777777" w:rsidR="00565CDB" w:rsidRPr="006B4898" w:rsidRDefault="00565CDB" w:rsidP="00565CDB">
      <w:pPr>
        <w:spacing w:line="240" w:lineRule="auto"/>
        <w:jc w:val="both"/>
        <w:rPr>
          <w:rFonts w:cs="Calibri"/>
          <w:sz w:val="24"/>
          <w:szCs w:val="24"/>
        </w:rPr>
      </w:pPr>
    </w:p>
    <w:p w14:paraId="4910BD30" w14:textId="1726C5A8" w:rsidR="00565CDB" w:rsidRPr="002F6A09" w:rsidRDefault="00131C03" w:rsidP="00FA02FD">
      <w:pPr>
        <w:pStyle w:val="Pealkiri2"/>
        <w:jc w:val="both"/>
      </w:pPr>
      <w:r>
        <w:t xml:space="preserve">10.28 </w:t>
      </w:r>
      <w:r w:rsidR="00565CDB" w:rsidRPr="002F6A09">
        <w:t xml:space="preserve">We are only required to report quantity in terms of that material released to the environment. Is "released to the environment" defined anywhere? If spillages are swept up and disposed of as hazardous </w:t>
      </w:r>
      <w:proofErr w:type="gramStart"/>
      <w:r w:rsidR="00565CDB" w:rsidRPr="002F6A09">
        <w:t>waste</w:t>
      </w:r>
      <w:proofErr w:type="gramEnd"/>
      <w:r w:rsidR="00565CDB" w:rsidRPr="002F6A09">
        <w:t xml:space="preserve"> they do not need to be reported?  </w:t>
      </w:r>
    </w:p>
    <w:p w14:paraId="2AAE56F0" w14:textId="77777777" w:rsidR="00565CDB" w:rsidRPr="003F3A3B" w:rsidRDefault="00565CDB" w:rsidP="00565CDB">
      <w:pPr>
        <w:spacing w:line="240" w:lineRule="auto"/>
        <w:jc w:val="both"/>
        <w:rPr>
          <w:rFonts w:cs="Calibri"/>
        </w:rPr>
      </w:pPr>
      <w:r w:rsidRPr="003F3A3B">
        <w:rPr>
          <w:rFonts w:cs="Calibri"/>
        </w:rPr>
        <w:t>There is no defined method to estimate the release to environment. Therefore, there is also no legal requirement for testing of emission. Every user of a SPM should assess the various processes involved and make an expert judgment for releases after the measures to reduce emission as specified by the supplier are implemented.</w:t>
      </w:r>
    </w:p>
    <w:p w14:paraId="7D49F46C" w14:textId="77777777" w:rsidR="00565CDB" w:rsidRPr="00F32D4F" w:rsidRDefault="00565CDB" w:rsidP="00565CDB">
      <w:pPr>
        <w:spacing w:line="240" w:lineRule="auto"/>
        <w:jc w:val="both"/>
        <w:rPr>
          <w:rFonts w:cs="Calibri"/>
          <w:sz w:val="24"/>
          <w:szCs w:val="24"/>
        </w:rPr>
      </w:pPr>
    </w:p>
    <w:p w14:paraId="1932DF21" w14:textId="71F8960F" w:rsidR="00565CDB" w:rsidRPr="002F6A09" w:rsidRDefault="00131C03" w:rsidP="00FA02FD">
      <w:pPr>
        <w:pStyle w:val="Pealkiri2"/>
        <w:jc w:val="both"/>
      </w:pPr>
      <w:r>
        <w:t xml:space="preserve">10.29 </w:t>
      </w:r>
      <w:r w:rsidR="00565CDB" w:rsidRPr="002F6A09">
        <w:t>What is legally binding for manufacturers of pharmaceutical or food ingredients (derogated uses) to communicate to the pharmaceutical or food company purchasing the material?  Must they provide data for solubility and/or biodegradation to these users or just the instructions for use and disposal if classified as a synthetic polymer microparticle?  If data must be provided, does it need to be actual values or is it sufficient for solubility, for example, to state &gt;2 g/L? For example, a Safety Data Sheet has sections that include information on physical/chemical characteristics, e.g. solubility and biodegradability.  Do values need to be provided in these sections or is it sufficient to add a statement that the material is classified as a synthetic polymer microparticles and include disposal information?</w:t>
      </w:r>
    </w:p>
    <w:p w14:paraId="7F72264E" w14:textId="77777777" w:rsidR="00565CDB" w:rsidRPr="003F3A3B" w:rsidRDefault="00565CDB" w:rsidP="00565CDB">
      <w:pPr>
        <w:spacing w:after="0" w:line="240" w:lineRule="auto"/>
        <w:jc w:val="both"/>
        <w:rPr>
          <w:rFonts w:ascii="Calibri" w:eastAsia="Calibri" w:hAnsi="Calibri" w:cs="Calibri"/>
        </w:rPr>
      </w:pPr>
      <w:r w:rsidRPr="003F3A3B">
        <w:rPr>
          <w:rFonts w:ascii="Calibri" w:eastAsia="Calibri" w:hAnsi="Calibri" w:cs="Calibri"/>
        </w:rPr>
        <w:t>As the formulation of excipients and food additives to medicinal products and food is in scope of the synthetic polymer microparticles restriction (industrial use) and require reporting of environmental emissions, the supplier needs to provide the industrial downstream user all information according to paragraph 7 of the restriction. All general obligation towards SDS generation remain unchanged.</w:t>
      </w:r>
    </w:p>
    <w:p w14:paraId="59348AE6" w14:textId="77777777" w:rsidR="00565CDB" w:rsidRDefault="00565CDB" w:rsidP="00565CDB">
      <w:pPr>
        <w:spacing w:after="0" w:line="240" w:lineRule="auto"/>
        <w:jc w:val="both"/>
        <w:rPr>
          <w:rFonts w:ascii="Calibri" w:eastAsia="Calibri" w:hAnsi="Calibri" w:cs="Calibri"/>
          <w:sz w:val="24"/>
          <w:szCs w:val="24"/>
        </w:rPr>
      </w:pPr>
    </w:p>
    <w:p w14:paraId="5F03F33F" w14:textId="150E7289" w:rsidR="00565CDB" w:rsidRPr="002F6A09" w:rsidRDefault="00131C03" w:rsidP="00FA02FD">
      <w:pPr>
        <w:pStyle w:val="Pealkiri2"/>
        <w:jc w:val="both"/>
      </w:pPr>
      <w:r>
        <w:t xml:space="preserve">10.30 </w:t>
      </w:r>
      <w:r w:rsidR="00565CDB" w:rsidRPr="002F6A09">
        <w:t>How should the environmental emission be calculated for a polymer with e.g. water solubility close to 2 g/L which will not reach the water solubility limit when released and therefore will not be released as microparticle. Same question will apply to polymer which will not have a microparticle shape when released to the environment (e.g. swellable polymers).</w:t>
      </w:r>
    </w:p>
    <w:p w14:paraId="5F476380" w14:textId="4DA0A271" w:rsidR="002F6A09" w:rsidRPr="00A3121D" w:rsidRDefault="00427FB6" w:rsidP="00A3121D">
      <w:pPr>
        <w:spacing w:line="240" w:lineRule="auto"/>
        <w:jc w:val="both"/>
      </w:pPr>
      <w:r w:rsidRPr="00427FB6">
        <w:t xml:space="preserve">There is no need for reporting if a polymer is not emitted as SPM. If SPM status is lost after use and so is not released to the environment as a </w:t>
      </w:r>
      <w:proofErr w:type="gramStart"/>
      <w:r w:rsidRPr="00427FB6">
        <w:t>SPM,,</w:t>
      </w:r>
      <w:proofErr w:type="gramEnd"/>
      <w:r w:rsidRPr="00427FB6">
        <w:t xml:space="preserve"> there is no need to report. If it enters in the environment as a </w:t>
      </w:r>
      <w:proofErr w:type="gramStart"/>
      <w:r w:rsidRPr="00427FB6">
        <w:t>SPM</w:t>
      </w:r>
      <w:proofErr w:type="gramEnd"/>
      <w:r w:rsidRPr="00427FB6">
        <w:t xml:space="preserve"> you need to report. If not a SPM, then you don’t need to report. </w:t>
      </w:r>
    </w:p>
    <w:p w14:paraId="5C078D36" w14:textId="1D36EDC3" w:rsidR="00080996" w:rsidRDefault="00427FB6" w:rsidP="008A4391">
      <w:pPr>
        <w:pStyle w:val="Pealkiri1"/>
        <w:numPr>
          <w:ilvl w:val="0"/>
          <w:numId w:val="11"/>
        </w:numPr>
      </w:pPr>
      <w:bookmarkStart w:id="41" w:name="_Toc170394077"/>
      <w:r>
        <w:t>LABELLING</w:t>
      </w:r>
      <w:bookmarkEnd w:id="41"/>
    </w:p>
    <w:p w14:paraId="0AC1A3DA" w14:textId="697894CB" w:rsidR="00157E35" w:rsidRDefault="00157E35" w:rsidP="007F6227">
      <w:pPr>
        <w:spacing w:after="120" w:line="240" w:lineRule="auto"/>
        <w:jc w:val="both"/>
        <w:rPr>
          <w:rFonts w:cstheme="minorHAnsi"/>
          <w:color w:val="4472C4" w:themeColor="accent1"/>
        </w:rPr>
      </w:pPr>
    </w:p>
    <w:p w14:paraId="7C763719" w14:textId="20279F4F" w:rsidR="00686F65" w:rsidRPr="001B4D07" w:rsidRDefault="00B22644" w:rsidP="00FA02FD">
      <w:pPr>
        <w:pStyle w:val="Pealkiri2"/>
        <w:jc w:val="both"/>
      </w:pPr>
      <w:r>
        <w:t xml:space="preserve">11.1 </w:t>
      </w:r>
      <w:r w:rsidR="00686F65" w:rsidRPr="001B4D07">
        <w:t>Is a label to be applied also to B2B industrial users or only to professionals and consumers?</w:t>
      </w:r>
    </w:p>
    <w:p w14:paraId="7E09FC85" w14:textId="3A8A7C22" w:rsidR="00686F65" w:rsidRPr="001B4D07" w:rsidRDefault="00686F65" w:rsidP="001B4D07">
      <w:pPr>
        <w:jc w:val="both"/>
      </w:pPr>
      <w:r w:rsidRPr="001B4D07">
        <w:t>Paragraph 7 refers to suppliers as mentioned in paragraph 4a: these are the labeling requirements for uses on industrial sites</w:t>
      </w:r>
      <w:r w:rsidR="001B4D07">
        <w:t xml:space="preserve">. </w:t>
      </w:r>
      <w:r w:rsidRPr="001B4D07">
        <w:t xml:space="preserve">Paragraph 8 mentions the duties for suppliers to professional users and the </w:t>
      </w:r>
      <w:proofErr w:type="gramStart"/>
      <w:r w:rsidRPr="001B4D07">
        <w:t>general public</w:t>
      </w:r>
      <w:proofErr w:type="gramEnd"/>
      <w:r w:rsidRPr="001B4D07">
        <w:t xml:space="preserve">: They have to be informed about use and disposal and release prevention. Paragraph 9 describes the label, paragraph 10 indicated clearly that the information from paragraphs 7 to 9 </w:t>
      </w:r>
      <w:proofErr w:type="gramStart"/>
      <w:r w:rsidRPr="001B4D07">
        <w:t>has to</w:t>
      </w:r>
      <w:proofErr w:type="gramEnd"/>
      <w:r w:rsidRPr="001B4D07">
        <w:t xml:space="preserve"> be on a label: </w:t>
      </w:r>
      <w:proofErr w:type="spellStart"/>
      <w:r w:rsidRPr="001B4D07">
        <w:t>i.a.</w:t>
      </w:r>
      <w:proofErr w:type="spellEnd"/>
      <w:r w:rsidRPr="001B4D07">
        <w:t xml:space="preserve">: labeling requirements apply to industrial, professional and consumer. </w:t>
      </w:r>
    </w:p>
    <w:p w14:paraId="60297BF1" w14:textId="77777777" w:rsidR="00686F65" w:rsidRDefault="00686F65" w:rsidP="00686F65">
      <w:pPr>
        <w:jc w:val="both"/>
        <w:rPr>
          <w:sz w:val="24"/>
          <w:szCs w:val="24"/>
        </w:rPr>
      </w:pPr>
    </w:p>
    <w:p w14:paraId="3284AFAF" w14:textId="6FA02090" w:rsidR="00686F65" w:rsidRPr="001B4D07" w:rsidRDefault="00B22644" w:rsidP="00FA02FD">
      <w:pPr>
        <w:pStyle w:val="Pealkiri2"/>
        <w:jc w:val="both"/>
        <w:rPr>
          <w:lang w:val="en-GB"/>
        </w:rPr>
      </w:pPr>
      <w:r>
        <w:rPr>
          <w:lang w:val="en-GB"/>
        </w:rPr>
        <w:t xml:space="preserve">11.2 </w:t>
      </w:r>
      <w:r w:rsidR="00686F65" w:rsidRPr="001B4D07">
        <w:rPr>
          <w:lang w:val="en-GB"/>
        </w:rPr>
        <w:t>Is labelling mandatorily mentioning the phrase stipulated in section 7b? or is it enough with a pictogram or a QR code?</w:t>
      </w:r>
    </w:p>
    <w:p w14:paraId="27548BF7" w14:textId="77777777" w:rsidR="00686F65" w:rsidRPr="001B4D07" w:rsidRDefault="00686F65" w:rsidP="00686F65">
      <w:pPr>
        <w:jc w:val="both"/>
        <w:rPr>
          <w:lang w:val="en-GB"/>
        </w:rPr>
      </w:pPr>
    </w:p>
    <w:p w14:paraId="622574B2" w14:textId="35E5AA12" w:rsidR="00686F65" w:rsidRPr="001B4D07" w:rsidRDefault="00686F65" w:rsidP="00686F65">
      <w:pPr>
        <w:jc w:val="both"/>
        <w:rPr>
          <w:rFonts w:ascii="Calibri" w:eastAsia="Calibri" w:hAnsi="Calibri" w:cs="Calibri"/>
          <w:lang w:val="en-GB"/>
        </w:rPr>
      </w:pPr>
      <w:r w:rsidRPr="001B4D07">
        <w:rPr>
          <w:lang w:val="en-GB"/>
        </w:rPr>
        <w:t xml:space="preserve">Paragraph 10 reads clearly: </w:t>
      </w:r>
      <w:r w:rsidRPr="001B4D07">
        <w:rPr>
          <w:rFonts w:ascii="Calibri" w:eastAsia="Calibri" w:hAnsi="Calibri" w:cs="Calibri"/>
          <w:lang w:val="en-GB"/>
        </w:rPr>
        <w:t xml:space="preserve">The information referred to in paragraphs 7, 8 and 9 shall be provided in the form of clearly visible, legible and indelible text or, where appropriate regarding the information in paragraphs 7 and 8, in the form of pictograms. In addition to the text or pictograms, suppliers may provide a digital tool that gives access to an electronic version of that information. a QR code might be an add-on, but the phrase itself must occur on the label. </w:t>
      </w:r>
    </w:p>
    <w:p w14:paraId="51FAB418" w14:textId="77777777" w:rsidR="00686F65" w:rsidRDefault="00686F65" w:rsidP="00686F65">
      <w:pPr>
        <w:jc w:val="both"/>
        <w:rPr>
          <w:rFonts w:ascii="Calibri" w:eastAsia="Calibri" w:hAnsi="Calibri" w:cs="Calibri"/>
          <w:sz w:val="24"/>
          <w:szCs w:val="24"/>
          <w:lang w:val="en-GB"/>
        </w:rPr>
      </w:pPr>
    </w:p>
    <w:p w14:paraId="19DBD7FC" w14:textId="3927BF82" w:rsidR="00686F65" w:rsidRPr="00AA28DB" w:rsidRDefault="00B22644" w:rsidP="00FA02FD">
      <w:pPr>
        <w:pStyle w:val="Pealkiri2"/>
        <w:jc w:val="both"/>
        <w:rPr>
          <w:lang w:val="en-GB"/>
        </w:rPr>
      </w:pPr>
      <w:r>
        <w:rPr>
          <w:lang w:val="en-GB"/>
        </w:rPr>
        <w:t xml:space="preserve">11.3 </w:t>
      </w:r>
      <w:r w:rsidR="00686F65" w:rsidRPr="00AA28DB">
        <w:rPr>
          <w:lang w:val="en-GB"/>
        </w:rPr>
        <w:t>Is the sole use of electronic product pamphlets sufficient for a product that is   exclusively sold to professional users?</w:t>
      </w:r>
    </w:p>
    <w:p w14:paraId="3B09D8FF" w14:textId="7FAEA99B" w:rsidR="00AA28DB" w:rsidRDefault="00AA28DB" w:rsidP="00686F65">
      <w:pPr>
        <w:jc w:val="both"/>
        <w:rPr>
          <w:lang w:val="en-GB"/>
        </w:rPr>
      </w:pPr>
      <w:r w:rsidRPr="009C4B31">
        <w:rPr>
          <w:i/>
          <w:iCs/>
          <w:noProof/>
          <w:lang w:val="en-GB"/>
        </w:rPr>
        <mc:AlternateContent>
          <mc:Choice Requires="wps">
            <w:drawing>
              <wp:anchor distT="45720" distB="45720" distL="114300" distR="114300" simplePos="0" relativeHeight="251675648" behindDoc="0" locked="0" layoutInCell="1" allowOverlap="1" wp14:anchorId="364FB375" wp14:editId="679FA426">
                <wp:simplePos x="0" y="0"/>
                <wp:positionH relativeFrom="column">
                  <wp:posOffset>47625</wp:posOffset>
                </wp:positionH>
                <wp:positionV relativeFrom="paragraph">
                  <wp:posOffset>289560</wp:posOffset>
                </wp:positionV>
                <wp:extent cx="6042660" cy="1404620"/>
                <wp:effectExtent l="0" t="0" r="15240" b="14605"/>
                <wp:wrapSquare wrapText="bothSides"/>
                <wp:docPr id="208458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1404620"/>
                        </a:xfrm>
                        <a:prstGeom prst="rect">
                          <a:avLst/>
                        </a:prstGeom>
                        <a:solidFill>
                          <a:schemeClr val="accent1">
                            <a:lumMod val="40000"/>
                            <a:lumOff val="60000"/>
                          </a:schemeClr>
                        </a:solidFill>
                        <a:ln w="9525">
                          <a:solidFill>
                            <a:srgbClr val="000000"/>
                          </a:solidFill>
                          <a:miter lim="800000"/>
                          <a:headEnd/>
                          <a:tailEnd/>
                        </a:ln>
                      </wps:spPr>
                      <wps:txbx>
                        <w:txbxContent>
                          <w:p w14:paraId="7978E169" w14:textId="17D32CCF" w:rsidR="00AA28DB" w:rsidRPr="00AA28DB" w:rsidRDefault="00AA28DB" w:rsidP="00AA28DB">
                            <w:pPr>
                              <w:jc w:val="both"/>
                              <w:rPr>
                                <w:rFonts w:ascii="Calibri" w:eastAsia="Calibri" w:hAnsi="Calibri" w:cs="Calibri"/>
                                <w:i/>
                                <w:iCs/>
                                <w:lang w:val="en-GB"/>
                              </w:rPr>
                            </w:pPr>
                            <w:r w:rsidRPr="00AA28DB">
                              <w:rPr>
                                <w:rFonts w:ascii="Calibri" w:eastAsia="Calibri" w:hAnsi="Calibri" w:cs="Calibri"/>
                                <w:i/>
                                <w:iCs/>
                                <w:lang w:val="en-GB"/>
                              </w:rPr>
                              <w:t>The information referred to in paragraphs 7, 8 and 9 shall be provided in the form of clearly visible, legible and indelible text or, where appropriate regarding the information in paragraphs 7 and 8, in the form of pictograms.  In addition to the text or pictograms, suppliers may provide a digital tool that gives access to an electronic version of that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4FB375" id="_x0000_s1028" type="#_x0000_t202" style="position:absolute;left:0;text-align:left;margin-left:3.75pt;margin-top:22.8pt;width:475.8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" fillcolor="#b4c6e7 [1300]">
                <v:textbox style="mso-fit-shape-to-text:t">
                  <w:txbxContent>
                    <w:p w14:paraId="7978E169" w14:textId="17D32CCF" w:rsidR="00AA28DB" w:rsidRPr="00AA28DB" w:rsidRDefault="00AA28DB" w:rsidP="00AA28DB">
                      <w:pPr>
                        <w:jc w:val="both"/>
                        <w:rPr>
                          <w:rFonts w:ascii="Calibri" w:eastAsia="Calibri" w:hAnsi="Calibri" w:cs="Calibri"/>
                          <w:i/>
                          <w:iCs/>
                          <w:lang w:val="en-GB"/>
                        </w:rPr>
                      </w:pPr>
                      <w:r w:rsidRPr="00AA28DB">
                        <w:rPr>
                          <w:rFonts w:ascii="Calibri" w:eastAsia="Calibri" w:hAnsi="Calibri" w:cs="Calibri"/>
                          <w:i/>
                          <w:iCs/>
                          <w:lang w:val="en-GB"/>
                        </w:rPr>
                        <w:t>The information referred to in paragraphs 7, 8 and 9 shall be provided in the form of clearly visible, legible and indelible text or, where appropriate regarding the information in paragraphs 7 and 8, in the form of pictograms.  In addition to the text or pictograms, suppliers may provide a digital tool that gives access to an electronic version of that information.”</w:t>
                      </w:r>
                    </w:p>
                  </w:txbxContent>
                </v:textbox>
                <w10:wrap type="square"/>
              </v:shape>
            </w:pict>
          </mc:Fallback>
        </mc:AlternateContent>
      </w:r>
      <w:r w:rsidR="00686F65" w:rsidRPr="009C4B31">
        <w:t>No.</w:t>
      </w:r>
      <w:r w:rsidR="00686F65" w:rsidRPr="00AA28DB">
        <w:t xml:space="preserve"> </w:t>
      </w:r>
      <w:r w:rsidR="00686F65" w:rsidRPr="00AA28DB">
        <w:rPr>
          <w:lang w:val="en-GB"/>
        </w:rPr>
        <w:t>Paragraph 10 reads clearly:</w:t>
      </w:r>
    </w:p>
    <w:p w14:paraId="2F71FE88" w14:textId="77777777" w:rsidR="00686F65" w:rsidRPr="00246483" w:rsidRDefault="00686F65" w:rsidP="00686F65"/>
    <w:p w14:paraId="433E727C" w14:textId="77777777" w:rsidR="00686F65" w:rsidRPr="00784833" w:rsidRDefault="00686F65" w:rsidP="008A4391">
      <w:pPr>
        <w:pStyle w:val="Pealkiri1"/>
        <w:numPr>
          <w:ilvl w:val="0"/>
          <w:numId w:val="11"/>
        </w:numPr>
      </w:pPr>
      <w:bookmarkStart w:id="42" w:name="_Toc170394078"/>
      <w:r w:rsidRPr="00784833">
        <w:t>BIODEGRADATION TESTING PROPOSAL</w:t>
      </w:r>
      <w:bookmarkEnd w:id="42"/>
    </w:p>
    <w:p w14:paraId="4DBAD909" w14:textId="77777777" w:rsidR="00686F65" w:rsidRDefault="00686F65" w:rsidP="00686F65">
      <w:pPr>
        <w:rPr>
          <w:sz w:val="24"/>
          <w:szCs w:val="24"/>
        </w:rPr>
      </w:pPr>
    </w:p>
    <w:p w14:paraId="6C9241E2" w14:textId="2FDB1E29" w:rsidR="00686F65" w:rsidRPr="00231337" w:rsidRDefault="00686F65" w:rsidP="003B7D96">
      <w:pPr>
        <w:jc w:val="both"/>
      </w:pPr>
      <w:r w:rsidRPr="00231337">
        <w:t xml:space="preserve">The present section includes questions received from companies and associations concerning Appendix 15 of the restriction on synthetic polymer microparticles. </w:t>
      </w:r>
    </w:p>
    <w:p w14:paraId="41F67071" w14:textId="68390F64" w:rsidR="00686F65" w:rsidRPr="00AA28DB" w:rsidRDefault="00B22644" w:rsidP="00FA02FD">
      <w:pPr>
        <w:pStyle w:val="Pealkiri2"/>
        <w:jc w:val="both"/>
      </w:pPr>
      <w:r>
        <w:t xml:space="preserve">12.1 </w:t>
      </w:r>
      <w:r w:rsidR="00686F65" w:rsidRPr="00AA28DB">
        <w:t>Concerning Appendix 15. The tests are conducted by laboratories that comply with the principles of good laboratory practice, set out in directive 2004/10/EC, or other international standards recognized as equivalent by the Commission or by the Agency or accredited according to the ISO 17025 standard. For non-European laboratories, are national certifications valid (e.g. EPA for the USA) which in many cases are accepted as an international reference?</w:t>
      </w:r>
    </w:p>
    <w:p w14:paraId="28B9B8B7" w14:textId="77777777" w:rsidR="00686F65" w:rsidRPr="00231337" w:rsidRDefault="00686F65" w:rsidP="00686F65">
      <w:pPr>
        <w:jc w:val="both"/>
      </w:pPr>
      <w:r w:rsidRPr="00231337">
        <w:t xml:space="preserve">It can be assumed, that international references are accepted as long as the </w:t>
      </w:r>
      <w:proofErr w:type="gramStart"/>
      <w:r w:rsidRPr="00231337">
        <w:t>above mentioned</w:t>
      </w:r>
      <w:proofErr w:type="gramEnd"/>
      <w:r w:rsidRPr="00231337">
        <w:t xml:space="preserve"> standards and the GLP requirements are fulfilled.  </w:t>
      </w:r>
    </w:p>
    <w:p w14:paraId="4C69FF47" w14:textId="77777777" w:rsidR="00686F65" w:rsidRPr="00231337" w:rsidRDefault="00686F65" w:rsidP="00686F65">
      <w:pPr>
        <w:jc w:val="both"/>
      </w:pPr>
    </w:p>
    <w:p w14:paraId="19732D86" w14:textId="07DA0885" w:rsidR="00686F65" w:rsidRPr="00DD7FB9" w:rsidRDefault="00B22644" w:rsidP="00FA02FD">
      <w:pPr>
        <w:pStyle w:val="Pealkiri2"/>
        <w:jc w:val="both"/>
      </w:pPr>
      <w:r>
        <w:t xml:space="preserve">12.2 </w:t>
      </w:r>
      <w:r w:rsidR="00686F65" w:rsidRPr="00DD7FB9">
        <w:t>Is a read across/analogy possible to prove the degradability or the solubility of a polymer?</w:t>
      </w:r>
    </w:p>
    <w:p w14:paraId="6A7DEB43" w14:textId="77777777" w:rsidR="00686F65" w:rsidRPr="00DD7FB9" w:rsidRDefault="00686F65" w:rsidP="00686F65">
      <w:pPr>
        <w:jc w:val="both"/>
      </w:pPr>
      <w:r w:rsidRPr="00DD7FB9">
        <w:t>There is no reference given to the acceptance of read across / analogy approaches. Usually, the SPM itself is to be tested, as set out in Appendix 15, Point 3 ‘</w:t>
      </w:r>
      <w:r w:rsidRPr="00DD7FB9">
        <w:rPr>
          <w:i/>
          <w:iCs/>
        </w:rPr>
        <w:t xml:space="preserve">Specific requirements for the test material to be used in degradation </w:t>
      </w:r>
      <w:proofErr w:type="gramStart"/>
      <w:r w:rsidRPr="00DD7FB9">
        <w:rPr>
          <w:i/>
          <w:iCs/>
        </w:rPr>
        <w:t>tests’</w:t>
      </w:r>
      <w:proofErr w:type="gramEnd"/>
      <w:r w:rsidRPr="00DD7FB9">
        <w:t xml:space="preserve">. As the identity of the tested SPM is not and </w:t>
      </w:r>
      <w:proofErr w:type="gramStart"/>
      <w:r w:rsidRPr="00DD7FB9">
        <w:t>cannot  be</w:t>
      </w:r>
      <w:proofErr w:type="gramEnd"/>
      <w:r w:rsidRPr="00DD7FB9">
        <w:t xml:space="preserve"> clearly defined by the legal text, it is up to the producer / importer of SPM to define it. The producer / importer of the SPM defines identity of the tested SPM and which SPMs lie within the boundaries. </w:t>
      </w:r>
    </w:p>
    <w:p w14:paraId="7BB751B6" w14:textId="77777777" w:rsidR="00686F65" w:rsidRPr="00674002" w:rsidRDefault="00686F65" w:rsidP="00686F65">
      <w:pPr>
        <w:jc w:val="both"/>
      </w:pPr>
    </w:p>
    <w:p w14:paraId="42C6B44B" w14:textId="48AA02A9" w:rsidR="00686F65" w:rsidRPr="00674002" w:rsidRDefault="00DC335F" w:rsidP="00FA02FD">
      <w:pPr>
        <w:pStyle w:val="Pealkiri2"/>
        <w:jc w:val="both"/>
      </w:pPr>
      <w:r>
        <w:t xml:space="preserve">12.3 </w:t>
      </w:r>
      <w:r w:rsidR="00686F65">
        <w:t xml:space="preserve">What are the </w:t>
      </w:r>
      <w:r w:rsidR="00686F65" w:rsidRPr="00674002">
        <w:t>specific requirements to demonstrate the degradability of polymers in products intended for agricultural and horticultural applications</w:t>
      </w:r>
      <w:r w:rsidR="00686F65">
        <w:t>?</w:t>
      </w:r>
    </w:p>
    <w:p w14:paraId="73FC42D5" w14:textId="7D6F09B0" w:rsidR="00686F65" w:rsidRDefault="00686F65" w:rsidP="00686F65">
      <w:pPr>
        <w:jc w:val="both"/>
        <w:rPr>
          <w:rFonts w:ascii="Calibri" w:eastAsia="Calibri" w:hAnsi="Calibri" w:cs="Times New Roman"/>
          <w:color w:val="000000" w:themeColor="text1"/>
        </w:rPr>
      </w:pPr>
      <w:r w:rsidRPr="004E5482">
        <w:rPr>
          <w:rFonts w:ascii="Calibri" w:eastAsia="Calibri" w:hAnsi="Calibri" w:cs="Times New Roman"/>
          <w:color w:val="000000" w:themeColor="text1"/>
        </w:rPr>
        <w:t>Fertilizer products containing polymers which are glazing agents or increase the water holding capacity or wettability of the product The degradability of polymers which are coating agents or increase the water retention capacity or the wettability in fertilizing products, as defined in Article 2, point (1), of Regulation (EU) 2019/1009, which do not fall within the scope of that Regulation shall be demonstrated in accordance with the delegated acts referred to in Article 42(6) of that Regulation. In case of absence of such delegated acts, products containing such polymers shall not be placed on the market after 16 July 2026</w:t>
      </w:r>
      <w:r w:rsidR="005840E6">
        <w:rPr>
          <w:rFonts w:ascii="Calibri" w:eastAsia="Calibri" w:hAnsi="Calibri" w:cs="Times New Roman"/>
          <w:color w:val="000000" w:themeColor="text1"/>
        </w:rPr>
        <w:t>.</w:t>
      </w:r>
    </w:p>
    <w:p w14:paraId="7F8CAFB6" w14:textId="77777777" w:rsidR="005840E6" w:rsidRPr="00FA02FD" w:rsidRDefault="005840E6" w:rsidP="00FA02FD">
      <w:pPr>
        <w:pStyle w:val="Pealkiri2"/>
        <w:jc w:val="both"/>
      </w:pPr>
    </w:p>
    <w:p w14:paraId="2F9CDED7" w14:textId="3FC43236" w:rsidR="00686F65" w:rsidRPr="00FA02FD" w:rsidRDefault="00DC335F" w:rsidP="00FA02FD">
      <w:pPr>
        <w:pStyle w:val="Pealkiri2"/>
        <w:jc w:val="both"/>
        <w:rPr>
          <w:color w:val="4472C4" w:themeColor="accent1"/>
        </w:rPr>
      </w:pPr>
      <w:r>
        <w:rPr>
          <w:color w:val="4472C4" w:themeColor="accent1"/>
        </w:rPr>
        <w:t xml:space="preserve">12.4 </w:t>
      </w:r>
      <w:r w:rsidR="00686F65" w:rsidRPr="00FA02FD">
        <w:rPr>
          <w:color w:val="4472C4" w:themeColor="accent1"/>
        </w:rPr>
        <w:t>Article 42 states that the biodegradability criteria must be evaluated by 16 July, how can we verify the restriction proposal?</w:t>
      </w:r>
    </w:p>
    <w:p w14:paraId="7BF07592" w14:textId="77777777" w:rsidR="00686F65" w:rsidRPr="008961C1" w:rsidRDefault="00686F65" w:rsidP="00686F65">
      <w:pPr>
        <w:jc w:val="both"/>
      </w:pPr>
      <w:r w:rsidRPr="008961C1">
        <w:t xml:space="preserve">This is a question that for </w:t>
      </w:r>
      <w:proofErr w:type="spellStart"/>
      <w:r w:rsidRPr="008961C1">
        <w:t>Cefic</w:t>
      </w:r>
      <w:proofErr w:type="spellEnd"/>
      <w:r w:rsidRPr="008961C1">
        <w:t xml:space="preserve"> is related to the fertilizers act instead of the REACH Restriction on SPM. </w:t>
      </w:r>
    </w:p>
    <w:p w14:paraId="52DB5727" w14:textId="77777777" w:rsidR="00686F65" w:rsidRDefault="00686F65" w:rsidP="00686F65">
      <w:pPr>
        <w:jc w:val="both"/>
        <w:rPr>
          <w:sz w:val="24"/>
          <w:szCs w:val="24"/>
        </w:rPr>
      </w:pPr>
    </w:p>
    <w:p w14:paraId="43AB4969" w14:textId="5F449323" w:rsidR="00686F65" w:rsidRPr="008961C1" w:rsidRDefault="00DC335F" w:rsidP="00FA02FD">
      <w:pPr>
        <w:pStyle w:val="Pealkiri2"/>
        <w:jc w:val="both"/>
      </w:pPr>
      <w:r>
        <w:t xml:space="preserve">12.5 </w:t>
      </w:r>
      <w:r w:rsidR="00686F65" w:rsidRPr="008961C1">
        <w:t xml:space="preserve">Concerning section 1.5.1: While the specified test methods in Group 1 to 4 specify a threshold for proving degradation expressed as % mineralization, </w:t>
      </w:r>
      <w:proofErr w:type="gramStart"/>
      <w:r w:rsidR="00686F65" w:rsidRPr="008961C1">
        <w:t>I.e.</w:t>
      </w:r>
      <w:proofErr w:type="gramEnd"/>
      <w:r w:rsidR="00686F65" w:rsidRPr="008961C1">
        <w:t xml:space="preserve"> referring to ultimate degradation, Group 5 simulation tests specify degradation half-life (DT50/DegT50) values, I.e. referring to primary degradation, I.e. breakdown into degradation products. Since it is not specified differently, could you confirm that this is also true in context of the synthetic polymer microparticles restriction? </w:t>
      </w:r>
    </w:p>
    <w:p w14:paraId="4078A2B1" w14:textId="67B1B097" w:rsidR="00686F65" w:rsidRPr="003B70CB" w:rsidRDefault="003B70CB" w:rsidP="00686F65">
      <w:pPr>
        <w:spacing w:line="257" w:lineRule="auto"/>
        <w:jc w:val="both"/>
      </w:pPr>
      <w:r w:rsidRPr="003B70CB">
        <w:t>T</w:t>
      </w:r>
      <w:r w:rsidR="00686F65" w:rsidRPr="003B70CB">
        <w:t>his refers to the primary degradation</w:t>
      </w:r>
      <w:r>
        <w:t>. P</w:t>
      </w:r>
      <w:r w:rsidR="00686F65" w:rsidRPr="003B70CB">
        <w:t xml:space="preserve">lease consider mineralization. </w:t>
      </w:r>
    </w:p>
    <w:p w14:paraId="6F0642E7" w14:textId="77777777" w:rsidR="00686F65" w:rsidRPr="00CB2CFB" w:rsidRDefault="00686F65" w:rsidP="00686F65">
      <w:pPr>
        <w:spacing w:line="257" w:lineRule="auto"/>
        <w:jc w:val="both"/>
        <w:rPr>
          <w:sz w:val="24"/>
          <w:szCs w:val="24"/>
        </w:rPr>
      </w:pPr>
    </w:p>
    <w:p w14:paraId="5E41999E" w14:textId="11591183" w:rsidR="00686F65" w:rsidRPr="003B70CB" w:rsidRDefault="00DC335F" w:rsidP="00FA02FD">
      <w:pPr>
        <w:pStyle w:val="Pealkiri2"/>
        <w:jc w:val="both"/>
      </w:pPr>
      <w:r>
        <w:t xml:space="preserve">12.6 </w:t>
      </w:r>
      <w:r w:rsidR="00686F65" w:rsidRPr="003B70CB">
        <w:t xml:space="preserve">Concerning section 2.2: A functionality period for polymers in products for agricultural and horticultural applications should be considered when performing Group 4 and 5 tests. How to deal with the situation that the functionality period of a polymer is close to or exceeds the standard test duration (e.g., 120 days in </w:t>
      </w:r>
      <w:proofErr w:type="gramStart"/>
      <w:r w:rsidR="00686F65" w:rsidRPr="003B70CB">
        <w:t>a</w:t>
      </w:r>
      <w:proofErr w:type="gramEnd"/>
      <w:r w:rsidR="00686F65" w:rsidRPr="003B70CB">
        <w:t xml:space="preserve"> OECD 307 soil simulation test)? </w:t>
      </w:r>
    </w:p>
    <w:p w14:paraId="7C4805E5" w14:textId="0CFA469D" w:rsidR="00686F65" w:rsidRPr="003B70CB" w:rsidRDefault="00686F65" w:rsidP="00686F65">
      <w:pPr>
        <w:jc w:val="both"/>
      </w:pPr>
      <w:r w:rsidRPr="003B70CB">
        <w:t xml:space="preserve">Extrapolating degradation in that situation </w:t>
      </w:r>
      <w:proofErr w:type="gramStart"/>
      <w:r w:rsidRPr="003B70CB">
        <w:t>is connected with</w:t>
      </w:r>
      <w:proofErr w:type="gramEnd"/>
      <w:r w:rsidRPr="003B70CB">
        <w:t xml:space="preserve"> a high degree of uncertainty or is even impossible. </w:t>
      </w:r>
      <w:r w:rsidR="003B70CB">
        <w:t xml:space="preserve">The </w:t>
      </w:r>
      <w:r w:rsidRPr="003B70CB">
        <w:t xml:space="preserve">degradation criteria should only start at the end of the functionality period. </w:t>
      </w:r>
    </w:p>
    <w:p w14:paraId="72171A26" w14:textId="77777777" w:rsidR="00686F65" w:rsidRDefault="00686F65" w:rsidP="00686F65">
      <w:pPr>
        <w:jc w:val="both"/>
        <w:rPr>
          <w:sz w:val="24"/>
          <w:szCs w:val="24"/>
        </w:rPr>
      </w:pPr>
    </w:p>
    <w:p w14:paraId="7B531CA9" w14:textId="18E85A8E" w:rsidR="00686F65" w:rsidRDefault="00DC335F" w:rsidP="00FA02FD">
      <w:pPr>
        <w:pStyle w:val="Pealkiri2"/>
        <w:jc w:val="both"/>
      </w:pPr>
      <w:r>
        <w:t xml:space="preserve">12.7 </w:t>
      </w:r>
      <w:r w:rsidR="00686F65" w:rsidRPr="003B70CB">
        <w:t xml:space="preserve">Recital 47 of the legal text </w:t>
      </w:r>
      <w:proofErr w:type="gramStart"/>
      <w:r w:rsidR="00686F65" w:rsidRPr="003B70CB">
        <w:t>takes into account</w:t>
      </w:r>
      <w:proofErr w:type="gramEnd"/>
      <w:r w:rsidR="00686F65" w:rsidRPr="003B70CB">
        <w:t xml:space="preserve"> the need for reviewing the standard degradability and solubility test methods due to scientific developments. Is there a time frame and/or procedure already existing on when and how this review will be performed?</w:t>
      </w:r>
    </w:p>
    <w:p w14:paraId="793C078C" w14:textId="13715416" w:rsidR="00A147C4" w:rsidRPr="00DE663E" w:rsidRDefault="00DE663E" w:rsidP="003B70CB">
      <w:pPr>
        <w:jc w:val="both"/>
        <w:rPr>
          <w:color w:val="000000" w:themeColor="text1"/>
        </w:rPr>
      </w:pPr>
      <w:r w:rsidRPr="00DE663E">
        <w:rPr>
          <w:color w:val="000000" w:themeColor="text1"/>
        </w:rPr>
        <w:t>According to Recital 47</w:t>
      </w:r>
      <w:r w:rsidR="002000EC">
        <w:rPr>
          <w:color w:val="000000" w:themeColor="text1"/>
        </w:rPr>
        <w:t xml:space="preserve"> there may be a need to review the test methods </w:t>
      </w:r>
      <w:r w:rsidR="00973FD0">
        <w:rPr>
          <w:color w:val="000000" w:themeColor="text1"/>
        </w:rPr>
        <w:t xml:space="preserve">in case specific test methods for SPM solubility and degradability are </w:t>
      </w:r>
      <w:r w:rsidR="00435259">
        <w:rPr>
          <w:color w:val="000000" w:themeColor="text1"/>
        </w:rPr>
        <w:t xml:space="preserve">developed. There is no time frame nor a specific </w:t>
      </w:r>
      <w:r w:rsidR="004B78D9">
        <w:rPr>
          <w:color w:val="000000" w:themeColor="text1"/>
        </w:rPr>
        <w:t>procedure for that.</w:t>
      </w:r>
    </w:p>
    <w:p w14:paraId="5BF1CA43" w14:textId="77777777" w:rsidR="00686F65" w:rsidRDefault="00686F65" w:rsidP="008A4391">
      <w:pPr>
        <w:pStyle w:val="Pealkiri1"/>
        <w:numPr>
          <w:ilvl w:val="0"/>
          <w:numId w:val="11"/>
        </w:numPr>
      </w:pPr>
      <w:bookmarkStart w:id="43" w:name="_Toc170394079"/>
      <w:r w:rsidRPr="006D78C7">
        <w:t>SOLUBILITY TESTING PROPOSAL</w:t>
      </w:r>
      <w:bookmarkEnd w:id="43"/>
    </w:p>
    <w:p w14:paraId="62486A79" w14:textId="77777777" w:rsidR="008C132E" w:rsidRPr="008C132E" w:rsidRDefault="008C132E" w:rsidP="008C132E"/>
    <w:p w14:paraId="4252B794" w14:textId="0420D23B" w:rsidR="00686F65" w:rsidRPr="004B78D9" w:rsidRDefault="00686F65" w:rsidP="00686F65">
      <w:pPr>
        <w:jc w:val="both"/>
      </w:pPr>
      <w:r w:rsidRPr="004B78D9">
        <w:t xml:space="preserve">The present section includes questions received from companies and associations concerning Appendix 16 of the restriction on synthetic polymer microparticles. </w:t>
      </w:r>
    </w:p>
    <w:p w14:paraId="66AE7532" w14:textId="409D09BF" w:rsidR="00686F65" w:rsidRPr="004B78D9" w:rsidRDefault="00DC335F" w:rsidP="00FA02FD">
      <w:pPr>
        <w:pStyle w:val="Pealkiri2"/>
        <w:jc w:val="both"/>
      </w:pPr>
      <w:r>
        <w:t xml:space="preserve">13.1 </w:t>
      </w:r>
      <w:r w:rsidR="00686F65" w:rsidRPr="004B78D9">
        <w:t>According to Appendix 16</w:t>
      </w:r>
      <w:r w:rsidR="00E94768">
        <w:t xml:space="preserve"> </w:t>
      </w:r>
      <w:r w:rsidR="00686F65" w:rsidRPr="004B78D9">
        <w:t xml:space="preserve">The conditions for the solubility test shall be as follows: - Temperature:      20°C - pH: 7 Loading: 10 g/1 000 ml Duration of the test: 24 hours Threshold: solubility &gt; 2 g/l". In some cases, for example, solid polymers have pH other than 7 because their use, in application processes, requires different conditions, and the pH </w:t>
      </w:r>
      <w:proofErr w:type="gramStart"/>
      <w:r w:rsidR="00686F65" w:rsidRPr="004B78D9">
        <w:t>7  is</w:t>
      </w:r>
      <w:proofErr w:type="gramEnd"/>
      <w:r w:rsidR="00686F65" w:rsidRPr="004B78D9">
        <w:t xml:space="preserve"> not applicable for a chemical designed to be used in different conditions. Is it possible to derogate in this case the solubility tests conditions, with a description of the reasons?</w:t>
      </w:r>
    </w:p>
    <w:p w14:paraId="2526F2B0" w14:textId="42B11A6E" w:rsidR="006F1218" w:rsidRPr="004B78D9" w:rsidRDefault="00686F65" w:rsidP="000A5891">
      <w:pPr>
        <w:jc w:val="both"/>
      </w:pPr>
      <w:r w:rsidRPr="004B78D9">
        <w:t xml:space="preserve">No. In this case, it might be considered that the polymer is solid and insoluble as the conditions to test solubility are legally stated. </w:t>
      </w:r>
    </w:p>
    <w:sectPr w:rsidR="006F1218" w:rsidRPr="004B78D9" w:rsidSect="009E3E1A">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ALMEIDA Filipe" w:date="2024-06-28T14:35:00Z" w:initials="FA">
    <w:p w14:paraId="13BA950D" w14:textId="77777777" w:rsidR="00BD299E" w:rsidRDefault="00BD299E" w:rsidP="00BD299E">
      <w:pPr>
        <w:pStyle w:val="Kommentaaritekst"/>
      </w:pPr>
      <w:r>
        <w:rPr>
          <w:rStyle w:val="Kommentaariviide"/>
        </w:rPr>
        <w:annotationRef/>
      </w:r>
      <w:r>
        <w:t>Changed the font and the size to match the other answers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BA95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4D8C66" w16cex:dateUtc="2024-06-28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BA950D" w16cid:durableId="584D8C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3E46D" w14:textId="77777777" w:rsidR="0018211F" w:rsidRDefault="0018211F" w:rsidP="00842BF9">
      <w:pPr>
        <w:spacing w:after="0" w:line="240" w:lineRule="auto"/>
      </w:pPr>
      <w:r>
        <w:separator/>
      </w:r>
    </w:p>
  </w:endnote>
  <w:endnote w:type="continuationSeparator" w:id="0">
    <w:p w14:paraId="7F8E48A2" w14:textId="77777777" w:rsidR="0018211F" w:rsidRDefault="0018211F" w:rsidP="00842BF9">
      <w:pPr>
        <w:spacing w:after="0" w:line="240" w:lineRule="auto"/>
      </w:pPr>
      <w:r>
        <w:continuationSeparator/>
      </w:r>
    </w:p>
  </w:endnote>
  <w:endnote w:type="continuationNotice" w:id="1">
    <w:p w14:paraId="6BDF685D" w14:textId="77777777" w:rsidR="0018211F" w:rsidRDefault="00182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251686"/>
      <w:docPartObj>
        <w:docPartGallery w:val="Page Numbers (Bottom of Page)"/>
        <w:docPartUnique/>
      </w:docPartObj>
    </w:sdtPr>
    <w:sdtEndPr>
      <w:rPr>
        <w:noProof/>
      </w:rPr>
    </w:sdtEndPr>
    <w:sdtContent>
      <w:p w14:paraId="13FC558F" w14:textId="15BC6D70" w:rsidR="009E064E" w:rsidRDefault="009E064E">
        <w:pPr>
          <w:pStyle w:val="Jalus"/>
          <w:jc w:val="center"/>
        </w:pPr>
        <w:r>
          <w:fldChar w:fldCharType="begin"/>
        </w:r>
        <w:r>
          <w:instrText xml:space="preserve"> PAGE   \* MERGEFORMAT </w:instrText>
        </w:r>
        <w:r>
          <w:fldChar w:fldCharType="separate"/>
        </w:r>
        <w:r>
          <w:rPr>
            <w:noProof/>
          </w:rPr>
          <w:t>2</w:t>
        </w:r>
        <w:r>
          <w:rPr>
            <w:noProof/>
          </w:rPr>
          <w:fldChar w:fldCharType="end"/>
        </w:r>
      </w:p>
    </w:sdtContent>
  </w:sdt>
  <w:p w14:paraId="00D9D2AC" w14:textId="77777777" w:rsidR="00A01FE2" w:rsidRDefault="00A01FE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09F38" w14:textId="77777777" w:rsidR="0018211F" w:rsidRDefault="0018211F" w:rsidP="00842BF9">
      <w:pPr>
        <w:spacing w:after="0" w:line="240" w:lineRule="auto"/>
      </w:pPr>
      <w:r>
        <w:separator/>
      </w:r>
    </w:p>
  </w:footnote>
  <w:footnote w:type="continuationSeparator" w:id="0">
    <w:p w14:paraId="43BD685A" w14:textId="77777777" w:rsidR="0018211F" w:rsidRDefault="0018211F" w:rsidP="00842BF9">
      <w:pPr>
        <w:spacing w:after="0" w:line="240" w:lineRule="auto"/>
      </w:pPr>
      <w:r>
        <w:continuationSeparator/>
      </w:r>
    </w:p>
  </w:footnote>
  <w:footnote w:type="continuationNotice" w:id="1">
    <w:p w14:paraId="78A20EB3" w14:textId="77777777" w:rsidR="0018211F" w:rsidRDefault="001821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4682"/>
    </w:tblGrid>
    <w:tr w:rsidR="00A01FE2" w:rsidRPr="007C2D72" w14:paraId="6D7ECE35" w14:textId="77777777" w:rsidTr="17691522">
      <w:tc>
        <w:tcPr>
          <w:tcW w:w="4678" w:type="dxa"/>
          <w:vMerge w:val="restart"/>
        </w:tcPr>
        <w:p w14:paraId="31460A21" w14:textId="77777777" w:rsidR="00A01FE2" w:rsidRPr="007C2D72" w:rsidRDefault="009057CE" w:rsidP="00A01FE2">
          <w:pPr>
            <w:tabs>
              <w:tab w:val="center" w:pos="4536"/>
              <w:tab w:val="right" w:pos="9072"/>
            </w:tabs>
            <w:rPr>
              <w:b/>
              <w:noProof/>
              <w:sz w:val="36"/>
              <w:szCs w:val="36"/>
              <w:lang w:eastAsia="fr-BE"/>
            </w:rPr>
          </w:pPr>
          <w:r>
            <w:rPr>
              <w:b/>
              <w:noProof/>
              <w:sz w:val="36"/>
              <w:szCs w:val="36"/>
            </w:rPr>
            <w:drawing>
              <wp:anchor distT="0" distB="0" distL="114300" distR="114300" simplePos="0" relativeHeight="251659264" behindDoc="0" locked="1" layoutInCell="1" allowOverlap="1" wp14:anchorId="587EF70A" wp14:editId="19D80DCE">
                <wp:simplePos x="0" y="0"/>
                <wp:positionH relativeFrom="column">
                  <wp:align>left</wp:align>
                </wp:positionH>
                <wp:positionV relativeFrom="page">
                  <wp:align>top</wp:align>
                </wp:positionV>
                <wp:extent cx="1035050" cy="431800"/>
                <wp:effectExtent l="0" t="0" r="0" b="6350"/>
                <wp:wrapNone/>
                <wp:docPr id="117201846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cop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310" cy="432000"/>
                        </a:xfrm>
                        <a:prstGeom prst="rect">
                          <a:avLst/>
                        </a:prstGeom>
                      </pic:spPr>
                    </pic:pic>
                  </a:graphicData>
                </a:graphic>
                <wp14:sizeRelH relativeFrom="margin">
                  <wp14:pctWidth>0</wp14:pctWidth>
                </wp14:sizeRelH>
                <wp14:sizeRelV relativeFrom="margin">
                  <wp14:pctHeight>0</wp14:pctHeight>
                </wp14:sizeRelV>
              </wp:anchor>
            </w:drawing>
          </w:r>
        </w:p>
      </w:tc>
      <w:tc>
        <w:tcPr>
          <w:tcW w:w="4682" w:type="dxa"/>
          <w:vAlign w:val="bottom"/>
        </w:tcPr>
        <w:p w14:paraId="66FF5C24" w14:textId="7AA58975" w:rsidR="00A01FE2" w:rsidRPr="004E20F9" w:rsidRDefault="00A01FE2" w:rsidP="00A01FE2">
          <w:pPr>
            <w:pStyle w:val="Pis"/>
            <w:rPr>
              <w:color w:val="538135" w:themeColor="accent6" w:themeShade="BF"/>
              <w:sz w:val="32"/>
              <w:szCs w:val="32"/>
            </w:rPr>
          </w:pPr>
        </w:p>
      </w:tc>
    </w:tr>
    <w:tr w:rsidR="00A01FE2" w:rsidRPr="007C2D72" w14:paraId="64499990" w14:textId="77777777" w:rsidTr="17691522">
      <w:tc>
        <w:tcPr>
          <w:tcW w:w="4678" w:type="dxa"/>
          <w:vMerge/>
        </w:tcPr>
        <w:p w14:paraId="34B9AE22" w14:textId="77777777" w:rsidR="00A01FE2" w:rsidRPr="007C2D72" w:rsidRDefault="00A01FE2" w:rsidP="00A01FE2">
          <w:pPr>
            <w:tabs>
              <w:tab w:val="center" w:pos="4536"/>
              <w:tab w:val="right" w:pos="9072"/>
            </w:tabs>
            <w:jc w:val="right"/>
            <w:rPr>
              <w:b/>
              <w:noProof/>
              <w:sz w:val="36"/>
              <w:szCs w:val="36"/>
              <w:lang w:eastAsia="fr-BE"/>
            </w:rPr>
          </w:pPr>
        </w:p>
      </w:tc>
      <w:tc>
        <w:tcPr>
          <w:tcW w:w="4682" w:type="dxa"/>
        </w:tcPr>
        <w:p w14:paraId="525A10F6" w14:textId="7A72ECEC" w:rsidR="00A01FE2" w:rsidRPr="004E20F9" w:rsidRDefault="005C082C" w:rsidP="00A01FE2">
          <w:pPr>
            <w:pStyle w:val="Kuupev"/>
            <w:rPr>
              <w:color w:val="538135" w:themeColor="accent6" w:themeShade="BF"/>
            </w:rPr>
          </w:pPr>
          <w:r>
            <w:rPr>
              <w:color w:val="538135" w:themeColor="accent6" w:themeShade="BF"/>
            </w:rPr>
            <w:t xml:space="preserve">28 </w:t>
          </w:r>
          <w:r w:rsidR="17691522" w:rsidRPr="17691522">
            <w:rPr>
              <w:color w:val="538135" w:themeColor="accent6" w:themeShade="BF"/>
            </w:rPr>
            <w:t>June 2024</w:t>
          </w:r>
        </w:p>
      </w:tc>
    </w:tr>
  </w:tbl>
  <w:p w14:paraId="76950E3D" w14:textId="120BE96A" w:rsidR="00A01FE2" w:rsidRPr="00AC13F2" w:rsidRDefault="00CB220B" w:rsidP="00A01FE2">
    <w:pPr>
      <w:rPr>
        <w:rFonts w:ascii="Calibri" w:eastAsia="Calibri" w:hAnsi="Calibri" w:cs="Times New Roman"/>
        <w:noProof/>
        <w:color w:val="FFFFFF" w:themeColor="background1"/>
        <w:sz w:val="18"/>
        <w:szCs w:val="20"/>
      </w:rPr>
    </w:pPr>
    <w:sdt>
      <w:sdtPr>
        <w:rPr>
          <w:rFonts w:ascii="Calibri" w:eastAsia="Calibri" w:hAnsi="Calibri" w:cs="Times New Roman"/>
          <w:noProof/>
          <w:color w:val="FFFFFF" w:themeColor="background1"/>
          <w:sz w:val="18"/>
          <w:szCs w:val="20"/>
        </w:rPr>
        <w:id w:val="-603257052"/>
        <w:docPartObj>
          <w:docPartGallery w:val="Watermarks"/>
          <w:docPartUnique/>
        </w:docPartObj>
      </w:sdtPr>
      <w:sdtEndPr/>
      <w:sdtContent>
        <w:r w:rsidR="00840B5F">
          <w:rPr>
            <w:rFonts w:ascii="Calibri" w:eastAsia="Calibri" w:hAnsi="Calibri" w:cs="Times New Roman"/>
            <w:noProof/>
            <w:color w:val="FFFFFF" w:themeColor="background1"/>
            <w:sz w:val="18"/>
            <w:szCs w:val="20"/>
          </w:rPr>
          <mc:AlternateContent>
            <mc:Choice Requires="wps">
              <w:drawing>
                <wp:anchor distT="0" distB="0" distL="114300" distR="114300" simplePos="0" relativeHeight="251668480" behindDoc="1" locked="0" layoutInCell="0" allowOverlap="1" wp14:anchorId="690AE4F2" wp14:editId="34C8F9D6">
                  <wp:simplePos x="0" y="0"/>
                  <wp:positionH relativeFrom="margin">
                    <wp:align>center</wp:align>
                  </wp:positionH>
                  <wp:positionV relativeFrom="margin">
                    <wp:align>center</wp:align>
                  </wp:positionV>
                  <wp:extent cx="5237480" cy="3142615"/>
                  <wp:effectExtent l="0" t="0" r="0" b="0"/>
                  <wp:wrapNone/>
                  <wp:docPr id="1"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FACD9B" w14:textId="77777777" w:rsidR="00840B5F" w:rsidRDefault="00840B5F" w:rsidP="00840B5F">
                              <w:pPr>
                                <w:jc w:val="center"/>
                                <w:rPr>
                                  <w:rFonts w:ascii="Calibri" w:hAnsi="Calibri"/>
                                  <w:color w:val="C0C0C0"/>
                                  <w:kern w:val="0"/>
                                  <w:sz w:val="16"/>
                                  <w:szCs w:val="16"/>
                                  <w:lang w:val="de-DE"/>
                                  <w14:textFill>
                                    <w14:solidFill>
                                      <w14:srgbClr w14:val="C0C0C0">
                                        <w14:alpha w14:val="50000"/>
                                      </w14:srgbClr>
                                    </w14:solidFill>
                                  </w14:textFill>
                                  <w14:ligatures w14:val="none"/>
                                </w:rPr>
                              </w:pPr>
                              <w:r>
                                <w:rPr>
                                  <w:rFonts w:ascii="Calibri" w:hAnsi="Calibri"/>
                                  <w:color w:val="C0C0C0"/>
                                  <w:sz w:val="16"/>
                                  <w:szCs w:val="16"/>
                                  <w:lang w:val="de-DE"/>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0AE4F2" id="_x0000_t202" coordsize="21600,21600" o:spt="202" path="m,l,21600r21600,l21600,xe">
                  <v:stroke joinstyle="miter"/>
                  <v:path gradientshapeok="t" o:connecttype="rect"/>
                </v:shapetype>
                <v:shape id="PowerPlusWaterMarkObject357831064" o:spid="_x0000_s1029" type="#_x0000_t202" style="position:absolute;margin-left:0;margin-top:0;width:412.4pt;height:247.4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o:allowincell="f" filled="f" stroked="f">
                  <v:stroke joinstyle="round"/>
                  <o:lock v:ext="edit" rotation="t" aspectratio="t" verticies="t" adjusthandles="t" grouping="t" shapetype="t"/>
                  <v:textbox>
                    <w:txbxContent>
                      <w:p w14:paraId="37FACD9B" w14:textId="77777777" w:rsidR="00840B5F" w:rsidRDefault="00840B5F" w:rsidP="00840B5F">
                        <w:pPr>
                          <w:jc w:val="center"/>
                          <w:rPr>
                            <w:rFonts w:ascii="Calibri" w:hAnsi="Calibri"/>
                            <w:color w:val="C0C0C0"/>
                            <w:kern w:val="0"/>
                            <w:sz w:val="16"/>
                            <w:szCs w:val="16"/>
                            <w:lang w:val="de-DE"/>
                            <w14:textFill>
                              <w14:solidFill>
                                <w14:srgbClr w14:val="C0C0C0">
                                  <w14:alpha w14:val="50000"/>
                                </w14:srgbClr>
                              </w14:solidFill>
                            </w14:textFill>
                            <w14:ligatures w14:val="none"/>
                          </w:rPr>
                        </w:pPr>
                        <w:r>
                          <w:rPr>
                            <w:rFonts w:ascii="Calibri" w:hAnsi="Calibri"/>
                            <w:color w:val="C0C0C0"/>
                            <w:sz w:val="16"/>
                            <w:szCs w:val="16"/>
                            <w:lang w:val="de-DE"/>
                            <w14:textFill>
                              <w14:solidFill>
                                <w14:srgbClr w14:val="C0C0C0">
                                  <w14:alpha w14:val="50000"/>
                                </w14:srgbClr>
                              </w14:solidFill>
                            </w14:textFill>
                          </w:rPr>
                          <w:t>DRAFT</w:t>
                        </w:r>
                      </w:p>
                    </w:txbxContent>
                  </v:textbox>
                  <w10:wrap anchorx="margin" anchory="margin"/>
                </v:shape>
              </w:pict>
            </mc:Fallback>
          </mc:AlternateContent>
        </w:r>
      </w:sdtContent>
    </w:sdt>
    <w:r w:rsidR="009057CE" w:rsidRPr="004E20F9">
      <w:rPr>
        <w:rFonts w:ascii="Calibri" w:eastAsia="Calibri" w:hAnsi="Calibri" w:cs="Times New Roman"/>
        <w:noProof/>
        <w:color w:val="FFFFFF" w:themeColor="background1"/>
        <w:sz w:val="18"/>
        <w:szCs w:val="20"/>
        <w:lang w:val="fr-BE"/>
      </w:rPr>
      <mc:AlternateContent>
        <mc:Choice Requires="wps">
          <w:drawing>
            <wp:anchor distT="0" distB="0" distL="114300" distR="114300" simplePos="0" relativeHeight="251648000" behindDoc="0" locked="0" layoutInCell="1" allowOverlap="1" wp14:anchorId="10966324" wp14:editId="7466249B">
              <wp:simplePos x="0" y="0"/>
              <wp:positionH relativeFrom="column">
                <wp:posOffset>0</wp:posOffset>
              </wp:positionH>
              <wp:positionV relativeFrom="paragraph">
                <wp:posOffset>57150</wp:posOffset>
              </wp:positionV>
              <wp:extent cx="5994000" cy="0"/>
              <wp:effectExtent l="0" t="0" r="26035" b="1905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000" cy="0"/>
                      </a:xfrm>
                      <a:prstGeom prst="line">
                        <a:avLst/>
                      </a:prstGeom>
                      <a:noFill/>
                      <a:ln w="6350">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311A" id="Gerader Verbinder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71.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" strokecolor="#44546a [3215]" strokeweight=".5pt"/>
          </w:pict>
        </mc:Fallback>
      </mc:AlternateContent>
    </w:r>
  </w:p>
  <w:p w14:paraId="4F502DB3" w14:textId="6B7963EE" w:rsidR="00A01FE2" w:rsidRPr="003E7A2D" w:rsidRDefault="009057CE" w:rsidP="00A01FE2">
    <w:pPr>
      <w:pStyle w:val="Kuupev"/>
      <w:jc w:val="left"/>
      <w:rPr>
        <w:color w:val="auto"/>
      </w:rPr>
    </w:pPr>
    <w:r w:rsidRPr="00AC13F2">
      <w:rPr>
        <w:lang w:val="en-US"/>
      </w:rPr>
      <w:tab/>
    </w:r>
    <w:r>
      <w:t>SE</w:t>
    </w:r>
    <w:r w:rsidR="00475AD7">
      <w:t>T</w:t>
    </w:r>
    <w:r>
      <w:t xml:space="preserve">PTEMBER </w:t>
    </w:r>
    <w:r w:rsidRPr="00FB7A8F">
      <w:t>201</w:t>
    </w:r>
    <w:r>
      <w:t>9</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F5A"/>
    <w:multiLevelType w:val="hybridMultilevel"/>
    <w:tmpl w:val="31DADEDE"/>
    <w:lvl w:ilvl="0" w:tplc="FE489A86">
      <w:start w:val="1"/>
      <w:numFmt w:val="bullet"/>
      <w:pStyle w:val="Loenditpp2"/>
      <w:lvlText w:val=""/>
      <w:lvlJc w:val="left"/>
      <w:pPr>
        <w:ind w:left="831" w:hanging="360"/>
      </w:pPr>
      <w:rPr>
        <w:rFonts w:ascii="Symbol" w:hAnsi="Symbol" w:hint="default"/>
        <w:b w:val="0"/>
        <w:i w:val="0"/>
        <w:color w:val="6A737B"/>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E0A16"/>
    <w:multiLevelType w:val="multilevel"/>
    <w:tmpl w:val="2A78932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0A4246"/>
    <w:multiLevelType w:val="hybridMultilevel"/>
    <w:tmpl w:val="6D326E1C"/>
    <w:lvl w:ilvl="0" w:tplc="5A723A52">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FA61D4"/>
    <w:multiLevelType w:val="multilevel"/>
    <w:tmpl w:val="4D5AF518"/>
    <w:lvl w:ilvl="0">
      <w:start w:val="1"/>
      <w:numFmt w:val="decimal"/>
      <w:lvlText w:val="%1.1"/>
      <w:lvlJc w:val="left"/>
      <w:pPr>
        <w:ind w:left="78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386CC3"/>
    <w:multiLevelType w:val="hybridMultilevel"/>
    <w:tmpl w:val="707E037C"/>
    <w:lvl w:ilvl="0" w:tplc="5A723A5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119E8"/>
    <w:multiLevelType w:val="hybridMultilevel"/>
    <w:tmpl w:val="999C98A0"/>
    <w:lvl w:ilvl="0" w:tplc="FFFFFFFF">
      <w:start w:val="1"/>
      <w:numFmt w:val="decimal"/>
      <w:pStyle w:val="Style2"/>
      <w:lvlText w:val="3.%1"/>
      <w:lvlJc w:val="left"/>
      <w:pPr>
        <w:ind w:left="1440" w:hanging="360"/>
      </w:pPr>
      <w:rPr>
        <w:b/>
        <w:bCs/>
        <w:i w:val="0"/>
        <w:sz w:val="24"/>
        <w:szCs w:val="24"/>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5E1459"/>
    <w:multiLevelType w:val="hybridMultilevel"/>
    <w:tmpl w:val="B67A04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0706FA"/>
    <w:multiLevelType w:val="hybridMultilevel"/>
    <w:tmpl w:val="CC7A0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987550"/>
    <w:multiLevelType w:val="hybridMultilevel"/>
    <w:tmpl w:val="7B82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5383C"/>
    <w:multiLevelType w:val="multilevel"/>
    <w:tmpl w:val="47FE3768"/>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EA95305"/>
    <w:multiLevelType w:val="multilevel"/>
    <w:tmpl w:val="5560B7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1E5394"/>
    <w:multiLevelType w:val="multilevel"/>
    <w:tmpl w:val="CCD83382"/>
    <w:lvl w:ilvl="0">
      <w:start w:val="1"/>
      <w:numFmt w:val="decimal"/>
      <w:lvlText w:val="%1."/>
      <w:lvlJc w:val="left"/>
      <w:pPr>
        <w:ind w:left="360" w:hanging="360"/>
      </w:pPr>
      <w:rPr>
        <w:rFonts w:hint="default"/>
        <w:color w:val="4472C4" w:themeColor="accent1"/>
      </w:rPr>
    </w:lvl>
    <w:lvl w:ilvl="1">
      <w:start w:val="1"/>
      <w:numFmt w:val="decimal"/>
      <w:lvlText w:val="%1.%2."/>
      <w:lvlJc w:val="left"/>
      <w:pPr>
        <w:ind w:left="715"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842853"/>
    <w:multiLevelType w:val="hybridMultilevel"/>
    <w:tmpl w:val="4074361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3" w15:restartNumberingAfterBreak="0">
    <w:nsid w:val="74292237"/>
    <w:multiLevelType w:val="hybridMultilevel"/>
    <w:tmpl w:val="B1A80250"/>
    <w:lvl w:ilvl="0" w:tplc="5A723A5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1336B"/>
    <w:multiLevelType w:val="hybridMultilevel"/>
    <w:tmpl w:val="00400D4E"/>
    <w:lvl w:ilvl="0" w:tplc="DAB280B6">
      <w:start w:val="1"/>
      <w:numFmt w:val="decimal"/>
      <w:pStyle w:val="Pealkiri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78156F"/>
    <w:multiLevelType w:val="multilevel"/>
    <w:tmpl w:val="FDB6BCA2"/>
    <w:lvl w:ilvl="0">
      <w:start w:val="2"/>
      <w:numFmt w:val="decimal"/>
      <w:lvlText w:val="%1"/>
      <w:lvlJc w:val="left"/>
      <w:pPr>
        <w:ind w:left="360" w:hanging="360"/>
      </w:pPr>
      <w:rPr>
        <w:rFonts w:hint="default"/>
        <w:color w:val="2F5496" w:themeColor="accent1" w:themeShade="BF"/>
      </w:rPr>
    </w:lvl>
    <w:lvl w:ilvl="1">
      <w:start w:val="2"/>
      <w:numFmt w:val="decimal"/>
      <w:lvlText w:val="%1.%2"/>
      <w:lvlJc w:val="left"/>
      <w:pPr>
        <w:ind w:left="928" w:hanging="360"/>
      </w:pPr>
      <w:rPr>
        <w:rFonts w:hint="default"/>
        <w:color w:val="2F5496" w:themeColor="accent1" w:themeShade="BF"/>
      </w:rPr>
    </w:lvl>
    <w:lvl w:ilvl="2">
      <w:start w:val="1"/>
      <w:numFmt w:val="decimal"/>
      <w:lvlText w:val="%1.%2.%3"/>
      <w:lvlJc w:val="left"/>
      <w:pPr>
        <w:ind w:left="1572" w:hanging="720"/>
      </w:pPr>
      <w:rPr>
        <w:rFonts w:hint="default"/>
        <w:color w:val="2F5496" w:themeColor="accent1" w:themeShade="BF"/>
      </w:rPr>
    </w:lvl>
    <w:lvl w:ilvl="3">
      <w:start w:val="1"/>
      <w:numFmt w:val="decimal"/>
      <w:lvlText w:val="%1.%2.%3.%4"/>
      <w:lvlJc w:val="left"/>
      <w:pPr>
        <w:ind w:left="1998" w:hanging="720"/>
      </w:pPr>
      <w:rPr>
        <w:rFonts w:hint="default"/>
        <w:color w:val="2F5496" w:themeColor="accent1" w:themeShade="BF"/>
      </w:rPr>
    </w:lvl>
    <w:lvl w:ilvl="4">
      <w:start w:val="1"/>
      <w:numFmt w:val="decimal"/>
      <w:lvlText w:val="%1.%2.%3.%4.%5"/>
      <w:lvlJc w:val="left"/>
      <w:pPr>
        <w:ind w:left="2784" w:hanging="1080"/>
      </w:pPr>
      <w:rPr>
        <w:rFonts w:hint="default"/>
        <w:color w:val="2F5496" w:themeColor="accent1" w:themeShade="BF"/>
      </w:rPr>
    </w:lvl>
    <w:lvl w:ilvl="5">
      <w:start w:val="1"/>
      <w:numFmt w:val="decimal"/>
      <w:lvlText w:val="%1.%2.%3.%4.%5.%6"/>
      <w:lvlJc w:val="left"/>
      <w:pPr>
        <w:ind w:left="3570" w:hanging="1440"/>
      </w:pPr>
      <w:rPr>
        <w:rFonts w:hint="default"/>
        <w:color w:val="2F5496" w:themeColor="accent1" w:themeShade="BF"/>
      </w:rPr>
    </w:lvl>
    <w:lvl w:ilvl="6">
      <w:start w:val="1"/>
      <w:numFmt w:val="decimal"/>
      <w:lvlText w:val="%1.%2.%3.%4.%5.%6.%7"/>
      <w:lvlJc w:val="left"/>
      <w:pPr>
        <w:ind w:left="3996" w:hanging="1440"/>
      </w:pPr>
      <w:rPr>
        <w:rFonts w:hint="default"/>
        <w:color w:val="2F5496" w:themeColor="accent1" w:themeShade="BF"/>
      </w:rPr>
    </w:lvl>
    <w:lvl w:ilvl="7">
      <w:start w:val="1"/>
      <w:numFmt w:val="decimal"/>
      <w:lvlText w:val="%1.%2.%3.%4.%5.%6.%7.%8"/>
      <w:lvlJc w:val="left"/>
      <w:pPr>
        <w:ind w:left="4782" w:hanging="1800"/>
      </w:pPr>
      <w:rPr>
        <w:rFonts w:hint="default"/>
        <w:color w:val="2F5496" w:themeColor="accent1" w:themeShade="BF"/>
      </w:rPr>
    </w:lvl>
    <w:lvl w:ilvl="8">
      <w:start w:val="1"/>
      <w:numFmt w:val="decimal"/>
      <w:lvlText w:val="%1.%2.%3.%4.%5.%6.%7.%8.%9"/>
      <w:lvlJc w:val="left"/>
      <w:pPr>
        <w:ind w:left="5208" w:hanging="1800"/>
      </w:pPr>
      <w:rPr>
        <w:rFonts w:hint="default"/>
        <w:color w:val="2F5496" w:themeColor="accent1" w:themeShade="BF"/>
      </w:rPr>
    </w:lvl>
  </w:abstractNum>
  <w:num w:numId="1" w16cid:durableId="1466386619">
    <w:abstractNumId w:val="14"/>
  </w:num>
  <w:num w:numId="2" w16cid:durableId="1745568817">
    <w:abstractNumId w:val="0"/>
  </w:num>
  <w:num w:numId="3" w16cid:durableId="576593667">
    <w:abstractNumId w:val="5"/>
  </w:num>
  <w:num w:numId="4" w16cid:durableId="454372605">
    <w:abstractNumId w:val="6"/>
  </w:num>
  <w:num w:numId="5" w16cid:durableId="589898542">
    <w:abstractNumId w:val="8"/>
  </w:num>
  <w:num w:numId="6" w16cid:durableId="945891391">
    <w:abstractNumId w:val="2"/>
  </w:num>
  <w:num w:numId="7" w16cid:durableId="1736589048">
    <w:abstractNumId w:val="13"/>
  </w:num>
  <w:num w:numId="8" w16cid:durableId="46875492">
    <w:abstractNumId w:val="4"/>
  </w:num>
  <w:num w:numId="9" w16cid:durableId="961307860">
    <w:abstractNumId w:val="12"/>
  </w:num>
  <w:num w:numId="10" w16cid:durableId="1322809138">
    <w:abstractNumId w:val="7"/>
  </w:num>
  <w:num w:numId="11" w16cid:durableId="803040695">
    <w:abstractNumId w:val="11"/>
  </w:num>
  <w:num w:numId="12" w16cid:durableId="1173060149">
    <w:abstractNumId w:val="3"/>
  </w:num>
  <w:num w:numId="13" w16cid:durableId="2038114552">
    <w:abstractNumId w:val="9"/>
  </w:num>
  <w:num w:numId="14" w16cid:durableId="17897712">
    <w:abstractNumId w:val="15"/>
  </w:num>
  <w:num w:numId="15" w16cid:durableId="1650357740">
    <w:abstractNumId w:val="1"/>
  </w:num>
  <w:num w:numId="16" w16cid:durableId="1591892337">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EIDA Filipe">
    <w15:presenceInfo w15:providerId="AD" w15:userId="S::fal@cefic.be::10f57c3f-d4cb-47ab-88db-03405bfac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F9"/>
    <w:rsid w:val="00000CC2"/>
    <w:rsid w:val="0000172B"/>
    <w:rsid w:val="00001866"/>
    <w:rsid w:val="00001ABF"/>
    <w:rsid w:val="00001C75"/>
    <w:rsid w:val="000031C3"/>
    <w:rsid w:val="00003AA3"/>
    <w:rsid w:val="00003C1A"/>
    <w:rsid w:val="00003CCC"/>
    <w:rsid w:val="00004894"/>
    <w:rsid w:val="000049B9"/>
    <w:rsid w:val="00005B2C"/>
    <w:rsid w:val="00005E8A"/>
    <w:rsid w:val="00006462"/>
    <w:rsid w:val="000073AF"/>
    <w:rsid w:val="00007453"/>
    <w:rsid w:val="00007C69"/>
    <w:rsid w:val="00007F5C"/>
    <w:rsid w:val="0001020A"/>
    <w:rsid w:val="00010394"/>
    <w:rsid w:val="00010C3C"/>
    <w:rsid w:val="00011B73"/>
    <w:rsid w:val="00012B71"/>
    <w:rsid w:val="000133EA"/>
    <w:rsid w:val="00013505"/>
    <w:rsid w:val="0001533E"/>
    <w:rsid w:val="00015378"/>
    <w:rsid w:val="000167A9"/>
    <w:rsid w:val="000174A6"/>
    <w:rsid w:val="000177FD"/>
    <w:rsid w:val="00017D47"/>
    <w:rsid w:val="000200FC"/>
    <w:rsid w:val="00020F11"/>
    <w:rsid w:val="00021417"/>
    <w:rsid w:val="000224AF"/>
    <w:rsid w:val="000226FE"/>
    <w:rsid w:val="00022D43"/>
    <w:rsid w:val="00023D2D"/>
    <w:rsid w:val="000246CB"/>
    <w:rsid w:val="00024BB0"/>
    <w:rsid w:val="00024F36"/>
    <w:rsid w:val="000258E2"/>
    <w:rsid w:val="000271D9"/>
    <w:rsid w:val="000272EB"/>
    <w:rsid w:val="0002781D"/>
    <w:rsid w:val="00027DFE"/>
    <w:rsid w:val="0003021C"/>
    <w:rsid w:val="0003048C"/>
    <w:rsid w:val="00030C24"/>
    <w:rsid w:val="00031801"/>
    <w:rsid w:val="000319F6"/>
    <w:rsid w:val="00031F65"/>
    <w:rsid w:val="000324A3"/>
    <w:rsid w:val="00032F4B"/>
    <w:rsid w:val="00034CF8"/>
    <w:rsid w:val="0003506E"/>
    <w:rsid w:val="00035D08"/>
    <w:rsid w:val="000403B5"/>
    <w:rsid w:val="0004138E"/>
    <w:rsid w:val="00042232"/>
    <w:rsid w:val="00042A86"/>
    <w:rsid w:val="00044104"/>
    <w:rsid w:val="00044666"/>
    <w:rsid w:val="00044D36"/>
    <w:rsid w:val="00044D85"/>
    <w:rsid w:val="00044F74"/>
    <w:rsid w:val="000458E6"/>
    <w:rsid w:val="00046E8F"/>
    <w:rsid w:val="00046F08"/>
    <w:rsid w:val="000508AF"/>
    <w:rsid w:val="000533E7"/>
    <w:rsid w:val="000539B9"/>
    <w:rsid w:val="000542CE"/>
    <w:rsid w:val="00054521"/>
    <w:rsid w:val="00054848"/>
    <w:rsid w:val="0005551F"/>
    <w:rsid w:val="00055859"/>
    <w:rsid w:val="00056203"/>
    <w:rsid w:val="00057796"/>
    <w:rsid w:val="00057EAC"/>
    <w:rsid w:val="0006167A"/>
    <w:rsid w:val="0006175F"/>
    <w:rsid w:val="0006244D"/>
    <w:rsid w:val="00062612"/>
    <w:rsid w:val="00062C4C"/>
    <w:rsid w:val="00063E26"/>
    <w:rsid w:val="00063E6B"/>
    <w:rsid w:val="000640FB"/>
    <w:rsid w:val="000646D3"/>
    <w:rsid w:val="00065FF5"/>
    <w:rsid w:val="000664F3"/>
    <w:rsid w:val="000678F5"/>
    <w:rsid w:val="0007019C"/>
    <w:rsid w:val="000705D2"/>
    <w:rsid w:val="000705E2"/>
    <w:rsid w:val="00070C14"/>
    <w:rsid w:val="0007191A"/>
    <w:rsid w:val="00077130"/>
    <w:rsid w:val="00077137"/>
    <w:rsid w:val="00077D28"/>
    <w:rsid w:val="000806E8"/>
    <w:rsid w:val="00080996"/>
    <w:rsid w:val="000816B9"/>
    <w:rsid w:val="0008196E"/>
    <w:rsid w:val="00082434"/>
    <w:rsid w:val="00083AE8"/>
    <w:rsid w:val="000851D9"/>
    <w:rsid w:val="00085203"/>
    <w:rsid w:val="000855C9"/>
    <w:rsid w:val="0008623E"/>
    <w:rsid w:val="000863D2"/>
    <w:rsid w:val="00086642"/>
    <w:rsid w:val="00086FDA"/>
    <w:rsid w:val="000871C0"/>
    <w:rsid w:val="000873EA"/>
    <w:rsid w:val="00087D9F"/>
    <w:rsid w:val="00087F2A"/>
    <w:rsid w:val="00090C81"/>
    <w:rsid w:val="00090CB8"/>
    <w:rsid w:val="00091276"/>
    <w:rsid w:val="0009172E"/>
    <w:rsid w:val="00092BFB"/>
    <w:rsid w:val="0009520A"/>
    <w:rsid w:val="00095F01"/>
    <w:rsid w:val="000977E2"/>
    <w:rsid w:val="000A0B2A"/>
    <w:rsid w:val="000A20FF"/>
    <w:rsid w:val="000A22A0"/>
    <w:rsid w:val="000A24C8"/>
    <w:rsid w:val="000A2AD2"/>
    <w:rsid w:val="000A2D2B"/>
    <w:rsid w:val="000A314E"/>
    <w:rsid w:val="000A4274"/>
    <w:rsid w:val="000A5891"/>
    <w:rsid w:val="000A5CB0"/>
    <w:rsid w:val="000A6CEF"/>
    <w:rsid w:val="000A7690"/>
    <w:rsid w:val="000B15D9"/>
    <w:rsid w:val="000B1946"/>
    <w:rsid w:val="000B2FA4"/>
    <w:rsid w:val="000B346B"/>
    <w:rsid w:val="000B3B37"/>
    <w:rsid w:val="000B3E63"/>
    <w:rsid w:val="000B482E"/>
    <w:rsid w:val="000B665A"/>
    <w:rsid w:val="000B6D26"/>
    <w:rsid w:val="000B775D"/>
    <w:rsid w:val="000C10C9"/>
    <w:rsid w:val="000C11B9"/>
    <w:rsid w:val="000C1221"/>
    <w:rsid w:val="000C13EE"/>
    <w:rsid w:val="000C1753"/>
    <w:rsid w:val="000C2557"/>
    <w:rsid w:val="000C27A0"/>
    <w:rsid w:val="000C2977"/>
    <w:rsid w:val="000C31D0"/>
    <w:rsid w:val="000C4218"/>
    <w:rsid w:val="000C4333"/>
    <w:rsid w:val="000C4958"/>
    <w:rsid w:val="000C52BB"/>
    <w:rsid w:val="000C5920"/>
    <w:rsid w:val="000C632C"/>
    <w:rsid w:val="000C6332"/>
    <w:rsid w:val="000C6412"/>
    <w:rsid w:val="000C69B5"/>
    <w:rsid w:val="000C6BF3"/>
    <w:rsid w:val="000C6CAA"/>
    <w:rsid w:val="000C6D36"/>
    <w:rsid w:val="000C7FCE"/>
    <w:rsid w:val="000D0376"/>
    <w:rsid w:val="000D038E"/>
    <w:rsid w:val="000D03AD"/>
    <w:rsid w:val="000D1D90"/>
    <w:rsid w:val="000D4B45"/>
    <w:rsid w:val="000D4D89"/>
    <w:rsid w:val="000D4DE4"/>
    <w:rsid w:val="000D4FCE"/>
    <w:rsid w:val="000D5FAE"/>
    <w:rsid w:val="000D6E4B"/>
    <w:rsid w:val="000D7467"/>
    <w:rsid w:val="000D7A36"/>
    <w:rsid w:val="000D7D95"/>
    <w:rsid w:val="000E0B27"/>
    <w:rsid w:val="000E0C9C"/>
    <w:rsid w:val="000E1972"/>
    <w:rsid w:val="000E2146"/>
    <w:rsid w:val="000E3529"/>
    <w:rsid w:val="000E3FA5"/>
    <w:rsid w:val="000E4096"/>
    <w:rsid w:val="000E41EE"/>
    <w:rsid w:val="000E4B9E"/>
    <w:rsid w:val="000E4BDF"/>
    <w:rsid w:val="000E502D"/>
    <w:rsid w:val="000E572B"/>
    <w:rsid w:val="000E5EDC"/>
    <w:rsid w:val="000E6153"/>
    <w:rsid w:val="000E65CC"/>
    <w:rsid w:val="000E6732"/>
    <w:rsid w:val="000E6B02"/>
    <w:rsid w:val="000E71ED"/>
    <w:rsid w:val="000E7609"/>
    <w:rsid w:val="000E77BD"/>
    <w:rsid w:val="000E7E3B"/>
    <w:rsid w:val="000F055B"/>
    <w:rsid w:val="000F074F"/>
    <w:rsid w:val="000F08FA"/>
    <w:rsid w:val="000F161D"/>
    <w:rsid w:val="000F2532"/>
    <w:rsid w:val="000F3AF9"/>
    <w:rsid w:val="000F418B"/>
    <w:rsid w:val="000F47EA"/>
    <w:rsid w:val="000F7C69"/>
    <w:rsid w:val="00102664"/>
    <w:rsid w:val="00103DBB"/>
    <w:rsid w:val="0010466E"/>
    <w:rsid w:val="001051DE"/>
    <w:rsid w:val="00105622"/>
    <w:rsid w:val="00106279"/>
    <w:rsid w:val="00107F2B"/>
    <w:rsid w:val="001139C3"/>
    <w:rsid w:val="001141FC"/>
    <w:rsid w:val="00115401"/>
    <w:rsid w:val="00117AC3"/>
    <w:rsid w:val="00117EB7"/>
    <w:rsid w:val="001205E0"/>
    <w:rsid w:val="00120E78"/>
    <w:rsid w:val="001226AD"/>
    <w:rsid w:val="00122756"/>
    <w:rsid w:val="0012306B"/>
    <w:rsid w:val="00123660"/>
    <w:rsid w:val="00123D29"/>
    <w:rsid w:val="00124C7D"/>
    <w:rsid w:val="001250B9"/>
    <w:rsid w:val="00125A76"/>
    <w:rsid w:val="00125B5F"/>
    <w:rsid w:val="00125C82"/>
    <w:rsid w:val="00126127"/>
    <w:rsid w:val="00126F3D"/>
    <w:rsid w:val="00127337"/>
    <w:rsid w:val="00127341"/>
    <w:rsid w:val="001303B9"/>
    <w:rsid w:val="00131BD6"/>
    <w:rsid w:val="00131C03"/>
    <w:rsid w:val="0013386A"/>
    <w:rsid w:val="001339FA"/>
    <w:rsid w:val="001345BB"/>
    <w:rsid w:val="00135372"/>
    <w:rsid w:val="00136158"/>
    <w:rsid w:val="0013705A"/>
    <w:rsid w:val="00141670"/>
    <w:rsid w:val="00142562"/>
    <w:rsid w:val="00143FC9"/>
    <w:rsid w:val="001440FB"/>
    <w:rsid w:val="00146483"/>
    <w:rsid w:val="0014758A"/>
    <w:rsid w:val="00150116"/>
    <w:rsid w:val="00150994"/>
    <w:rsid w:val="0015125D"/>
    <w:rsid w:val="00152A37"/>
    <w:rsid w:val="00153B4A"/>
    <w:rsid w:val="00153C1A"/>
    <w:rsid w:val="00154CC8"/>
    <w:rsid w:val="00154F0B"/>
    <w:rsid w:val="00154FA0"/>
    <w:rsid w:val="001565D4"/>
    <w:rsid w:val="00156FBF"/>
    <w:rsid w:val="001574B7"/>
    <w:rsid w:val="00157C72"/>
    <w:rsid w:val="00157D59"/>
    <w:rsid w:val="00157E35"/>
    <w:rsid w:val="00160C96"/>
    <w:rsid w:val="001612BD"/>
    <w:rsid w:val="001620CB"/>
    <w:rsid w:val="001623BE"/>
    <w:rsid w:val="00162C00"/>
    <w:rsid w:val="00162CDB"/>
    <w:rsid w:val="00162DD2"/>
    <w:rsid w:val="00163FFE"/>
    <w:rsid w:val="00164C5C"/>
    <w:rsid w:val="0016587C"/>
    <w:rsid w:val="0016633A"/>
    <w:rsid w:val="0016657F"/>
    <w:rsid w:val="001666EA"/>
    <w:rsid w:val="00166F44"/>
    <w:rsid w:val="001679E9"/>
    <w:rsid w:val="00167A64"/>
    <w:rsid w:val="00167D79"/>
    <w:rsid w:val="00167F1F"/>
    <w:rsid w:val="00170FB2"/>
    <w:rsid w:val="0017180F"/>
    <w:rsid w:val="00171D67"/>
    <w:rsid w:val="00171DBC"/>
    <w:rsid w:val="001722C7"/>
    <w:rsid w:val="00173155"/>
    <w:rsid w:val="00173D35"/>
    <w:rsid w:val="0017454E"/>
    <w:rsid w:val="00174BE4"/>
    <w:rsid w:val="0017514B"/>
    <w:rsid w:val="00175D3A"/>
    <w:rsid w:val="00175D75"/>
    <w:rsid w:val="00175F1A"/>
    <w:rsid w:val="00176028"/>
    <w:rsid w:val="001765CB"/>
    <w:rsid w:val="00177030"/>
    <w:rsid w:val="001772AC"/>
    <w:rsid w:val="00177B90"/>
    <w:rsid w:val="00177F26"/>
    <w:rsid w:val="001805CD"/>
    <w:rsid w:val="0018068D"/>
    <w:rsid w:val="00180D1B"/>
    <w:rsid w:val="0018164D"/>
    <w:rsid w:val="001816B8"/>
    <w:rsid w:val="00181775"/>
    <w:rsid w:val="0018211F"/>
    <w:rsid w:val="001827CC"/>
    <w:rsid w:val="00183738"/>
    <w:rsid w:val="001840FE"/>
    <w:rsid w:val="00184A59"/>
    <w:rsid w:val="00185AD0"/>
    <w:rsid w:val="00185DDF"/>
    <w:rsid w:val="00187183"/>
    <w:rsid w:val="001875B4"/>
    <w:rsid w:val="0018778F"/>
    <w:rsid w:val="00187A1F"/>
    <w:rsid w:val="0019049E"/>
    <w:rsid w:val="00191C2D"/>
    <w:rsid w:val="00192457"/>
    <w:rsid w:val="001924FA"/>
    <w:rsid w:val="00192518"/>
    <w:rsid w:val="00193D58"/>
    <w:rsid w:val="00194183"/>
    <w:rsid w:val="001945DD"/>
    <w:rsid w:val="00194DCD"/>
    <w:rsid w:val="00195238"/>
    <w:rsid w:val="00195C74"/>
    <w:rsid w:val="00195FBE"/>
    <w:rsid w:val="00196433"/>
    <w:rsid w:val="00196A01"/>
    <w:rsid w:val="001974B0"/>
    <w:rsid w:val="00197834"/>
    <w:rsid w:val="001A12C7"/>
    <w:rsid w:val="001A175A"/>
    <w:rsid w:val="001A28BD"/>
    <w:rsid w:val="001A2DF2"/>
    <w:rsid w:val="001A33D3"/>
    <w:rsid w:val="001A4372"/>
    <w:rsid w:val="001A4885"/>
    <w:rsid w:val="001A5938"/>
    <w:rsid w:val="001A5FD3"/>
    <w:rsid w:val="001A6282"/>
    <w:rsid w:val="001A68CD"/>
    <w:rsid w:val="001A6DC9"/>
    <w:rsid w:val="001A7798"/>
    <w:rsid w:val="001A7C70"/>
    <w:rsid w:val="001B003C"/>
    <w:rsid w:val="001B057B"/>
    <w:rsid w:val="001B0E59"/>
    <w:rsid w:val="001B0E65"/>
    <w:rsid w:val="001B0E81"/>
    <w:rsid w:val="001B1819"/>
    <w:rsid w:val="001B2E82"/>
    <w:rsid w:val="001B3104"/>
    <w:rsid w:val="001B37A0"/>
    <w:rsid w:val="001B3FA6"/>
    <w:rsid w:val="001B4421"/>
    <w:rsid w:val="001B4B7E"/>
    <w:rsid w:val="001B4B89"/>
    <w:rsid w:val="001B4D07"/>
    <w:rsid w:val="001B545D"/>
    <w:rsid w:val="001B56E1"/>
    <w:rsid w:val="001B7060"/>
    <w:rsid w:val="001B74E7"/>
    <w:rsid w:val="001C250C"/>
    <w:rsid w:val="001C372C"/>
    <w:rsid w:val="001C3B21"/>
    <w:rsid w:val="001C492B"/>
    <w:rsid w:val="001C6204"/>
    <w:rsid w:val="001C65B9"/>
    <w:rsid w:val="001C6CEF"/>
    <w:rsid w:val="001C6DDA"/>
    <w:rsid w:val="001C6DEF"/>
    <w:rsid w:val="001C72D4"/>
    <w:rsid w:val="001C76B7"/>
    <w:rsid w:val="001C78C1"/>
    <w:rsid w:val="001D06CD"/>
    <w:rsid w:val="001D0C5D"/>
    <w:rsid w:val="001D0D55"/>
    <w:rsid w:val="001D1591"/>
    <w:rsid w:val="001D15A2"/>
    <w:rsid w:val="001D1AF2"/>
    <w:rsid w:val="001D1C06"/>
    <w:rsid w:val="001D219A"/>
    <w:rsid w:val="001D2347"/>
    <w:rsid w:val="001D3862"/>
    <w:rsid w:val="001D3EDA"/>
    <w:rsid w:val="001D3F96"/>
    <w:rsid w:val="001D51E3"/>
    <w:rsid w:val="001D52EA"/>
    <w:rsid w:val="001D530A"/>
    <w:rsid w:val="001D55BA"/>
    <w:rsid w:val="001D606C"/>
    <w:rsid w:val="001D7DCF"/>
    <w:rsid w:val="001E01D8"/>
    <w:rsid w:val="001E042C"/>
    <w:rsid w:val="001E1E52"/>
    <w:rsid w:val="001E1F51"/>
    <w:rsid w:val="001E2D59"/>
    <w:rsid w:val="001E2FF4"/>
    <w:rsid w:val="001E360F"/>
    <w:rsid w:val="001E3CA7"/>
    <w:rsid w:val="001E478F"/>
    <w:rsid w:val="001E4E79"/>
    <w:rsid w:val="001E5322"/>
    <w:rsid w:val="001E6C81"/>
    <w:rsid w:val="001E7156"/>
    <w:rsid w:val="001F0AC7"/>
    <w:rsid w:val="001F11CD"/>
    <w:rsid w:val="001F1587"/>
    <w:rsid w:val="001F1BF9"/>
    <w:rsid w:val="001F24A8"/>
    <w:rsid w:val="001F309D"/>
    <w:rsid w:val="001F3B76"/>
    <w:rsid w:val="001F41BB"/>
    <w:rsid w:val="001F4777"/>
    <w:rsid w:val="001F4A13"/>
    <w:rsid w:val="001F4D75"/>
    <w:rsid w:val="001F52C5"/>
    <w:rsid w:val="001F57CB"/>
    <w:rsid w:val="001F5C7B"/>
    <w:rsid w:val="001F5F2B"/>
    <w:rsid w:val="001F635E"/>
    <w:rsid w:val="001F7697"/>
    <w:rsid w:val="001F7C62"/>
    <w:rsid w:val="002000EC"/>
    <w:rsid w:val="0020133E"/>
    <w:rsid w:val="002036AA"/>
    <w:rsid w:val="0020505E"/>
    <w:rsid w:val="00205438"/>
    <w:rsid w:val="00205FFF"/>
    <w:rsid w:val="00206682"/>
    <w:rsid w:val="00206EF1"/>
    <w:rsid w:val="0020749B"/>
    <w:rsid w:val="0021031A"/>
    <w:rsid w:val="00210B72"/>
    <w:rsid w:val="00211CF3"/>
    <w:rsid w:val="00212291"/>
    <w:rsid w:val="00213346"/>
    <w:rsid w:val="00213392"/>
    <w:rsid w:val="00214555"/>
    <w:rsid w:val="0021733B"/>
    <w:rsid w:val="00217C54"/>
    <w:rsid w:val="00217C8C"/>
    <w:rsid w:val="002202FB"/>
    <w:rsid w:val="00220F5A"/>
    <w:rsid w:val="00220F89"/>
    <w:rsid w:val="00221C5A"/>
    <w:rsid w:val="00222771"/>
    <w:rsid w:val="00223371"/>
    <w:rsid w:val="00224062"/>
    <w:rsid w:val="002242C8"/>
    <w:rsid w:val="00224783"/>
    <w:rsid w:val="002258DD"/>
    <w:rsid w:val="0022767B"/>
    <w:rsid w:val="00227B33"/>
    <w:rsid w:val="00227E07"/>
    <w:rsid w:val="002301AB"/>
    <w:rsid w:val="00230867"/>
    <w:rsid w:val="00230B5B"/>
    <w:rsid w:val="00230EBA"/>
    <w:rsid w:val="00232285"/>
    <w:rsid w:val="0023260A"/>
    <w:rsid w:val="0023304E"/>
    <w:rsid w:val="0023341D"/>
    <w:rsid w:val="002335AB"/>
    <w:rsid w:val="002347AC"/>
    <w:rsid w:val="00234B68"/>
    <w:rsid w:val="00235212"/>
    <w:rsid w:val="00235637"/>
    <w:rsid w:val="00236989"/>
    <w:rsid w:val="00236C6A"/>
    <w:rsid w:val="00236D1E"/>
    <w:rsid w:val="002371EF"/>
    <w:rsid w:val="00237881"/>
    <w:rsid w:val="00237C94"/>
    <w:rsid w:val="00237F3D"/>
    <w:rsid w:val="0024037B"/>
    <w:rsid w:val="0024089A"/>
    <w:rsid w:val="0024116C"/>
    <w:rsid w:val="00241699"/>
    <w:rsid w:val="00242100"/>
    <w:rsid w:val="00242186"/>
    <w:rsid w:val="002426E1"/>
    <w:rsid w:val="00242741"/>
    <w:rsid w:val="0024296C"/>
    <w:rsid w:val="00242A6C"/>
    <w:rsid w:val="00243974"/>
    <w:rsid w:val="00243EEE"/>
    <w:rsid w:val="0024426C"/>
    <w:rsid w:val="002443DC"/>
    <w:rsid w:val="00244602"/>
    <w:rsid w:val="00244AFC"/>
    <w:rsid w:val="002453C2"/>
    <w:rsid w:val="00245A5A"/>
    <w:rsid w:val="0024612A"/>
    <w:rsid w:val="00246483"/>
    <w:rsid w:val="00246C56"/>
    <w:rsid w:val="00247B7B"/>
    <w:rsid w:val="002502C9"/>
    <w:rsid w:val="00250316"/>
    <w:rsid w:val="002506BC"/>
    <w:rsid w:val="00250CC8"/>
    <w:rsid w:val="002520F9"/>
    <w:rsid w:val="00252101"/>
    <w:rsid w:val="00252943"/>
    <w:rsid w:val="00252BF7"/>
    <w:rsid w:val="00252C73"/>
    <w:rsid w:val="002536CD"/>
    <w:rsid w:val="002537F7"/>
    <w:rsid w:val="00254EF0"/>
    <w:rsid w:val="00254F07"/>
    <w:rsid w:val="002557CA"/>
    <w:rsid w:val="00257104"/>
    <w:rsid w:val="00257C0C"/>
    <w:rsid w:val="00257D3B"/>
    <w:rsid w:val="00262016"/>
    <w:rsid w:val="002632AC"/>
    <w:rsid w:val="00265157"/>
    <w:rsid w:val="0026515C"/>
    <w:rsid w:val="00265AB7"/>
    <w:rsid w:val="00265DC6"/>
    <w:rsid w:val="00267E33"/>
    <w:rsid w:val="00267F45"/>
    <w:rsid w:val="00267F54"/>
    <w:rsid w:val="002705A7"/>
    <w:rsid w:val="00270F52"/>
    <w:rsid w:val="00272075"/>
    <w:rsid w:val="00272541"/>
    <w:rsid w:val="0027305C"/>
    <w:rsid w:val="00273384"/>
    <w:rsid w:val="00273AD9"/>
    <w:rsid w:val="00273FDF"/>
    <w:rsid w:val="00274BAB"/>
    <w:rsid w:val="0027566D"/>
    <w:rsid w:val="00275A5F"/>
    <w:rsid w:val="00275C7E"/>
    <w:rsid w:val="002761AE"/>
    <w:rsid w:val="00277895"/>
    <w:rsid w:val="0028059A"/>
    <w:rsid w:val="002811EF"/>
    <w:rsid w:val="00281816"/>
    <w:rsid w:val="00281E6E"/>
    <w:rsid w:val="00282AEA"/>
    <w:rsid w:val="002841A6"/>
    <w:rsid w:val="002845BA"/>
    <w:rsid w:val="00284BDE"/>
    <w:rsid w:val="00284EEE"/>
    <w:rsid w:val="00286DB0"/>
    <w:rsid w:val="002873C2"/>
    <w:rsid w:val="00290412"/>
    <w:rsid w:val="00290FFE"/>
    <w:rsid w:val="00292222"/>
    <w:rsid w:val="002924E4"/>
    <w:rsid w:val="002924E6"/>
    <w:rsid w:val="00292835"/>
    <w:rsid w:val="00292A6C"/>
    <w:rsid w:val="0029306A"/>
    <w:rsid w:val="00293B04"/>
    <w:rsid w:val="00294C51"/>
    <w:rsid w:val="00295D70"/>
    <w:rsid w:val="0029657B"/>
    <w:rsid w:val="002967BA"/>
    <w:rsid w:val="00296D0D"/>
    <w:rsid w:val="002976DC"/>
    <w:rsid w:val="0029788D"/>
    <w:rsid w:val="002A142E"/>
    <w:rsid w:val="002A17FF"/>
    <w:rsid w:val="002A1F27"/>
    <w:rsid w:val="002A262E"/>
    <w:rsid w:val="002A29CF"/>
    <w:rsid w:val="002A38B2"/>
    <w:rsid w:val="002A3E6D"/>
    <w:rsid w:val="002A40A0"/>
    <w:rsid w:val="002A42E7"/>
    <w:rsid w:val="002A4B61"/>
    <w:rsid w:val="002A4C31"/>
    <w:rsid w:val="002A68C4"/>
    <w:rsid w:val="002A6AF3"/>
    <w:rsid w:val="002A6BC3"/>
    <w:rsid w:val="002A7009"/>
    <w:rsid w:val="002A7657"/>
    <w:rsid w:val="002A7DED"/>
    <w:rsid w:val="002B0D12"/>
    <w:rsid w:val="002B15D5"/>
    <w:rsid w:val="002B1BE3"/>
    <w:rsid w:val="002B1F51"/>
    <w:rsid w:val="002B33B8"/>
    <w:rsid w:val="002B35D9"/>
    <w:rsid w:val="002B3FEB"/>
    <w:rsid w:val="002B45E7"/>
    <w:rsid w:val="002B64FA"/>
    <w:rsid w:val="002B717F"/>
    <w:rsid w:val="002B78B8"/>
    <w:rsid w:val="002B7E0A"/>
    <w:rsid w:val="002C0152"/>
    <w:rsid w:val="002C0C6E"/>
    <w:rsid w:val="002C1AC0"/>
    <w:rsid w:val="002C1C31"/>
    <w:rsid w:val="002C2061"/>
    <w:rsid w:val="002C23C8"/>
    <w:rsid w:val="002C26E5"/>
    <w:rsid w:val="002C2DD7"/>
    <w:rsid w:val="002C3E27"/>
    <w:rsid w:val="002C43D0"/>
    <w:rsid w:val="002C4D54"/>
    <w:rsid w:val="002C5474"/>
    <w:rsid w:val="002C7579"/>
    <w:rsid w:val="002C7A68"/>
    <w:rsid w:val="002D123F"/>
    <w:rsid w:val="002D1267"/>
    <w:rsid w:val="002D215E"/>
    <w:rsid w:val="002D3D66"/>
    <w:rsid w:val="002D4606"/>
    <w:rsid w:val="002D46E5"/>
    <w:rsid w:val="002D4B55"/>
    <w:rsid w:val="002D4EC2"/>
    <w:rsid w:val="002D50E1"/>
    <w:rsid w:val="002D5D67"/>
    <w:rsid w:val="002D69BC"/>
    <w:rsid w:val="002E0FF4"/>
    <w:rsid w:val="002E194C"/>
    <w:rsid w:val="002E27D8"/>
    <w:rsid w:val="002E32D2"/>
    <w:rsid w:val="002E36F5"/>
    <w:rsid w:val="002E380E"/>
    <w:rsid w:val="002E53E4"/>
    <w:rsid w:val="002E5562"/>
    <w:rsid w:val="002E6D98"/>
    <w:rsid w:val="002E732C"/>
    <w:rsid w:val="002E761F"/>
    <w:rsid w:val="002F109C"/>
    <w:rsid w:val="002F1894"/>
    <w:rsid w:val="002F25A3"/>
    <w:rsid w:val="002F46A4"/>
    <w:rsid w:val="002F6A09"/>
    <w:rsid w:val="002F7361"/>
    <w:rsid w:val="002F739B"/>
    <w:rsid w:val="002F7D34"/>
    <w:rsid w:val="00300573"/>
    <w:rsid w:val="00301734"/>
    <w:rsid w:val="00301F14"/>
    <w:rsid w:val="00303A37"/>
    <w:rsid w:val="00304961"/>
    <w:rsid w:val="003051AA"/>
    <w:rsid w:val="00307238"/>
    <w:rsid w:val="003074A8"/>
    <w:rsid w:val="0030784B"/>
    <w:rsid w:val="003100B5"/>
    <w:rsid w:val="00311667"/>
    <w:rsid w:val="00311B23"/>
    <w:rsid w:val="0031268B"/>
    <w:rsid w:val="00312B00"/>
    <w:rsid w:val="003131B4"/>
    <w:rsid w:val="003133B2"/>
    <w:rsid w:val="003136C1"/>
    <w:rsid w:val="00313C59"/>
    <w:rsid w:val="0031420E"/>
    <w:rsid w:val="00320072"/>
    <w:rsid w:val="00321A3F"/>
    <w:rsid w:val="00321A71"/>
    <w:rsid w:val="00322890"/>
    <w:rsid w:val="00322C14"/>
    <w:rsid w:val="00323437"/>
    <w:rsid w:val="00323711"/>
    <w:rsid w:val="00323E20"/>
    <w:rsid w:val="003266A4"/>
    <w:rsid w:val="0032755B"/>
    <w:rsid w:val="003276E1"/>
    <w:rsid w:val="00327C2C"/>
    <w:rsid w:val="0033127C"/>
    <w:rsid w:val="003319C2"/>
    <w:rsid w:val="00331C54"/>
    <w:rsid w:val="00331FC5"/>
    <w:rsid w:val="00331FC9"/>
    <w:rsid w:val="00332A50"/>
    <w:rsid w:val="00333611"/>
    <w:rsid w:val="00333767"/>
    <w:rsid w:val="00334C32"/>
    <w:rsid w:val="00335455"/>
    <w:rsid w:val="00335730"/>
    <w:rsid w:val="003366BC"/>
    <w:rsid w:val="003371AD"/>
    <w:rsid w:val="00337AFB"/>
    <w:rsid w:val="00337F22"/>
    <w:rsid w:val="00340204"/>
    <w:rsid w:val="00340940"/>
    <w:rsid w:val="00340C73"/>
    <w:rsid w:val="003410F5"/>
    <w:rsid w:val="00341378"/>
    <w:rsid w:val="0034183C"/>
    <w:rsid w:val="00342754"/>
    <w:rsid w:val="0034288D"/>
    <w:rsid w:val="00342F02"/>
    <w:rsid w:val="003430AA"/>
    <w:rsid w:val="0034311A"/>
    <w:rsid w:val="00343919"/>
    <w:rsid w:val="00343BC9"/>
    <w:rsid w:val="0034490A"/>
    <w:rsid w:val="0034596B"/>
    <w:rsid w:val="00345CE0"/>
    <w:rsid w:val="00346735"/>
    <w:rsid w:val="0034673E"/>
    <w:rsid w:val="0034744F"/>
    <w:rsid w:val="00347C9D"/>
    <w:rsid w:val="00347F83"/>
    <w:rsid w:val="00350370"/>
    <w:rsid w:val="003504C9"/>
    <w:rsid w:val="0035077E"/>
    <w:rsid w:val="00351221"/>
    <w:rsid w:val="003521C6"/>
    <w:rsid w:val="003523FC"/>
    <w:rsid w:val="003526B6"/>
    <w:rsid w:val="00353632"/>
    <w:rsid w:val="0035405B"/>
    <w:rsid w:val="0035439F"/>
    <w:rsid w:val="003545E3"/>
    <w:rsid w:val="00354CD3"/>
    <w:rsid w:val="00355746"/>
    <w:rsid w:val="0035580B"/>
    <w:rsid w:val="00355CE0"/>
    <w:rsid w:val="00356D96"/>
    <w:rsid w:val="00360996"/>
    <w:rsid w:val="00361B8A"/>
    <w:rsid w:val="003620F3"/>
    <w:rsid w:val="003627D0"/>
    <w:rsid w:val="003632A9"/>
    <w:rsid w:val="00365517"/>
    <w:rsid w:val="00367110"/>
    <w:rsid w:val="0037012B"/>
    <w:rsid w:val="00370750"/>
    <w:rsid w:val="00370BFB"/>
    <w:rsid w:val="00370CDA"/>
    <w:rsid w:val="0037138B"/>
    <w:rsid w:val="00371954"/>
    <w:rsid w:val="00371E40"/>
    <w:rsid w:val="003724FE"/>
    <w:rsid w:val="003735CB"/>
    <w:rsid w:val="00373C46"/>
    <w:rsid w:val="00373DFA"/>
    <w:rsid w:val="00374E72"/>
    <w:rsid w:val="0037500D"/>
    <w:rsid w:val="00375D8C"/>
    <w:rsid w:val="00375EB2"/>
    <w:rsid w:val="0037607F"/>
    <w:rsid w:val="00376144"/>
    <w:rsid w:val="0037667A"/>
    <w:rsid w:val="00376803"/>
    <w:rsid w:val="00376D78"/>
    <w:rsid w:val="003772EB"/>
    <w:rsid w:val="00377890"/>
    <w:rsid w:val="0037789D"/>
    <w:rsid w:val="00377E72"/>
    <w:rsid w:val="0038079F"/>
    <w:rsid w:val="00381195"/>
    <w:rsid w:val="00381C64"/>
    <w:rsid w:val="003828A6"/>
    <w:rsid w:val="00382A47"/>
    <w:rsid w:val="00383A0B"/>
    <w:rsid w:val="00383F26"/>
    <w:rsid w:val="00384B95"/>
    <w:rsid w:val="00385096"/>
    <w:rsid w:val="00385373"/>
    <w:rsid w:val="0038552E"/>
    <w:rsid w:val="00386B52"/>
    <w:rsid w:val="00390206"/>
    <w:rsid w:val="00390D94"/>
    <w:rsid w:val="00393AB3"/>
    <w:rsid w:val="00394712"/>
    <w:rsid w:val="00395540"/>
    <w:rsid w:val="00395A62"/>
    <w:rsid w:val="0039607D"/>
    <w:rsid w:val="003A10EE"/>
    <w:rsid w:val="003A19B7"/>
    <w:rsid w:val="003A25EA"/>
    <w:rsid w:val="003A2AD8"/>
    <w:rsid w:val="003A2BF5"/>
    <w:rsid w:val="003A2D2A"/>
    <w:rsid w:val="003A3B89"/>
    <w:rsid w:val="003A7A12"/>
    <w:rsid w:val="003B1E3D"/>
    <w:rsid w:val="003B2871"/>
    <w:rsid w:val="003B2CCE"/>
    <w:rsid w:val="003B2FF4"/>
    <w:rsid w:val="003B34C6"/>
    <w:rsid w:val="003B5ECC"/>
    <w:rsid w:val="003B7092"/>
    <w:rsid w:val="003B70CB"/>
    <w:rsid w:val="003B73A1"/>
    <w:rsid w:val="003B7547"/>
    <w:rsid w:val="003B7923"/>
    <w:rsid w:val="003B7D96"/>
    <w:rsid w:val="003C0025"/>
    <w:rsid w:val="003C0EA3"/>
    <w:rsid w:val="003C1521"/>
    <w:rsid w:val="003C2F82"/>
    <w:rsid w:val="003C32FE"/>
    <w:rsid w:val="003C33EC"/>
    <w:rsid w:val="003C3487"/>
    <w:rsid w:val="003C4267"/>
    <w:rsid w:val="003C4BCE"/>
    <w:rsid w:val="003C500F"/>
    <w:rsid w:val="003C6499"/>
    <w:rsid w:val="003C656E"/>
    <w:rsid w:val="003C7C49"/>
    <w:rsid w:val="003C7E7E"/>
    <w:rsid w:val="003D034F"/>
    <w:rsid w:val="003D061A"/>
    <w:rsid w:val="003D1EE7"/>
    <w:rsid w:val="003D23B0"/>
    <w:rsid w:val="003D2969"/>
    <w:rsid w:val="003D30ED"/>
    <w:rsid w:val="003D3383"/>
    <w:rsid w:val="003D438A"/>
    <w:rsid w:val="003D485F"/>
    <w:rsid w:val="003D5132"/>
    <w:rsid w:val="003D515D"/>
    <w:rsid w:val="003D5695"/>
    <w:rsid w:val="003D65A6"/>
    <w:rsid w:val="003D6B5B"/>
    <w:rsid w:val="003D6CCA"/>
    <w:rsid w:val="003D7617"/>
    <w:rsid w:val="003E0024"/>
    <w:rsid w:val="003E0312"/>
    <w:rsid w:val="003E05D3"/>
    <w:rsid w:val="003E0CC0"/>
    <w:rsid w:val="003E0CEF"/>
    <w:rsid w:val="003E19B4"/>
    <w:rsid w:val="003E1ED2"/>
    <w:rsid w:val="003E1FC5"/>
    <w:rsid w:val="003E271B"/>
    <w:rsid w:val="003E30B0"/>
    <w:rsid w:val="003E3E93"/>
    <w:rsid w:val="003E3F69"/>
    <w:rsid w:val="003E4555"/>
    <w:rsid w:val="003E4E49"/>
    <w:rsid w:val="003E5134"/>
    <w:rsid w:val="003E5AA1"/>
    <w:rsid w:val="003E5AF4"/>
    <w:rsid w:val="003E62C1"/>
    <w:rsid w:val="003E65CE"/>
    <w:rsid w:val="003E73A8"/>
    <w:rsid w:val="003E7A2D"/>
    <w:rsid w:val="003E7FA8"/>
    <w:rsid w:val="003F0BED"/>
    <w:rsid w:val="003F0CB3"/>
    <w:rsid w:val="003F12BC"/>
    <w:rsid w:val="003F278E"/>
    <w:rsid w:val="003F27AB"/>
    <w:rsid w:val="003F329D"/>
    <w:rsid w:val="003F36A4"/>
    <w:rsid w:val="003F3A3B"/>
    <w:rsid w:val="003F44B4"/>
    <w:rsid w:val="003F53DD"/>
    <w:rsid w:val="003F5817"/>
    <w:rsid w:val="003F67BB"/>
    <w:rsid w:val="003F67FE"/>
    <w:rsid w:val="003F7244"/>
    <w:rsid w:val="004007E3"/>
    <w:rsid w:val="004011F0"/>
    <w:rsid w:val="00401719"/>
    <w:rsid w:val="0040234E"/>
    <w:rsid w:val="0040449C"/>
    <w:rsid w:val="00406075"/>
    <w:rsid w:val="0040692D"/>
    <w:rsid w:val="00406BAE"/>
    <w:rsid w:val="0040712A"/>
    <w:rsid w:val="004104D5"/>
    <w:rsid w:val="0041130F"/>
    <w:rsid w:val="004122AD"/>
    <w:rsid w:val="0041253C"/>
    <w:rsid w:val="00412F10"/>
    <w:rsid w:val="00413F0A"/>
    <w:rsid w:val="00414C41"/>
    <w:rsid w:val="00415B0A"/>
    <w:rsid w:val="0041614E"/>
    <w:rsid w:val="004161F5"/>
    <w:rsid w:val="00416DB7"/>
    <w:rsid w:val="00416DDA"/>
    <w:rsid w:val="004177E7"/>
    <w:rsid w:val="00417959"/>
    <w:rsid w:val="0042046E"/>
    <w:rsid w:val="00424718"/>
    <w:rsid w:val="004247A1"/>
    <w:rsid w:val="0042538B"/>
    <w:rsid w:val="00425BEE"/>
    <w:rsid w:val="00426106"/>
    <w:rsid w:val="004279AE"/>
    <w:rsid w:val="00427FB6"/>
    <w:rsid w:val="004302F4"/>
    <w:rsid w:val="004304EB"/>
    <w:rsid w:val="00430FA4"/>
    <w:rsid w:val="00431D3A"/>
    <w:rsid w:val="004324E0"/>
    <w:rsid w:val="00433898"/>
    <w:rsid w:val="00434CF7"/>
    <w:rsid w:val="00435031"/>
    <w:rsid w:val="00435259"/>
    <w:rsid w:val="00435AB3"/>
    <w:rsid w:val="00435F67"/>
    <w:rsid w:val="00435F88"/>
    <w:rsid w:val="004368B8"/>
    <w:rsid w:val="00437081"/>
    <w:rsid w:val="00437351"/>
    <w:rsid w:val="004405DD"/>
    <w:rsid w:val="004410C6"/>
    <w:rsid w:val="004424F8"/>
    <w:rsid w:val="00443C97"/>
    <w:rsid w:val="00444224"/>
    <w:rsid w:val="0044519F"/>
    <w:rsid w:val="004451F1"/>
    <w:rsid w:val="00445571"/>
    <w:rsid w:val="004458D6"/>
    <w:rsid w:val="00445BAE"/>
    <w:rsid w:val="00447182"/>
    <w:rsid w:val="0044784C"/>
    <w:rsid w:val="004478AB"/>
    <w:rsid w:val="004515F6"/>
    <w:rsid w:val="00451AF4"/>
    <w:rsid w:val="004523A4"/>
    <w:rsid w:val="004526F1"/>
    <w:rsid w:val="00452E47"/>
    <w:rsid w:val="00454438"/>
    <w:rsid w:val="0045515F"/>
    <w:rsid w:val="0046045C"/>
    <w:rsid w:val="00460965"/>
    <w:rsid w:val="00460B97"/>
    <w:rsid w:val="004621F8"/>
    <w:rsid w:val="00462545"/>
    <w:rsid w:val="00462D4B"/>
    <w:rsid w:val="00462D87"/>
    <w:rsid w:val="0046321D"/>
    <w:rsid w:val="004632C5"/>
    <w:rsid w:val="0046346F"/>
    <w:rsid w:val="00463D50"/>
    <w:rsid w:val="004645B3"/>
    <w:rsid w:val="00464B2D"/>
    <w:rsid w:val="00466B3C"/>
    <w:rsid w:val="004676AF"/>
    <w:rsid w:val="00467815"/>
    <w:rsid w:val="00467DBB"/>
    <w:rsid w:val="00470557"/>
    <w:rsid w:val="00470702"/>
    <w:rsid w:val="00472DBF"/>
    <w:rsid w:val="0047399B"/>
    <w:rsid w:val="00473FCF"/>
    <w:rsid w:val="00474B66"/>
    <w:rsid w:val="00475A8D"/>
    <w:rsid w:val="00475AD7"/>
    <w:rsid w:val="00475E1E"/>
    <w:rsid w:val="00476218"/>
    <w:rsid w:val="00477219"/>
    <w:rsid w:val="00477467"/>
    <w:rsid w:val="00477607"/>
    <w:rsid w:val="00477D50"/>
    <w:rsid w:val="00477DE7"/>
    <w:rsid w:val="00480DEC"/>
    <w:rsid w:val="0048119B"/>
    <w:rsid w:val="00481273"/>
    <w:rsid w:val="00481A11"/>
    <w:rsid w:val="00482A03"/>
    <w:rsid w:val="00482A13"/>
    <w:rsid w:val="00482CB3"/>
    <w:rsid w:val="00483FC9"/>
    <w:rsid w:val="0048425E"/>
    <w:rsid w:val="0048426A"/>
    <w:rsid w:val="0048473C"/>
    <w:rsid w:val="00485065"/>
    <w:rsid w:val="00487796"/>
    <w:rsid w:val="00487822"/>
    <w:rsid w:val="00487AB8"/>
    <w:rsid w:val="00490137"/>
    <w:rsid w:val="00490BC7"/>
    <w:rsid w:val="00492782"/>
    <w:rsid w:val="00492C6B"/>
    <w:rsid w:val="00493051"/>
    <w:rsid w:val="00493ACC"/>
    <w:rsid w:val="00493DBE"/>
    <w:rsid w:val="004941DE"/>
    <w:rsid w:val="00494316"/>
    <w:rsid w:val="00494BE3"/>
    <w:rsid w:val="00495F6B"/>
    <w:rsid w:val="00496917"/>
    <w:rsid w:val="00496AFE"/>
    <w:rsid w:val="00496CB9"/>
    <w:rsid w:val="00497896"/>
    <w:rsid w:val="00497E6E"/>
    <w:rsid w:val="004A0DAE"/>
    <w:rsid w:val="004A1802"/>
    <w:rsid w:val="004A24F9"/>
    <w:rsid w:val="004A2ADA"/>
    <w:rsid w:val="004A2BF7"/>
    <w:rsid w:val="004A37D0"/>
    <w:rsid w:val="004A3902"/>
    <w:rsid w:val="004A4320"/>
    <w:rsid w:val="004A56D1"/>
    <w:rsid w:val="004A69D2"/>
    <w:rsid w:val="004A6BE4"/>
    <w:rsid w:val="004A78B2"/>
    <w:rsid w:val="004B14B2"/>
    <w:rsid w:val="004B16D8"/>
    <w:rsid w:val="004B22BF"/>
    <w:rsid w:val="004B2986"/>
    <w:rsid w:val="004B4AA1"/>
    <w:rsid w:val="004B500D"/>
    <w:rsid w:val="004B51AC"/>
    <w:rsid w:val="004B5411"/>
    <w:rsid w:val="004B541F"/>
    <w:rsid w:val="004B557D"/>
    <w:rsid w:val="004B708B"/>
    <w:rsid w:val="004B714C"/>
    <w:rsid w:val="004B728B"/>
    <w:rsid w:val="004B76CE"/>
    <w:rsid w:val="004B78D9"/>
    <w:rsid w:val="004B7AB4"/>
    <w:rsid w:val="004C0442"/>
    <w:rsid w:val="004C26B2"/>
    <w:rsid w:val="004C28E1"/>
    <w:rsid w:val="004C3260"/>
    <w:rsid w:val="004C4AEB"/>
    <w:rsid w:val="004C4F55"/>
    <w:rsid w:val="004C5FC5"/>
    <w:rsid w:val="004C6A54"/>
    <w:rsid w:val="004C6FFE"/>
    <w:rsid w:val="004C701F"/>
    <w:rsid w:val="004C7EBA"/>
    <w:rsid w:val="004C7FD4"/>
    <w:rsid w:val="004D0284"/>
    <w:rsid w:val="004D0CAA"/>
    <w:rsid w:val="004D2F36"/>
    <w:rsid w:val="004D5928"/>
    <w:rsid w:val="004D6E56"/>
    <w:rsid w:val="004D7535"/>
    <w:rsid w:val="004E0D33"/>
    <w:rsid w:val="004E2551"/>
    <w:rsid w:val="004E2CC8"/>
    <w:rsid w:val="004E3259"/>
    <w:rsid w:val="004E3FFF"/>
    <w:rsid w:val="004E4A7D"/>
    <w:rsid w:val="004E4EB5"/>
    <w:rsid w:val="004E5988"/>
    <w:rsid w:val="004E5AD9"/>
    <w:rsid w:val="004F2CD0"/>
    <w:rsid w:val="004F2D95"/>
    <w:rsid w:val="004F3AFC"/>
    <w:rsid w:val="004F45B5"/>
    <w:rsid w:val="004F47DA"/>
    <w:rsid w:val="004F5455"/>
    <w:rsid w:val="004F5A67"/>
    <w:rsid w:val="004F5D18"/>
    <w:rsid w:val="004F635E"/>
    <w:rsid w:val="004F6A87"/>
    <w:rsid w:val="00500454"/>
    <w:rsid w:val="005006AE"/>
    <w:rsid w:val="00500CB7"/>
    <w:rsid w:val="005011D2"/>
    <w:rsid w:val="00502E0A"/>
    <w:rsid w:val="00503E70"/>
    <w:rsid w:val="005047BA"/>
    <w:rsid w:val="005054C1"/>
    <w:rsid w:val="00505C93"/>
    <w:rsid w:val="00505CE5"/>
    <w:rsid w:val="005061E9"/>
    <w:rsid w:val="00507693"/>
    <w:rsid w:val="00507766"/>
    <w:rsid w:val="00507C02"/>
    <w:rsid w:val="00507CB8"/>
    <w:rsid w:val="00507ED0"/>
    <w:rsid w:val="00507FAC"/>
    <w:rsid w:val="0051003E"/>
    <w:rsid w:val="0051190B"/>
    <w:rsid w:val="00512D10"/>
    <w:rsid w:val="00513F45"/>
    <w:rsid w:val="00514134"/>
    <w:rsid w:val="005141D9"/>
    <w:rsid w:val="005145AC"/>
    <w:rsid w:val="00516215"/>
    <w:rsid w:val="00517405"/>
    <w:rsid w:val="0051788D"/>
    <w:rsid w:val="00517CFC"/>
    <w:rsid w:val="005202E4"/>
    <w:rsid w:val="00522B4F"/>
    <w:rsid w:val="00522D9D"/>
    <w:rsid w:val="00522F51"/>
    <w:rsid w:val="00523824"/>
    <w:rsid w:val="00524453"/>
    <w:rsid w:val="005249D6"/>
    <w:rsid w:val="0052522E"/>
    <w:rsid w:val="005253D7"/>
    <w:rsid w:val="00525666"/>
    <w:rsid w:val="005265BA"/>
    <w:rsid w:val="00526873"/>
    <w:rsid w:val="005269CB"/>
    <w:rsid w:val="00526C47"/>
    <w:rsid w:val="00526F6F"/>
    <w:rsid w:val="005273BD"/>
    <w:rsid w:val="00527576"/>
    <w:rsid w:val="005278FD"/>
    <w:rsid w:val="00527B67"/>
    <w:rsid w:val="0053110B"/>
    <w:rsid w:val="005324FF"/>
    <w:rsid w:val="005327D1"/>
    <w:rsid w:val="005329F5"/>
    <w:rsid w:val="005337C3"/>
    <w:rsid w:val="005346F3"/>
    <w:rsid w:val="005354B4"/>
    <w:rsid w:val="0053585B"/>
    <w:rsid w:val="00536571"/>
    <w:rsid w:val="00536E07"/>
    <w:rsid w:val="005370E7"/>
    <w:rsid w:val="0053736A"/>
    <w:rsid w:val="0053797F"/>
    <w:rsid w:val="00537EDC"/>
    <w:rsid w:val="0054001B"/>
    <w:rsid w:val="005412EA"/>
    <w:rsid w:val="00541C1C"/>
    <w:rsid w:val="005426F0"/>
    <w:rsid w:val="00542A0E"/>
    <w:rsid w:val="0054379B"/>
    <w:rsid w:val="005444B1"/>
    <w:rsid w:val="005448BF"/>
    <w:rsid w:val="00544A05"/>
    <w:rsid w:val="00545246"/>
    <w:rsid w:val="00545688"/>
    <w:rsid w:val="0054639B"/>
    <w:rsid w:val="0054687C"/>
    <w:rsid w:val="0054726C"/>
    <w:rsid w:val="0054767B"/>
    <w:rsid w:val="0054795D"/>
    <w:rsid w:val="00547A53"/>
    <w:rsid w:val="00547B31"/>
    <w:rsid w:val="00547BE8"/>
    <w:rsid w:val="0055039D"/>
    <w:rsid w:val="00550AA9"/>
    <w:rsid w:val="00550B95"/>
    <w:rsid w:val="00550D22"/>
    <w:rsid w:val="00550D84"/>
    <w:rsid w:val="005510C8"/>
    <w:rsid w:val="00551398"/>
    <w:rsid w:val="00551D72"/>
    <w:rsid w:val="00551F14"/>
    <w:rsid w:val="0055247A"/>
    <w:rsid w:val="00553250"/>
    <w:rsid w:val="0055356B"/>
    <w:rsid w:val="00553A08"/>
    <w:rsid w:val="00553A31"/>
    <w:rsid w:val="00553CFC"/>
    <w:rsid w:val="00554518"/>
    <w:rsid w:val="00554848"/>
    <w:rsid w:val="005548DA"/>
    <w:rsid w:val="0055517E"/>
    <w:rsid w:val="0055523E"/>
    <w:rsid w:val="005552BA"/>
    <w:rsid w:val="0055573F"/>
    <w:rsid w:val="005562D7"/>
    <w:rsid w:val="005567FA"/>
    <w:rsid w:val="00556A15"/>
    <w:rsid w:val="005576C3"/>
    <w:rsid w:val="005613F0"/>
    <w:rsid w:val="005618FE"/>
    <w:rsid w:val="0056236C"/>
    <w:rsid w:val="005636E7"/>
    <w:rsid w:val="00563735"/>
    <w:rsid w:val="0056381D"/>
    <w:rsid w:val="0056397C"/>
    <w:rsid w:val="0056465B"/>
    <w:rsid w:val="00564D2C"/>
    <w:rsid w:val="00565035"/>
    <w:rsid w:val="00565335"/>
    <w:rsid w:val="00565CDB"/>
    <w:rsid w:val="005663EC"/>
    <w:rsid w:val="005668A7"/>
    <w:rsid w:val="00566F6D"/>
    <w:rsid w:val="00567BCF"/>
    <w:rsid w:val="00570D58"/>
    <w:rsid w:val="00570F37"/>
    <w:rsid w:val="00570F82"/>
    <w:rsid w:val="005714A0"/>
    <w:rsid w:val="00571831"/>
    <w:rsid w:val="00571BDA"/>
    <w:rsid w:val="0057247A"/>
    <w:rsid w:val="0057268F"/>
    <w:rsid w:val="00572FD1"/>
    <w:rsid w:val="0057387D"/>
    <w:rsid w:val="00573C88"/>
    <w:rsid w:val="0057419F"/>
    <w:rsid w:val="00574227"/>
    <w:rsid w:val="00574EC7"/>
    <w:rsid w:val="00576CBE"/>
    <w:rsid w:val="005772BF"/>
    <w:rsid w:val="00580C63"/>
    <w:rsid w:val="00581191"/>
    <w:rsid w:val="005820A4"/>
    <w:rsid w:val="00582477"/>
    <w:rsid w:val="0058283E"/>
    <w:rsid w:val="005840E6"/>
    <w:rsid w:val="00585850"/>
    <w:rsid w:val="00585F19"/>
    <w:rsid w:val="00590067"/>
    <w:rsid w:val="00592525"/>
    <w:rsid w:val="005929C2"/>
    <w:rsid w:val="00593083"/>
    <w:rsid w:val="005931DA"/>
    <w:rsid w:val="0059419A"/>
    <w:rsid w:val="00594675"/>
    <w:rsid w:val="00594AB6"/>
    <w:rsid w:val="005953D1"/>
    <w:rsid w:val="00595BA7"/>
    <w:rsid w:val="00595C95"/>
    <w:rsid w:val="00595D0C"/>
    <w:rsid w:val="00596E66"/>
    <w:rsid w:val="005A10C1"/>
    <w:rsid w:val="005A117C"/>
    <w:rsid w:val="005A1A41"/>
    <w:rsid w:val="005A2560"/>
    <w:rsid w:val="005A4205"/>
    <w:rsid w:val="005A4C64"/>
    <w:rsid w:val="005A51AC"/>
    <w:rsid w:val="005A5770"/>
    <w:rsid w:val="005A6147"/>
    <w:rsid w:val="005A6639"/>
    <w:rsid w:val="005A6B92"/>
    <w:rsid w:val="005A7016"/>
    <w:rsid w:val="005A7A81"/>
    <w:rsid w:val="005B028B"/>
    <w:rsid w:val="005B02C5"/>
    <w:rsid w:val="005B0AB3"/>
    <w:rsid w:val="005B0F47"/>
    <w:rsid w:val="005B105A"/>
    <w:rsid w:val="005B1314"/>
    <w:rsid w:val="005B1A31"/>
    <w:rsid w:val="005B1A87"/>
    <w:rsid w:val="005B1BC1"/>
    <w:rsid w:val="005B2B80"/>
    <w:rsid w:val="005B2FF5"/>
    <w:rsid w:val="005B3FA0"/>
    <w:rsid w:val="005B41C7"/>
    <w:rsid w:val="005B4DDD"/>
    <w:rsid w:val="005B585D"/>
    <w:rsid w:val="005B6F09"/>
    <w:rsid w:val="005C03B2"/>
    <w:rsid w:val="005C0503"/>
    <w:rsid w:val="005C082C"/>
    <w:rsid w:val="005C1057"/>
    <w:rsid w:val="005C125E"/>
    <w:rsid w:val="005C1306"/>
    <w:rsid w:val="005C1A15"/>
    <w:rsid w:val="005C1C89"/>
    <w:rsid w:val="005C23D5"/>
    <w:rsid w:val="005C297F"/>
    <w:rsid w:val="005C2A57"/>
    <w:rsid w:val="005C3434"/>
    <w:rsid w:val="005C41A5"/>
    <w:rsid w:val="005C43B0"/>
    <w:rsid w:val="005C4ECE"/>
    <w:rsid w:val="005C5686"/>
    <w:rsid w:val="005C5699"/>
    <w:rsid w:val="005C5B97"/>
    <w:rsid w:val="005C65BD"/>
    <w:rsid w:val="005C7635"/>
    <w:rsid w:val="005C7C81"/>
    <w:rsid w:val="005C7F60"/>
    <w:rsid w:val="005D0222"/>
    <w:rsid w:val="005D0C39"/>
    <w:rsid w:val="005D1EFB"/>
    <w:rsid w:val="005D207E"/>
    <w:rsid w:val="005D22E7"/>
    <w:rsid w:val="005D2E69"/>
    <w:rsid w:val="005D48A0"/>
    <w:rsid w:val="005D4EA6"/>
    <w:rsid w:val="005D4FBB"/>
    <w:rsid w:val="005D5A66"/>
    <w:rsid w:val="005D70AA"/>
    <w:rsid w:val="005D7115"/>
    <w:rsid w:val="005E150E"/>
    <w:rsid w:val="005E156A"/>
    <w:rsid w:val="005E183E"/>
    <w:rsid w:val="005E2BAF"/>
    <w:rsid w:val="005E36A7"/>
    <w:rsid w:val="005E3B75"/>
    <w:rsid w:val="005E455C"/>
    <w:rsid w:val="005E5437"/>
    <w:rsid w:val="005E56E0"/>
    <w:rsid w:val="005E5BD2"/>
    <w:rsid w:val="005E601A"/>
    <w:rsid w:val="005E77F7"/>
    <w:rsid w:val="005E7D95"/>
    <w:rsid w:val="005F0ECA"/>
    <w:rsid w:val="005F18D2"/>
    <w:rsid w:val="005F1F3F"/>
    <w:rsid w:val="005F4FCB"/>
    <w:rsid w:val="005F53C7"/>
    <w:rsid w:val="005F5549"/>
    <w:rsid w:val="005F56BE"/>
    <w:rsid w:val="005F5EBD"/>
    <w:rsid w:val="006000D1"/>
    <w:rsid w:val="00600FB7"/>
    <w:rsid w:val="006012FC"/>
    <w:rsid w:val="006015D5"/>
    <w:rsid w:val="00602255"/>
    <w:rsid w:val="0060385E"/>
    <w:rsid w:val="006039BB"/>
    <w:rsid w:val="00603BFE"/>
    <w:rsid w:val="00603D69"/>
    <w:rsid w:val="006040EB"/>
    <w:rsid w:val="00605244"/>
    <w:rsid w:val="00606A2C"/>
    <w:rsid w:val="00606F88"/>
    <w:rsid w:val="00610117"/>
    <w:rsid w:val="006105E8"/>
    <w:rsid w:val="0061062A"/>
    <w:rsid w:val="006106AC"/>
    <w:rsid w:val="00610D1E"/>
    <w:rsid w:val="00611B40"/>
    <w:rsid w:val="00611BB1"/>
    <w:rsid w:val="00611D73"/>
    <w:rsid w:val="0061221C"/>
    <w:rsid w:val="006122B3"/>
    <w:rsid w:val="00612926"/>
    <w:rsid w:val="00612A26"/>
    <w:rsid w:val="00612C41"/>
    <w:rsid w:val="006137E7"/>
    <w:rsid w:val="00614041"/>
    <w:rsid w:val="00614789"/>
    <w:rsid w:val="006148F8"/>
    <w:rsid w:val="00615324"/>
    <w:rsid w:val="00616C8C"/>
    <w:rsid w:val="0062091A"/>
    <w:rsid w:val="00620C2C"/>
    <w:rsid w:val="006219C4"/>
    <w:rsid w:val="00621B55"/>
    <w:rsid w:val="00621D3B"/>
    <w:rsid w:val="0062246B"/>
    <w:rsid w:val="00623698"/>
    <w:rsid w:val="00623938"/>
    <w:rsid w:val="006240DB"/>
    <w:rsid w:val="00624473"/>
    <w:rsid w:val="00624581"/>
    <w:rsid w:val="00625225"/>
    <w:rsid w:val="006262D1"/>
    <w:rsid w:val="00626F27"/>
    <w:rsid w:val="00626FEA"/>
    <w:rsid w:val="00627D2F"/>
    <w:rsid w:val="006301B8"/>
    <w:rsid w:val="0063022E"/>
    <w:rsid w:val="00631698"/>
    <w:rsid w:val="0063247B"/>
    <w:rsid w:val="00632AB5"/>
    <w:rsid w:val="00633340"/>
    <w:rsid w:val="006334BA"/>
    <w:rsid w:val="00636DA4"/>
    <w:rsid w:val="00636FF2"/>
    <w:rsid w:val="00640A9B"/>
    <w:rsid w:val="00640D46"/>
    <w:rsid w:val="00641642"/>
    <w:rsid w:val="006427E9"/>
    <w:rsid w:val="00642FCB"/>
    <w:rsid w:val="00643274"/>
    <w:rsid w:val="00643284"/>
    <w:rsid w:val="00643BAD"/>
    <w:rsid w:val="006445C6"/>
    <w:rsid w:val="00644A3C"/>
    <w:rsid w:val="00645155"/>
    <w:rsid w:val="006453DD"/>
    <w:rsid w:val="006455F8"/>
    <w:rsid w:val="00645D04"/>
    <w:rsid w:val="00646A07"/>
    <w:rsid w:val="00647FD3"/>
    <w:rsid w:val="00650A7E"/>
    <w:rsid w:val="00650B43"/>
    <w:rsid w:val="00650BA3"/>
    <w:rsid w:val="00651C5E"/>
    <w:rsid w:val="00652C7A"/>
    <w:rsid w:val="006536B7"/>
    <w:rsid w:val="00653ACC"/>
    <w:rsid w:val="00654E96"/>
    <w:rsid w:val="00655B27"/>
    <w:rsid w:val="00655DB6"/>
    <w:rsid w:val="0065684B"/>
    <w:rsid w:val="00656B98"/>
    <w:rsid w:val="00656EA0"/>
    <w:rsid w:val="00657A89"/>
    <w:rsid w:val="00657D3F"/>
    <w:rsid w:val="00661EB3"/>
    <w:rsid w:val="00661F5B"/>
    <w:rsid w:val="00662329"/>
    <w:rsid w:val="006625F7"/>
    <w:rsid w:val="00662F51"/>
    <w:rsid w:val="0066321F"/>
    <w:rsid w:val="006635D9"/>
    <w:rsid w:val="00663C59"/>
    <w:rsid w:val="00664742"/>
    <w:rsid w:val="006650D8"/>
    <w:rsid w:val="006655F5"/>
    <w:rsid w:val="00665638"/>
    <w:rsid w:val="006660F9"/>
    <w:rsid w:val="0066632E"/>
    <w:rsid w:val="00666A90"/>
    <w:rsid w:val="00666F45"/>
    <w:rsid w:val="006671D5"/>
    <w:rsid w:val="00667A7D"/>
    <w:rsid w:val="00667FED"/>
    <w:rsid w:val="00670174"/>
    <w:rsid w:val="00670477"/>
    <w:rsid w:val="006704C2"/>
    <w:rsid w:val="0067059A"/>
    <w:rsid w:val="00670785"/>
    <w:rsid w:val="00671F57"/>
    <w:rsid w:val="0067242F"/>
    <w:rsid w:val="0067253F"/>
    <w:rsid w:val="0067264D"/>
    <w:rsid w:val="00672C22"/>
    <w:rsid w:val="00673359"/>
    <w:rsid w:val="00673484"/>
    <w:rsid w:val="0067370B"/>
    <w:rsid w:val="0067451E"/>
    <w:rsid w:val="0067574F"/>
    <w:rsid w:val="00681070"/>
    <w:rsid w:val="006811CB"/>
    <w:rsid w:val="006815C4"/>
    <w:rsid w:val="006816F3"/>
    <w:rsid w:val="00681E5F"/>
    <w:rsid w:val="00682C5B"/>
    <w:rsid w:val="00683267"/>
    <w:rsid w:val="00683845"/>
    <w:rsid w:val="00683E39"/>
    <w:rsid w:val="00685FCE"/>
    <w:rsid w:val="0068692F"/>
    <w:rsid w:val="00686F65"/>
    <w:rsid w:val="0069174F"/>
    <w:rsid w:val="00691A64"/>
    <w:rsid w:val="0069238B"/>
    <w:rsid w:val="006923F1"/>
    <w:rsid w:val="00692B75"/>
    <w:rsid w:val="00692F44"/>
    <w:rsid w:val="0069339C"/>
    <w:rsid w:val="00694F71"/>
    <w:rsid w:val="0069585A"/>
    <w:rsid w:val="00696780"/>
    <w:rsid w:val="00696FAC"/>
    <w:rsid w:val="00697379"/>
    <w:rsid w:val="006977BC"/>
    <w:rsid w:val="00697CAE"/>
    <w:rsid w:val="006A006B"/>
    <w:rsid w:val="006A1CBB"/>
    <w:rsid w:val="006A2C2E"/>
    <w:rsid w:val="006A2CAE"/>
    <w:rsid w:val="006A4151"/>
    <w:rsid w:val="006A48A8"/>
    <w:rsid w:val="006A4EEB"/>
    <w:rsid w:val="006A5A25"/>
    <w:rsid w:val="006A67D1"/>
    <w:rsid w:val="006A73F8"/>
    <w:rsid w:val="006A7438"/>
    <w:rsid w:val="006A7A5F"/>
    <w:rsid w:val="006B0BC9"/>
    <w:rsid w:val="006B0DF2"/>
    <w:rsid w:val="006B1120"/>
    <w:rsid w:val="006B1DC4"/>
    <w:rsid w:val="006B22F0"/>
    <w:rsid w:val="006B361F"/>
    <w:rsid w:val="006B4898"/>
    <w:rsid w:val="006B4CA5"/>
    <w:rsid w:val="006B62FA"/>
    <w:rsid w:val="006B6DFD"/>
    <w:rsid w:val="006B74CB"/>
    <w:rsid w:val="006B7597"/>
    <w:rsid w:val="006B75F6"/>
    <w:rsid w:val="006C00BF"/>
    <w:rsid w:val="006C18B7"/>
    <w:rsid w:val="006C2DFB"/>
    <w:rsid w:val="006C33CB"/>
    <w:rsid w:val="006C3754"/>
    <w:rsid w:val="006C38FC"/>
    <w:rsid w:val="006C3C85"/>
    <w:rsid w:val="006C46CF"/>
    <w:rsid w:val="006C4B9D"/>
    <w:rsid w:val="006C55C4"/>
    <w:rsid w:val="006C5AA8"/>
    <w:rsid w:val="006C5DF0"/>
    <w:rsid w:val="006C6003"/>
    <w:rsid w:val="006C6B8E"/>
    <w:rsid w:val="006C7B75"/>
    <w:rsid w:val="006D063A"/>
    <w:rsid w:val="006D069B"/>
    <w:rsid w:val="006D0DED"/>
    <w:rsid w:val="006D1465"/>
    <w:rsid w:val="006D146E"/>
    <w:rsid w:val="006D1491"/>
    <w:rsid w:val="006D15A0"/>
    <w:rsid w:val="006D270D"/>
    <w:rsid w:val="006D3A99"/>
    <w:rsid w:val="006D430D"/>
    <w:rsid w:val="006D4F5C"/>
    <w:rsid w:val="006D6273"/>
    <w:rsid w:val="006D78C7"/>
    <w:rsid w:val="006E0234"/>
    <w:rsid w:val="006E0DF3"/>
    <w:rsid w:val="006E1001"/>
    <w:rsid w:val="006E13D8"/>
    <w:rsid w:val="006E1F78"/>
    <w:rsid w:val="006E2190"/>
    <w:rsid w:val="006E2B69"/>
    <w:rsid w:val="006E2E42"/>
    <w:rsid w:val="006E509D"/>
    <w:rsid w:val="006E52AE"/>
    <w:rsid w:val="006E5D59"/>
    <w:rsid w:val="006F0CCC"/>
    <w:rsid w:val="006F0ED8"/>
    <w:rsid w:val="006F0EEF"/>
    <w:rsid w:val="006F1218"/>
    <w:rsid w:val="006F1A29"/>
    <w:rsid w:val="006F2525"/>
    <w:rsid w:val="006F290F"/>
    <w:rsid w:val="006F2E9E"/>
    <w:rsid w:val="006F3234"/>
    <w:rsid w:val="006F39DC"/>
    <w:rsid w:val="006F5664"/>
    <w:rsid w:val="006F5745"/>
    <w:rsid w:val="006F58E6"/>
    <w:rsid w:val="006F58FF"/>
    <w:rsid w:val="006F7D63"/>
    <w:rsid w:val="007007E2"/>
    <w:rsid w:val="00700AB0"/>
    <w:rsid w:val="00700D98"/>
    <w:rsid w:val="00701E50"/>
    <w:rsid w:val="0070370C"/>
    <w:rsid w:val="00703E0F"/>
    <w:rsid w:val="00704748"/>
    <w:rsid w:val="007050ED"/>
    <w:rsid w:val="007056EE"/>
    <w:rsid w:val="00705762"/>
    <w:rsid w:val="00705CC3"/>
    <w:rsid w:val="00706FEC"/>
    <w:rsid w:val="00710402"/>
    <w:rsid w:val="00710AF8"/>
    <w:rsid w:val="00711204"/>
    <w:rsid w:val="00711425"/>
    <w:rsid w:val="00711B22"/>
    <w:rsid w:val="00712AFD"/>
    <w:rsid w:val="007134AB"/>
    <w:rsid w:val="00714258"/>
    <w:rsid w:val="00714DC1"/>
    <w:rsid w:val="00714F77"/>
    <w:rsid w:val="00715032"/>
    <w:rsid w:val="007164B7"/>
    <w:rsid w:val="00716567"/>
    <w:rsid w:val="00717388"/>
    <w:rsid w:val="007173EB"/>
    <w:rsid w:val="0072075D"/>
    <w:rsid w:val="00720F5C"/>
    <w:rsid w:val="00722B41"/>
    <w:rsid w:val="00722DA5"/>
    <w:rsid w:val="00723371"/>
    <w:rsid w:val="00725045"/>
    <w:rsid w:val="00725D2D"/>
    <w:rsid w:val="00726D15"/>
    <w:rsid w:val="00726DBA"/>
    <w:rsid w:val="00726ED9"/>
    <w:rsid w:val="00727797"/>
    <w:rsid w:val="00727A16"/>
    <w:rsid w:val="00727C56"/>
    <w:rsid w:val="00730AB7"/>
    <w:rsid w:val="00731E12"/>
    <w:rsid w:val="0073327F"/>
    <w:rsid w:val="0073382C"/>
    <w:rsid w:val="00733A66"/>
    <w:rsid w:val="00733C21"/>
    <w:rsid w:val="007343E8"/>
    <w:rsid w:val="00734C4A"/>
    <w:rsid w:val="00735B7A"/>
    <w:rsid w:val="00736053"/>
    <w:rsid w:val="0073625E"/>
    <w:rsid w:val="00736B3B"/>
    <w:rsid w:val="00736B47"/>
    <w:rsid w:val="0073751C"/>
    <w:rsid w:val="00737D32"/>
    <w:rsid w:val="00740BCB"/>
    <w:rsid w:val="007421C1"/>
    <w:rsid w:val="007427FE"/>
    <w:rsid w:val="00742975"/>
    <w:rsid w:val="007438B1"/>
    <w:rsid w:val="0074634B"/>
    <w:rsid w:val="00746C3F"/>
    <w:rsid w:val="00750078"/>
    <w:rsid w:val="0075021C"/>
    <w:rsid w:val="0075047D"/>
    <w:rsid w:val="00751785"/>
    <w:rsid w:val="00751795"/>
    <w:rsid w:val="0075199F"/>
    <w:rsid w:val="00752C4F"/>
    <w:rsid w:val="007530FC"/>
    <w:rsid w:val="0075311A"/>
    <w:rsid w:val="00753AC4"/>
    <w:rsid w:val="00753F6A"/>
    <w:rsid w:val="00756FD2"/>
    <w:rsid w:val="00757093"/>
    <w:rsid w:val="00757EC5"/>
    <w:rsid w:val="0076049E"/>
    <w:rsid w:val="00760588"/>
    <w:rsid w:val="00760766"/>
    <w:rsid w:val="007608F3"/>
    <w:rsid w:val="00761307"/>
    <w:rsid w:val="00762851"/>
    <w:rsid w:val="007630B1"/>
    <w:rsid w:val="00763333"/>
    <w:rsid w:val="0076362E"/>
    <w:rsid w:val="007637C1"/>
    <w:rsid w:val="00764F2D"/>
    <w:rsid w:val="00765444"/>
    <w:rsid w:val="00765D19"/>
    <w:rsid w:val="00766151"/>
    <w:rsid w:val="0076776D"/>
    <w:rsid w:val="00767909"/>
    <w:rsid w:val="00767E67"/>
    <w:rsid w:val="00770A34"/>
    <w:rsid w:val="00770C64"/>
    <w:rsid w:val="00772755"/>
    <w:rsid w:val="007728FE"/>
    <w:rsid w:val="00772A32"/>
    <w:rsid w:val="00772B8A"/>
    <w:rsid w:val="00774461"/>
    <w:rsid w:val="00774DBD"/>
    <w:rsid w:val="007761BC"/>
    <w:rsid w:val="00776C0C"/>
    <w:rsid w:val="00777D73"/>
    <w:rsid w:val="00777F68"/>
    <w:rsid w:val="00780345"/>
    <w:rsid w:val="007807E7"/>
    <w:rsid w:val="00780F14"/>
    <w:rsid w:val="007819D9"/>
    <w:rsid w:val="00782CA8"/>
    <w:rsid w:val="00782F8C"/>
    <w:rsid w:val="00783162"/>
    <w:rsid w:val="00785512"/>
    <w:rsid w:val="00787029"/>
    <w:rsid w:val="00787A55"/>
    <w:rsid w:val="00787B71"/>
    <w:rsid w:val="00787EBE"/>
    <w:rsid w:val="00790131"/>
    <w:rsid w:val="00791346"/>
    <w:rsid w:val="0079239F"/>
    <w:rsid w:val="00793874"/>
    <w:rsid w:val="00793E3D"/>
    <w:rsid w:val="0079442E"/>
    <w:rsid w:val="00794445"/>
    <w:rsid w:val="007954D1"/>
    <w:rsid w:val="007957E0"/>
    <w:rsid w:val="0079654B"/>
    <w:rsid w:val="00797420"/>
    <w:rsid w:val="00797AB5"/>
    <w:rsid w:val="00797C79"/>
    <w:rsid w:val="007A0211"/>
    <w:rsid w:val="007A0903"/>
    <w:rsid w:val="007A0BFB"/>
    <w:rsid w:val="007A1001"/>
    <w:rsid w:val="007A1593"/>
    <w:rsid w:val="007A2065"/>
    <w:rsid w:val="007A3189"/>
    <w:rsid w:val="007A36F2"/>
    <w:rsid w:val="007A3ACC"/>
    <w:rsid w:val="007A3EAA"/>
    <w:rsid w:val="007A4526"/>
    <w:rsid w:val="007A4825"/>
    <w:rsid w:val="007A54B6"/>
    <w:rsid w:val="007A5DE1"/>
    <w:rsid w:val="007A726A"/>
    <w:rsid w:val="007A78FC"/>
    <w:rsid w:val="007B0153"/>
    <w:rsid w:val="007B02AF"/>
    <w:rsid w:val="007B2A92"/>
    <w:rsid w:val="007B2E79"/>
    <w:rsid w:val="007B321E"/>
    <w:rsid w:val="007B3528"/>
    <w:rsid w:val="007B40BB"/>
    <w:rsid w:val="007B4385"/>
    <w:rsid w:val="007B613E"/>
    <w:rsid w:val="007B62B1"/>
    <w:rsid w:val="007B6914"/>
    <w:rsid w:val="007B7ECA"/>
    <w:rsid w:val="007C065F"/>
    <w:rsid w:val="007C0C6D"/>
    <w:rsid w:val="007C16B6"/>
    <w:rsid w:val="007C1C7C"/>
    <w:rsid w:val="007C1FB7"/>
    <w:rsid w:val="007C1FF7"/>
    <w:rsid w:val="007C20F4"/>
    <w:rsid w:val="007C260C"/>
    <w:rsid w:val="007C361A"/>
    <w:rsid w:val="007C37A6"/>
    <w:rsid w:val="007C4760"/>
    <w:rsid w:val="007C4EE9"/>
    <w:rsid w:val="007C5824"/>
    <w:rsid w:val="007C58B0"/>
    <w:rsid w:val="007C6578"/>
    <w:rsid w:val="007D0233"/>
    <w:rsid w:val="007D0FE4"/>
    <w:rsid w:val="007D2264"/>
    <w:rsid w:val="007D2362"/>
    <w:rsid w:val="007D240C"/>
    <w:rsid w:val="007D304A"/>
    <w:rsid w:val="007D480E"/>
    <w:rsid w:val="007D4C88"/>
    <w:rsid w:val="007D4F0C"/>
    <w:rsid w:val="007D6DAD"/>
    <w:rsid w:val="007D6E3A"/>
    <w:rsid w:val="007D7ADC"/>
    <w:rsid w:val="007D7DC8"/>
    <w:rsid w:val="007D7FE5"/>
    <w:rsid w:val="007E0FD4"/>
    <w:rsid w:val="007E19FC"/>
    <w:rsid w:val="007E2384"/>
    <w:rsid w:val="007E2A43"/>
    <w:rsid w:val="007E2D62"/>
    <w:rsid w:val="007E343A"/>
    <w:rsid w:val="007E3AB7"/>
    <w:rsid w:val="007E3AC9"/>
    <w:rsid w:val="007E65CD"/>
    <w:rsid w:val="007E6FC2"/>
    <w:rsid w:val="007F06DC"/>
    <w:rsid w:val="007F0EF9"/>
    <w:rsid w:val="007F1BD4"/>
    <w:rsid w:val="007F1C0D"/>
    <w:rsid w:val="007F23A6"/>
    <w:rsid w:val="007F2CB6"/>
    <w:rsid w:val="007F2DAF"/>
    <w:rsid w:val="007F39B2"/>
    <w:rsid w:val="007F3BA5"/>
    <w:rsid w:val="007F5D23"/>
    <w:rsid w:val="007F5FFF"/>
    <w:rsid w:val="007F6227"/>
    <w:rsid w:val="007F65A3"/>
    <w:rsid w:val="007F6B9C"/>
    <w:rsid w:val="007F70F1"/>
    <w:rsid w:val="007F7380"/>
    <w:rsid w:val="007F7EE5"/>
    <w:rsid w:val="007F8418"/>
    <w:rsid w:val="008003BA"/>
    <w:rsid w:val="008016A3"/>
    <w:rsid w:val="00801BB5"/>
    <w:rsid w:val="00802530"/>
    <w:rsid w:val="00802C93"/>
    <w:rsid w:val="00802E50"/>
    <w:rsid w:val="008036E7"/>
    <w:rsid w:val="00803A8D"/>
    <w:rsid w:val="00804536"/>
    <w:rsid w:val="0080483D"/>
    <w:rsid w:val="00804AD8"/>
    <w:rsid w:val="00805606"/>
    <w:rsid w:val="00806A48"/>
    <w:rsid w:val="00807A0A"/>
    <w:rsid w:val="00807D9C"/>
    <w:rsid w:val="00810837"/>
    <w:rsid w:val="00810C1D"/>
    <w:rsid w:val="0081114E"/>
    <w:rsid w:val="00811205"/>
    <w:rsid w:val="00811D4F"/>
    <w:rsid w:val="008126A1"/>
    <w:rsid w:val="00812A4E"/>
    <w:rsid w:val="00812CA4"/>
    <w:rsid w:val="00812D4D"/>
    <w:rsid w:val="00813385"/>
    <w:rsid w:val="00814D58"/>
    <w:rsid w:val="008154F9"/>
    <w:rsid w:val="00815A07"/>
    <w:rsid w:val="0081668F"/>
    <w:rsid w:val="0081795A"/>
    <w:rsid w:val="00817D2C"/>
    <w:rsid w:val="00821220"/>
    <w:rsid w:val="00821619"/>
    <w:rsid w:val="00821725"/>
    <w:rsid w:val="00821AB9"/>
    <w:rsid w:val="008221FC"/>
    <w:rsid w:val="0082233C"/>
    <w:rsid w:val="008224C4"/>
    <w:rsid w:val="0082305A"/>
    <w:rsid w:val="008237C8"/>
    <w:rsid w:val="00823D09"/>
    <w:rsid w:val="00824B70"/>
    <w:rsid w:val="00824D9D"/>
    <w:rsid w:val="008251B9"/>
    <w:rsid w:val="00827AC0"/>
    <w:rsid w:val="0083084A"/>
    <w:rsid w:val="008312DA"/>
    <w:rsid w:val="008317E6"/>
    <w:rsid w:val="008328B1"/>
    <w:rsid w:val="0083391E"/>
    <w:rsid w:val="00833AC3"/>
    <w:rsid w:val="0083411F"/>
    <w:rsid w:val="00834574"/>
    <w:rsid w:val="00834796"/>
    <w:rsid w:val="00834C18"/>
    <w:rsid w:val="00834CAD"/>
    <w:rsid w:val="00834E70"/>
    <w:rsid w:val="00835FC0"/>
    <w:rsid w:val="00836701"/>
    <w:rsid w:val="0083677E"/>
    <w:rsid w:val="008368EC"/>
    <w:rsid w:val="008369A9"/>
    <w:rsid w:val="00836BD9"/>
    <w:rsid w:val="00836EF2"/>
    <w:rsid w:val="00837719"/>
    <w:rsid w:val="0083798B"/>
    <w:rsid w:val="00837EDA"/>
    <w:rsid w:val="008407FD"/>
    <w:rsid w:val="00840B5F"/>
    <w:rsid w:val="008413AA"/>
    <w:rsid w:val="00841ACD"/>
    <w:rsid w:val="00841C82"/>
    <w:rsid w:val="00842BF9"/>
    <w:rsid w:val="0084473C"/>
    <w:rsid w:val="00844BE7"/>
    <w:rsid w:val="0084511B"/>
    <w:rsid w:val="00851059"/>
    <w:rsid w:val="008511F6"/>
    <w:rsid w:val="00853BC7"/>
    <w:rsid w:val="00853DA7"/>
    <w:rsid w:val="00855C60"/>
    <w:rsid w:val="00855DEE"/>
    <w:rsid w:val="00857413"/>
    <w:rsid w:val="0085759C"/>
    <w:rsid w:val="00857651"/>
    <w:rsid w:val="008603BC"/>
    <w:rsid w:val="008619A7"/>
    <w:rsid w:val="00862DC5"/>
    <w:rsid w:val="008637E3"/>
    <w:rsid w:val="00864A1C"/>
    <w:rsid w:val="00865F4F"/>
    <w:rsid w:val="00867223"/>
    <w:rsid w:val="00867334"/>
    <w:rsid w:val="008674A0"/>
    <w:rsid w:val="00867E98"/>
    <w:rsid w:val="00871F3D"/>
    <w:rsid w:val="00872235"/>
    <w:rsid w:val="00872E80"/>
    <w:rsid w:val="008738D7"/>
    <w:rsid w:val="00873AF0"/>
    <w:rsid w:val="008748A5"/>
    <w:rsid w:val="008749A5"/>
    <w:rsid w:val="0087635C"/>
    <w:rsid w:val="0087692D"/>
    <w:rsid w:val="0087771E"/>
    <w:rsid w:val="00877FD8"/>
    <w:rsid w:val="008807EF"/>
    <w:rsid w:val="00880C8A"/>
    <w:rsid w:val="00881369"/>
    <w:rsid w:val="00881CBE"/>
    <w:rsid w:val="00881EC3"/>
    <w:rsid w:val="00882444"/>
    <w:rsid w:val="008826A3"/>
    <w:rsid w:val="008829E1"/>
    <w:rsid w:val="008843A5"/>
    <w:rsid w:val="00884453"/>
    <w:rsid w:val="00884924"/>
    <w:rsid w:val="008849F9"/>
    <w:rsid w:val="0088610C"/>
    <w:rsid w:val="00886994"/>
    <w:rsid w:val="00886D10"/>
    <w:rsid w:val="00887119"/>
    <w:rsid w:val="008872A8"/>
    <w:rsid w:val="00887510"/>
    <w:rsid w:val="00887511"/>
    <w:rsid w:val="00887840"/>
    <w:rsid w:val="008902E2"/>
    <w:rsid w:val="00890831"/>
    <w:rsid w:val="00891424"/>
    <w:rsid w:val="00892847"/>
    <w:rsid w:val="00892DC1"/>
    <w:rsid w:val="008930FC"/>
    <w:rsid w:val="00893A11"/>
    <w:rsid w:val="00893EDE"/>
    <w:rsid w:val="00895BCB"/>
    <w:rsid w:val="00896060"/>
    <w:rsid w:val="00897E80"/>
    <w:rsid w:val="008A1033"/>
    <w:rsid w:val="008A114C"/>
    <w:rsid w:val="008A29CE"/>
    <w:rsid w:val="008A2A17"/>
    <w:rsid w:val="008A3B33"/>
    <w:rsid w:val="008A3BA3"/>
    <w:rsid w:val="008A4391"/>
    <w:rsid w:val="008A4503"/>
    <w:rsid w:val="008A5781"/>
    <w:rsid w:val="008A5F52"/>
    <w:rsid w:val="008A75EB"/>
    <w:rsid w:val="008A7C80"/>
    <w:rsid w:val="008A7F9D"/>
    <w:rsid w:val="008B147A"/>
    <w:rsid w:val="008B1932"/>
    <w:rsid w:val="008B254D"/>
    <w:rsid w:val="008B30A8"/>
    <w:rsid w:val="008B347E"/>
    <w:rsid w:val="008B40ED"/>
    <w:rsid w:val="008B6860"/>
    <w:rsid w:val="008B6BD8"/>
    <w:rsid w:val="008B6C3F"/>
    <w:rsid w:val="008B7A96"/>
    <w:rsid w:val="008C0388"/>
    <w:rsid w:val="008C06AD"/>
    <w:rsid w:val="008C07AD"/>
    <w:rsid w:val="008C132E"/>
    <w:rsid w:val="008C2CEE"/>
    <w:rsid w:val="008C3AE8"/>
    <w:rsid w:val="008C3EE8"/>
    <w:rsid w:val="008C4A8C"/>
    <w:rsid w:val="008C5015"/>
    <w:rsid w:val="008C51A8"/>
    <w:rsid w:val="008C5BB9"/>
    <w:rsid w:val="008C5DCC"/>
    <w:rsid w:val="008C60F9"/>
    <w:rsid w:val="008C66B7"/>
    <w:rsid w:val="008C67A9"/>
    <w:rsid w:val="008C67C4"/>
    <w:rsid w:val="008C72CB"/>
    <w:rsid w:val="008C7528"/>
    <w:rsid w:val="008C79ED"/>
    <w:rsid w:val="008C7B81"/>
    <w:rsid w:val="008C7C25"/>
    <w:rsid w:val="008CECC6"/>
    <w:rsid w:val="008D0242"/>
    <w:rsid w:val="008D21F2"/>
    <w:rsid w:val="008D2A99"/>
    <w:rsid w:val="008D3952"/>
    <w:rsid w:val="008D419C"/>
    <w:rsid w:val="008D4E9B"/>
    <w:rsid w:val="008D5115"/>
    <w:rsid w:val="008D646E"/>
    <w:rsid w:val="008D6E7B"/>
    <w:rsid w:val="008D76C6"/>
    <w:rsid w:val="008D77CF"/>
    <w:rsid w:val="008E0045"/>
    <w:rsid w:val="008E09A9"/>
    <w:rsid w:val="008E1D70"/>
    <w:rsid w:val="008E33FC"/>
    <w:rsid w:val="008E3F4D"/>
    <w:rsid w:val="008E3FF9"/>
    <w:rsid w:val="008E410E"/>
    <w:rsid w:val="008E447F"/>
    <w:rsid w:val="008E4770"/>
    <w:rsid w:val="008E49C8"/>
    <w:rsid w:val="008E55B9"/>
    <w:rsid w:val="008E6B93"/>
    <w:rsid w:val="008E7C04"/>
    <w:rsid w:val="008F0102"/>
    <w:rsid w:val="008F04A8"/>
    <w:rsid w:val="008F0B23"/>
    <w:rsid w:val="008F10D1"/>
    <w:rsid w:val="008F184D"/>
    <w:rsid w:val="008F18A4"/>
    <w:rsid w:val="008F18EF"/>
    <w:rsid w:val="008F237B"/>
    <w:rsid w:val="008F23F3"/>
    <w:rsid w:val="008F29E2"/>
    <w:rsid w:val="008F37DE"/>
    <w:rsid w:val="008F3EB6"/>
    <w:rsid w:val="008F401F"/>
    <w:rsid w:val="008F40BA"/>
    <w:rsid w:val="008F57EA"/>
    <w:rsid w:val="008F60B0"/>
    <w:rsid w:val="008F655B"/>
    <w:rsid w:val="008F6A89"/>
    <w:rsid w:val="008F6AFA"/>
    <w:rsid w:val="008F6BC9"/>
    <w:rsid w:val="008F6F92"/>
    <w:rsid w:val="008F7204"/>
    <w:rsid w:val="008F7EB6"/>
    <w:rsid w:val="009003DD"/>
    <w:rsid w:val="00900973"/>
    <w:rsid w:val="00901C72"/>
    <w:rsid w:val="00905116"/>
    <w:rsid w:val="009057CE"/>
    <w:rsid w:val="0090595B"/>
    <w:rsid w:val="00906308"/>
    <w:rsid w:val="00910BD1"/>
    <w:rsid w:val="00912C4D"/>
    <w:rsid w:val="00913501"/>
    <w:rsid w:val="00913A3A"/>
    <w:rsid w:val="00916A95"/>
    <w:rsid w:val="00916B28"/>
    <w:rsid w:val="0091787F"/>
    <w:rsid w:val="00917B9C"/>
    <w:rsid w:val="00917ED5"/>
    <w:rsid w:val="009207F0"/>
    <w:rsid w:val="00920DF5"/>
    <w:rsid w:val="00921EDF"/>
    <w:rsid w:val="0092243E"/>
    <w:rsid w:val="00922536"/>
    <w:rsid w:val="0092335A"/>
    <w:rsid w:val="00923A39"/>
    <w:rsid w:val="00923F13"/>
    <w:rsid w:val="00923FF5"/>
    <w:rsid w:val="00924104"/>
    <w:rsid w:val="00924FD6"/>
    <w:rsid w:val="00925C8B"/>
    <w:rsid w:val="00931253"/>
    <w:rsid w:val="009315F2"/>
    <w:rsid w:val="0093186D"/>
    <w:rsid w:val="00931997"/>
    <w:rsid w:val="009322C8"/>
    <w:rsid w:val="00934FD8"/>
    <w:rsid w:val="00935477"/>
    <w:rsid w:val="00935FD8"/>
    <w:rsid w:val="00939ABA"/>
    <w:rsid w:val="00940609"/>
    <w:rsid w:val="00942137"/>
    <w:rsid w:val="00942299"/>
    <w:rsid w:val="009434D3"/>
    <w:rsid w:val="00944B46"/>
    <w:rsid w:val="009453C7"/>
    <w:rsid w:val="00945E9F"/>
    <w:rsid w:val="00946458"/>
    <w:rsid w:val="00946E5B"/>
    <w:rsid w:val="00947C76"/>
    <w:rsid w:val="00950AF3"/>
    <w:rsid w:val="00951165"/>
    <w:rsid w:val="00951588"/>
    <w:rsid w:val="00951BF4"/>
    <w:rsid w:val="009522A5"/>
    <w:rsid w:val="009523EC"/>
    <w:rsid w:val="00952B14"/>
    <w:rsid w:val="00952B3C"/>
    <w:rsid w:val="00953768"/>
    <w:rsid w:val="00954E4A"/>
    <w:rsid w:val="00954E98"/>
    <w:rsid w:val="00954F09"/>
    <w:rsid w:val="00954FD8"/>
    <w:rsid w:val="00955EFC"/>
    <w:rsid w:val="009569FA"/>
    <w:rsid w:val="00956B2D"/>
    <w:rsid w:val="00957EF7"/>
    <w:rsid w:val="0096025F"/>
    <w:rsid w:val="009603A0"/>
    <w:rsid w:val="009610A2"/>
    <w:rsid w:val="0096131C"/>
    <w:rsid w:val="0096237C"/>
    <w:rsid w:val="009623B9"/>
    <w:rsid w:val="009624F6"/>
    <w:rsid w:val="00962676"/>
    <w:rsid w:val="00963B82"/>
    <w:rsid w:val="00963F38"/>
    <w:rsid w:val="00965345"/>
    <w:rsid w:val="00965A13"/>
    <w:rsid w:val="00966070"/>
    <w:rsid w:val="0096635C"/>
    <w:rsid w:val="00967AEE"/>
    <w:rsid w:val="00970426"/>
    <w:rsid w:val="00970E72"/>
    <w:rsid w:val="009729C1"/>
    <w:rsid w:val="00972DAE"/>
    <w:rsid w:val="00973FD0"/>
    <w:rsid w:val="00974607"/>
    <w:rsid w:val="00974CA5"/>
    <w:rsid w:val="00974F68"/>
    <w:rsid w:val="00975356"/>
    <w:rsid w:val="00975506"/>
    <w:rsid w:val="00975831"/>
    <w:rsid w:val="00976053"/>
    <w:rsid w:val="00976A17"/>
    <w:rsid w:val="00977592"/>
    <w:rsid w:val="0097764B"/>
    <w:rsid w:val="0097787D"/>
    <w:rsid w:val="00980C53"/>
    <w:rsid w:val="00981089"/>
    <w:rsid w:val="0098117C"/>
    <w:rsid w:val="00981557"/>
    <w:rsid w:val="00981D12"/>
    <w:rsid w:val="009823A1"/>
    <w:rsid w:val="009834E8"/>
    <w:rsid w:val="009836BB"/>
    <w:rsid w:val="00984594"/>
    <w:rsid w:val="00985AAB"/>
    <w:rsid w:val="009865A2"/>
    <w:rsid w:val="00986AEA"/>
    <w:rsid w:val="00986C93"/>
    <w:rsid w:val="009872A0"/>
    <w:rsid w:val="00990507"/>
    <w:rsid w:val="00991366"/>
    <w:rsid w:val="009915FB"/>
    <w:rsid w:val="00992321"/>
    <w:rsid w:val="009939E2"/>
    <w:rsid w:val="009953FE"/>
    <w:rsid w:val="00995774"/>
    <w:rsid w:val="00995955"/>
    <w:rsid w:val="00996844"/>
    <w:rsid w:val="00996E70"/>
    <w:rsid w:val="00997524"/>
    <w:rsid w:val="009976BA"/>
    <w:rsid w:val="00997D7B"/>
    <w:rsid w:val="009A1155"/>
    <w:rsid w:val="009A14C4"/>
    <w:rsid w:val="009A1EF9"/>
    <w:rsid w:val="009A2529"/>
    <w:rsid w:val="009A25D7"/>
    <w:rsid w:val="009A29F8"/>
    <w:rsid w:val="009A2C7E"/>
    <w:rsid w:val="009A37C3"/>
    <w:rsid w:val="009A482E"/>
    <w:rsid w:val="009A4EF1"/>
    <w:rsid w:val="009A5607"/>
    <w:rsid w:val="009A6A78"/>
    <w:rsid w:val="009A70B4"/>
    <w:rsid w:val="009A7425"/>
    <w:rsid w:val="009A7A4B"/>
    <w:rsid w:val="009B0746"/>
    <w:rsid w:val="009B0D32"/>
    <w:rsid w:val="009B15AD"/>
    <w:rsid w:val="009B16E2"/>
    <w:rsid w:val="009B17FA"/>
    <w:rsid w:val="009B3F4C"/>
    <w:rsid w:val="009B4D70"/>
    <w:rsid w:val="009B5833"/>
    <w:rsid w:val="009B5B10"/>
    <w:rsid w:val="009B64B4"/>
    <w:rsid w:val="009B66B8"/>
    <w:rsid w:val="009B6D61"/>
    <w:rsid w:val="009B74AD"/>
    <w:rsid w:val="009B74C0"/>
    <w:rsid w:val="009C0A1D"/>
    <w:rsid w:val="009C0B48"/>
    <w:rsid w:val="009C1619"/>
    <w:rsid w:val="009C18FF"/>
    <w:rsid w:val="009C33A7"/>
    <w:rsid w:val="009C3C96"/>
    <w:rsid w:val="009C4B31"/>
    <w:rsid w:val="009C5260"/>
    <w:rsid w:val="009C611F"/>
    <w:rsid w:val="009C61E0"/>
    <w:rsid w:val="009C6A6E"/>
    <w:rsid w:val="009C6C67"/>
    <w:rsid w:val="009C73AA"/>
    <w:rsid w:val="009C7474"/>
    <w:rsid w:val="009C758B"/>
    <w:rsid w:val="009D027C"/>
    <w:rsid w:val="009D059D"/>
    <w:rsid w:val="009D1337"/>
    <w:rsid w:val="009D133D"/>
    <w:rsid w:val="009D13D3"/>
    <w:rsid w:val="009D1844"/>
    <w:rsid w:val="009D1F44"/>
    <w:rsid w:val="009D355D"/>
    <w:rsid w:val="009D4436"/>
    <w:rsid w:val="009D4672"/>
    <w:rsid w:val="009D484A"/>
    <w:rsid w:val="009D4876"/>
    <w:rsid w:val="009D5B82"/>
    <w:rsid w:val="009D6A47"/>
    <w:rsid w:val="009D6DAE"/>
    <w:rsid w:val="009D6EEE"/>
    <w:rsid w:val="009D76B9"/>
    <w:rsid w:val="009D7DA4"/>
    <w:rsid w:val="009E0047"/>
    <w:rsid w:val="009E064E"/>
    <w:rsid w:val="009E0AC3"/>
    <w:rsid w:val="009E1E75"/>
    <w:rsid w:val="009E2150"/>
    <w:rsid w:val="009E27E9"/>
    <w:rsid w:val="009E30A0"/>
    <w:rsid w:val="009E3154"/>
    <w:rsid w:val="009E3440"/>
    <w:rsid w:val="009E3E1A"/>
    <w:rsid w:val="009E4721"/>
    <w:rsid w:val="009E4944"/>
    <w:rsid w:val="009E4F02"/>
    <w:rsid w:val="009E5386"/>
    <w:rsid w:val="009E5A2B"/>
    <w:rsid w:val="009E65D3"/>
    <w:rsid w:val="009E7AEF"/>
    <w:rsid w:val="009F160B"/>
    <w:rsid w:val="009F17BA"/>
    <w:rsid w:val="009F193A"/>
    <w:rsid w:val="009F1F4B"/>
    <w:rsid w:val="009F38A5"/>
    <w:rsid w:val="009F4029"/>
    <w:rsid w:val="009F4ACF"/>
    <w:rsid w:val="009F4BDC"/>
    <w:rsid w:val="009F4F28"/>
    <w:rsid w:val="009F5530"/>
    <w:rsid w:val="009F5703"/>
    <w:rsid w:val="009F6D5C"/>
    <w:rsid w:val="009F6E13"/>
    <w:rsid w:val="009F77B5"/>
    <w:rsid w:val="00A0030D"/>
    <w:rsid w:val="00A010EE"/>
    <w:rsid w:val="00A01FE2"/>
    <w:rsid w:val="00A02CD6"/>
    <w:rsid w:val="00A03856"/>
    <w:rsid w:val="00A03E5C"/>
    <w:rsid w:val="00A05A69"/>
    <w:rsid w:val="00A05BBC"/>
    <w:rsid w:val="00A06615"/>
    <w:rsid w:val="00A07287"/>
    <w:rsid w:val="00A10999"/>
    <w:rsid w:val="00A1107F"/>
    <w:rsid w:val="00A11380"/>
    <w:rsid w:val="00A11B9D"/>
    <w:rsid w:val="00A11EB1"/>
    <w:rsid w:val="00A121F5"/>
    <w:rsid w:val="00A1362F"/>
    <w:rsid w:val="00A139A4"/>
    <w:rsid w:val="00A1465B"/>
    <w:rsid w:val="00A147C4"/>
    <w:rsid w:val="00A16924"/>
    <w:rsid w:val="00A2098F"/>
    <w:rsid w:val="00A20B0E"/>
    <w:rsid w:val="00A2195E"/>
    <w:rsid w:val="00A22694"/>
    <w:rsid w:val="00A228A7"/>
    <w:rsid w:val="00A22DF5"/>
    <w:rsid w:val="00A2468D"/>
    <w:rsid w:val="00A25982"/>
    <w:rsid w:val="00A25D86"/>
    <w:rsid w:val="00A26683"/>
    <w:rsid w:val="00A267F8"/>
    <w:rsid w:val="00A26BF8"/>
    <w:rsid w:val="00A26D59"/>
    <w:rsid w:val="00A27BAD"/>
    <w:rsid w:val="00A302B2"/>
    <w:rsid w:val="00A30E10"/>
    <w:rsid w:val="00A3121D"/>
    <w:rsid w:val="00A3205C"/>
    <w:rsid w:val="00A32647"/>
    <w:rsid w:val="00A32AAC"/>
    <w:rsid w:val="00A334AC"/>
    <w:rsid w:val="00A33DA6"/>
    <w:rsid w:val="00A33E37"/>
    <w:rsid w:val="00A33EC3"/>
    <w:rsid w:val="00A346A7"/>
    <w:rsid w:val="00A355A9"/>
    <w:rsid w:val="00A365C4"/>
    <w:rsid w:val="00A36C49"/>
    <w:rsid w:val="00A36DDE"/>
    <w:rsid w:val="00A37051"/>
    <w:rsid w:val="00A378F1"/>
    <w:rsid w:val="00A37D44"/>
    <w:rsid w:val="00A404CD"/>
    <w:rsid w:val="00A40996"/>
    <w:rsid w:val="00A40A14"/>
    <w:rsid w:val="00A40D9F"/>
    <w:rsid w:val="00A410CC"/>
    <w:rsid w:val="00A411BE"/>
    <w:rsid w:val="00A415D8"/>
    <w:rsid w:val="00A41DDF"/>
    <w:rsid w:val="00A4257F"/>
    <w:rsid w:val="00A427DB"/>
    <w:rsid w:val="00A429D1"/>
    <w:rsid w:val="00A42C73"/>
    <w:rsid w:val="00A42C81"/>
    <w:rsid w:val="00A4368D"/>
    <w:rsid w:val="00A43E42"/>
    <w:rsid w:val="00A4436F"/>
    <w:rsid w:val="00A461FF"/>
    <w:rsid w:val="00A47321"/>
    <w:rsid w:val="00A4754D"/>
    <w:rsid w:val="00A47CA6"/>
    <w:rsid w:val="00A50A98"/>
    <w:rsid w:val="00A53269"/>
    <w:rsid w:val="00A53861"/>
    <w:rsid w:val="00A53940"/>
    <w:rsid w:val="00A539D6"/>
    <w:rsid w:val="00A54AA5"/>
    <w:rsid w:val="00A54E34"/>
    <w:rsid w:val="00A54FB7"/>
    <w:rsid w:val="00A54FFC"/>
    <w:rsid w:val="00A552C5"/>
    <w:rsid w:val="00A555CD"/>
    <w:rsid w:val="00A558F3"/>
    <w:rsid w:val="00A55B81"/>
    <w:rsid w:val="00A55FC4"/>
    <w:rsid w:val="00A61782"/>
    <w:rsid w:val="00A621D5"/>
    <w:rsid w:val="00A640E9"/>
    <w:rsid w:val="00A6495D"/>
    <w:rsid w:val="00A65920"/>
    <w:rsid w:val="00A6680E"/>
    <w:rsid w:val="00A66FA9"/>
    <w:rsid w:val="00A6785A"/>
    <w:rsid w:val="00A71E3F"/>
    <w:rsid w:val="00A72A36"/>
    <w:rsid w:val="00A72D56"/>
    <w:rsid w:val="00A73223"/>
    <w:rsid w:val="00A7409A"/>
    <w:rsid w:val="00A74579"/>
    <w:rsid w:val="00A750DA"/>
    <w:rsid w:val="00A753CF"/>
    <w:rsid w:val="00A7618C"/>
    <w:rsid w:val="00A76306"/>
    <w:rsid w:val="00A7703A"/>
    <w:rsid w:val="00A770D6"/>
    <w:rsid w:val="00A77246"/>
    <w:rsid w:val="00A778A0"/>
    <w:rsid w:val="00A77D76"/>
    <w:rsid w:val="00A80AF0"/>
    <w:rsid w:val="00A80DB5"/>
    <w:rsid w:val="00A81531"/>
    <w:rsid w:val="00A81A11"/>
    <w:rsid w:val="00A81BC1"/>
    <w:rsid w:val="00A82056"/>
    <w:rsid w:val="00A8240D"/>
    <w:rsid w:val="00A845A2"/>
    <w:rsid w:val="00A8474F"/>
    <w:rsid w:val="00A848E7"/>
    <w:rsid w:val="00A85C25"/>
    <w:rsid w:val="00A86138"/>
    <w:rsid w:val="00A86141"/>
    <w:rsid w:val="00A87C12"/>
    <w:rsid w:val="00A898CC"/>
    <w:rsid w:val="00A90204"/>
    <w:rsid w:val="00A902FE"/>
    <w:rsid w:val="00A905B3"/>
    <w:rsid w:val="00A9069A"/>
    <w:rsid w:val="00A9089C"/>
    <w:rsid w:val="00A90B46"/>
    <w:rsid w:val="00A919AD"/>
    <w:rsid w:val="00A92970"/>
    <w:rsid w:val="00A93F9E"/>
    <w:rsid w:val="00A9441A"/>
    <w:rsid w:val="00A9463F"/>
    <w:rsid w:val="00A949AD"/>
    <w:rsid w:val="00A951A7"/>
    <w:rsid w:val="00A958E2"/>
    <w:rsid w:val="00A9595F"/>
    <w:rsid w:val="00A97087"/>
    <w:rsid w:val="00A9729F"/>
    <w:rsid w:val="00AA02EA"/>
    <w:rsid w:val="00AA0328"/>
    <w:rsid w:val="00AA1C67"/>
    <w:rsid w:val="00AA1C7A"/>
    <w:rsid w:val="00AA2228"/>
    <w:rsid w:val="00AA28DB"/>
    <w:rsid w:val="00AA31D4"/>
    <w:rsid w:val="00AA33C5"/>
    <w:rsid w:val="00AA3803"/>
    <w:rsid w:val="00AA3A2F"/>
    <w:rsid w:val="00AA5D91"/>
    <w:rsid w:val="00AA6106"/>
    <w:rsid w:val="00AA783B"/>
    <w:rsid w:val="00AB06C4"/>
    <w:rsid w:val="00AB0BDB"/>
    <w:rsid w:val="00AB1958"/>
    <w:rsid w:val="00AB25C2"/>
    <w:rsid w:val="00AB270B"/>
    <w:rsid w:val="00AB3063"/>
    <w:rsid w:val="00AB33B1"/>
    <w:rsid w:val="00AB36D2"/>
    <w:rsid w:val="00AB3762"/>
    <w:rsid w:val="00AB424B"/>
    <w:rsid w:val="00AB4881"/>
    <w:rsid w:val="00AB4C28"/>
    <w:rsid w:val="00AB5F82"/>
    <w:rsid w:val="00AB68DA"/>
    <w:rsid w:val="00AB7421"/>
    <w:rsid w:val="00AB7E54"/>
    <w:rsid w:val="00AB7F99"/>
    <w:rsid w:val="00AC05DA"/>
    <w:rsid w:val="00AC0984"/>
    <w:rsid w:val="00AC0A2A"/>
    <w:rsid w:val="00AC10EC"/>
    <w:rsid w:val="00AC13F2"/>
    <w:rsid w:val="00AC1E10"/>
    <w:rsid w:val="00AC2083"/>
    <w:rsid w:val="00AC33FF"/>
    <w:rsid w:val="00AC4546"/>
    <w:rsid w:val="00AC5362"/>
    <w:rsid w:val="00AC63DA"/>
    <w:rsid w:val="00AC657F"/>
    <w:rsid w:val="00AC65DD"/>
    <w:rsid w:val="00AC6B04"/>
    <w:rsid w:val="00AD15C8"/>
    <w:rsid w:val="00AD1AFD"/>
    <w:rsid w:val="00AD2B97"/>
    <w:rsid w:val="00AD2D9B"/>
    <w:rsid w:val="00AD2F0F"/>
    <w:rsid w:val="00AD4054"/>
    <w:rsid w:val="00AD4FC2"/>
    <w:rsid w:val="00AD51D9"/>
    <w:rsid w:val="00AD5E1B"/>
    <w:rsid w:val="00AD6136"/>
    <w:rsid w:val="00AD6401"/>
    <w:rsid w:val="00AD670D"/>
    <w:rsid w:val="00AD6DFC"/>
    <w:rsid w:val="00AD6EA2"/>
    <w:rsid w:val="00AD701E"/>
    <w:rsid w:val="00AD7146"/>
    <w:rsid w:val="00AD7F22"/>
    <w:rsid w:val="00AE06C3"/>
    <w:rsid w:val="00AE24BD"/>
    <w:rsid w:val="00AE284B"/>
    <w:rsid w:val="00AE2D25"/>
    <w:rsid w:val="00AE2E26"/>
    <w:rsid w:val="00AE305E"/>
    <w:rsid w:val="00AE36D6"/>
    <w:rsid w:val="00AE3F47"/>
    <w:rsid w:val="00AE3F7E"/>
    <w:rsid w:val="00AE45C4"/>
    <w:rsid w:val="00AE509A"/>
    <w:rsid w:val="00AE54BE"/>
    <w:rsid w:val="00AE5D28"/>
    <w:rsid w:val="00AE5E11"/>
    <w:rsid w:val="00AE6A37"/>
    <w:rsid w:val="00AE6D5A"/>
    <w:rsid w:val="00AE708D"/>
    <w:rsid w:val="00AE7C96"/>
    <w:rsid w:val="00AF00B7"/>
    <w:rsid w:val="00AF0587"/>
    <w:rsid w:val="00AF13C8"/>
    <w:rsid w:val="00AF2B9A"/>
    <w:rsid w:val="00AF3907"/>
    <w:rsid w:val="00AF3BA9"/>
    <w:rsid w:val="00AF3F91"/>
    <w:rsid w:val="00AF42AB"/>
    <w:rsid w:val="00AF5238"/>
    <w:rsid w:val="00AF5A25"/>
    <w:rsid w:val="00AF63FD"/>
    <w:rsid w:val="00AF6748"/>
    <w:rsid w:val="00AF76AE"/>
    <w:rsid w:val="00AF7951"/>
    <w:rsid w:val="00AF7D71"/>
    <w:rsid w:val="00B005B1"/>
    <w:rsid w:val="00B015BC"/>
    <w:rsid w:val="00B02033"/>
    <w:rsid w:val="00B02595"/>
    <w:rsid w:val="00B02649"/>
    <w:rsid w:val="00B02A11"/>
    <w:rsid w:val="00B035B2"/>
    <w:rsid w:val="00B03DAB"/>
    <w:rsid w:val="00B04D98"/>
    <w:rsid w:val="00B05387"/>
    <w:rsid w:val="00B05B91"/>
    <w:rsid w:val="00B05C96"/>
    <w:rsid w:val="00B0659F"/>
    <w:rsid w:val="00B06935"/>
    <w:rsid w:val="00B06C7D"/>
    <w:rsid w:val="00B071A9"/>
    <w:rsid w:val="00B07FC2"/>
    <w:rsid w:val="00B106AF"/>
    <w:rsid w:val="00B10F51"/>
    <w:rsid w:val="00B12F93"/>
    <w:rsid w:val="00B13BF6"/>
    <w:rsid w:val="00B13F51"/>
    <w:rsid w:val="00B157F7"/>
    <w:rsid w:val="00B16315"/>
    <w:rsid w:val="00B168E6"/>
    <w:rsid w:val="00B17A69"/>
    <w:rsid w:val="00B17DC1"/>
    <w:rsid w:val="00B17E3F"/>
    <w:rsid w:val="00B20359"/>
    <w:rsid w:val="00B203DB"/>
    <w:rsid w:val="00B22644"/>
    <w:rsid w:val="00B22CB0"/>
    <w:rsid w:val="00B23892"/>
    <w:rsid w:val="00B23ED1"/>
    <w:rsid w:val="00B253C4"/>
    <w:rsid w:val="00B25FF4"/>
    <w:rsid w:val="00B2622F"/>
    <w:rsid w:val="00B26DBF"/>
    <w:rsid w:val="00B27D0D"/>
    <w:rsid w:val="00B303A1"/>
    <w:rsid w:val="00B31B59"/>
    <w:rsid w:val="00B32157"/>
    <w:rsid w:val="00B324C7"/>
    <w:rsid w:val="00B33612"/>
    <w:rsid w:val="00B33AB8"/>
    <w:rsid w:val="00B35CF2"/>
    <w:rsid w:val="00B3610B"/>
    <w:rsid w:val="00B37FD2"/>
    <w:rsid w:val="00B406D2"/>
    <w:rsid w:val="00B41A7C"/>
    <w:rsid w:val="00B41F1B"/>
    <w:rsid w:val="00B424A7"/>
    <w:rsid w:val="00B42A23"/>
    <w:rsid w:val="00B43039"/>
    <w:rsid w:val="00B43541"/>
    <w:rsid w:val="00B4370B"/>
    <w:rsid w:val="00B453BC"/>
    <w:rsid w:val="00B45D7C"/>
    <w:rsid w:val="00B45F82"/>
    <w:rsid w:val="00B460A0"/>
    <w:rsid w:val="00B46768"/>
    <w:rsid w:val="00B469DD"/>
    <w:rsid w:val="00B4776A"/>
    <w:rsid w:val="00B5009A"/>
    <w:rsid w:val="00B503B3"/>
    <w:rsid w:val="00B529C5"/>
    <w:rsid w:val="00B52F39"/>
    <w:rsid w:val="00B53833"/>
    <w:rsid w:val="00B53EF8"/>
    <w:rsid w:val="00B5400C"/>
    <w:rsid w:val="00B547CE"/>
    <w:rsid w:val="00B54A43"/>
    <w:rsid w:val="00B54BB3"/>
    <w:rsid w:val="00B54ED3"/>
    <w:rsid w:val="00B54FD2"/>
    <w:rsid w:val="00B55F8E"/>
    <w:rsid w:val="00B575DE"/>
    <w:rsid w:val="00B57AF7"/>
    <w:rsid w:val="00B57CFA"/>
    <w:rsid w:val="00B62114"/>
    <w:rsid w:val="00B6275D"/>
    <w:rsid w:val="00B630A2"/>
    <w:rsid w:val="00B639AB"/>
    <w:rsid w:val="00B6416B"/>
    <w:rsid w:val="00B643D6"/>
    <w:rsid w:val="00B6473C"/>
    <w:rsid w:val="00B651F4"/>
    <w:rsid w:val="00B659E9"/>
    <w:rsid w:val="00B65A7A"/>
    <w:rsid w:val="00B66314"/>
    <w:rsid w:val="00B664A8"/>
    <w:rsid w:val="00B66CB0"/>
    <w:rsid w:val="00B70721"/>
    <w:rsid w:val="00B70D67"/>
    <w:rsid w:val="00B732C7"/>
    <w:rsid w:val="00B741D9"/>
    <w:rsid w:val="00B74683"/>
    <w:rsid w:val="00B74A62"/>
    <w:rsid w:val="00B7596F"/>
    <w:rsid w:val="00B759FB"/>
    <w:rsid w:val="00B75AB0"/>
    <w:rsid w:val="00B7634C"/>
    <w:rsid w:val="00B763AC"/>
    <w:rsid w:val="00B76B03"/>
    <w:rsid w:val="00B7735D"/>
    <w:rsid w:val="00B77481"/>
    <w:rsid w:val="00B80924"/>
    <w:rsid w:val="00B81689"/>
    <w:rsid w:val="00B82A71"/>
    <w:rsid w:val="00B82B5D"/>
    <w:rsid w:val="00B83972"/>
    <w:rsid w:val="00B846EF"/>
    <w:rsid w:val="00B84778"/>
    <w:rsid w:val="00B87680"/>
    <w:rsid w:val="00B87981"/>
    <w:rsid w:val="00B90102"/>
    <w:rsid w:val="00B90279"/>
    <w:rsid w:val="00B902AE"/>
    <w:rsid w:val="00B906AA"/>
    <w:rsid w:val="00B90731"/>
    <w:rsid w:val="00B90A9E"/>
    <w:rsid w:val="00B90FAB"/>
    <w:rsid w:val="00B9109C"/>
    <w:rsid w:val="00B911B1"/>
    <w:rsid w:val="00B91B93"/>
    <w:rsid w:val="00B94B27"/>
    <w:rsid w:val="00B94E33"/>
    <w:rsid w:val="00B95C1B"/>
    <w:rsid w:val="00B960FD"/>
    <w:rsid w:val="00B966A4"/>
    <w:rsid w:val="00B970FC"/>
    <w:rsid w:val="00B97717"/>
    <w:rsid w:val="00B97B8C"/>
    <w:rsid w:val="00B97EFF"/>
    <w:rsid w:val="00BA03BC"/>
    <w:rsid w:val="00BA13A7"/>
    <w:rsid w:val="00BA1AE6"/>
    <w:rsid w:val="00BA1B27"/>
    <w:rsid w:val="00BA23A9"/>
    <w:rsid w:val="00BA252E"/>
    <w:rsid w:val="00BA28B8"/>
    <w:rsid w:val="00BA46C4"/>
    <w:rsid w:val="00BA5866"/>
    <w:rsid w:val="00BA5CC0"/>
    <w:rsid w:val="00BA5E23"/>
    <w:rsid w:val="00BA62A8"/>
    <w:rsid w:val="00BA6EC7"/>
    <w:rsid w:val="00BA704E"/>
    <w:rsid w:val="00BA75DA"/>
    <w:rsid w:val="00BB1D52"/>
    <w:rsid w:val="00BB263A"/>
    <w:rsid w:val="00BB2E41"/>
    <w:rsid w:val="00BB34BA"/>
    <w:rsid w:val="00BB3A18"/>
    <w:rsid w:val="00BB4BDD"/>
    <w:rsid w:val="00BB4E57"/>
    <w:rsid w:val="00BB55BA"/>
    <w:rsid w:val="00BB7221"/>
    <w:rsid w:val="00BB72C6"/>
    <w:rsid w:val="00BB74D8"/>
    <w:rsid w:val="00BB78A0"/>
    <w:rsid w:val="00BB7D28"/>
    <w:rsid w:val="00BB7E9B"/>
    <w:rsid w:val="00BC051E"/>
    <w:rsid w:val="00BC1609"/>
    <w:rsid w:val="00BC1F52"/>
    <w:rsid w:val="00BC2009"/>
    <w:rsid w:val="00BC2877"/>
    <w:rsid w:val="00BC34D4"/>
    <w:rsid w:val="00BC36FD"/>
    <w:rsid w:val="00BC3E61"/>
    <w:rsid w:val="00BC3F44"/>
    <w:rsid w:val="00BC48E4"/>
    <w:rsid w:val="00BC4A95"/>
    <w:rsid w:val="00BC5A36"/>
    <w:rsid w:val="00BC72D0"/>
    <w:rsid w:val="00BC77F9"/>
    <w:rsid w:val="00BD067D"/>
    <w:rsid w:val="00BD1A3C"/>
    <w:rsid w:val="00BD1D8E"/>
    <w:rsid w:val="00BD299E"/>
    <w:rsid w:val="00BD2E83"/>
    <w:rsid w:val="00BD302C"/>
    <w:rsid w:val="00BD4430"/>
    <w:rsid w:val="00BD4549"/>
    <w:rsid w:val="00BD4D17"/>
    <w:rsid w:val="00BD4E50"/>
    <w:rsid w:val="00BD5AB9"/>
    <w:rsid w:val="00BD5ABF"/>
    <w:rsid w:val="00BD5BB3"/>
    <w:rsid w:val="00BD62A1"/>
    <w:rsid w:val="00BD742B"/>
    <w:rsid w:val="00BE0A0D"/>
    <w:rsid w:val="00BE1CC5"/>
    <w:rsid w:val="00BE3F86"/>
    <w:rsid w:val="00BE4524"/>
    <w:rsid w:val="00BE5178"/>
    <w:rsid w:val="00BE59A4"/>
    <w:rsid w:val="00BE5D87"/>
    <w:rsid w:val="00BE614F"/>
    <w:rsid w:val="00BE79A7"/>
    <w:rsid w:val="00BE7B76"/>
    <w:rsid w:val="00BF0241"/>
    <w:rsid w:val="00BF17D7"/>
    <w:rsid w:val="00BF2360"/>
    <w:rsid w:val="00BF2452"/>
    <w:rsid w:val="00BF3B99"/>
    <w:rsid w:val="00BF490B"/>
    <w:rsid w:val="00BF4A37"/>
    <w:rsid w:val="00BF4ADA"/>
    <w:rsid w:val="00BF7349"/>
    <w:rsid w:val="00BF76C2"/>
    <w:rsid w:val="00C01127"/>
    <w:rsid w:val="00C02F7C"/>
    <w:rsid w:val="00C0349C"/>
    <w:rsid w:val="00C03766"/>
    <w:rsid w:val="00C038AF"/>
    <w:rsid w:val="00C03AA1"/>
    <w:rsid w:val="00C03C29"/>
    <w:rsid w:val="00C03D26"/>
    <w:rsid w:val="00C046B2"/>
    <w:rsid w:val="00C05926"/>
    <w:rsid w:val="00C05CC5"/>
    <w:rsid w:val="00C06726"/>
    <w:rsid w:val="00C07CDF"/>
    <w:rsid w:val="00C100C7"/>
    <w:rsid w:val="00C101D3"/>
    <w:rsid w:val="00C10CD7"/>
    <w:rsid w:val="00C11E21"/>
    <w:rsid w:val="00C12F98"/>
    <w:rsid w:val="00C13A0E"/>
    <w:rsid w:val="00C13DAD"/>
    <w:rsid w:val="00C13FF4"/>
    <w:rsid w:val="00C15690"/>
    <w:rsid w:val="00C15A7A"/>
    <w:rsid w:val="00C210B4"/>
    <w:rsid w:val="00C210D6"/>
    <w:rsid w:val="00C21650"/>
    <w:rsid w:val="00C21D67"/>
    <w:rsid w:val="00C2291C"/>
    <w:rsid w:val="00C2299C"/>
    <w:rsid w:val="00C2317D"/>
    <w:rsid w:val="00C235BD"/>
    <w:rsid w:val="00C243D0"/>
    <w:rsid w:val="00C24574"/>
    <w:rsid w:val="00C24829"/>
    <w:rsid w:val="00C24D6A"/>
    <w:rsid w:val="00C2536F"/>
    <w:rsid w:val="00C263FB"/>
    <w:rsid w:val="00C2752A"/>
    <w:rsid w:val="00C277C7"/>
    <w:rsid w:val="00C3021B"/>
    <w:rsid w:val="00C30C33"/>
    <w:rsid w:val="00C30FA8"/>
    <w:rsid w:val="00C3166D"/>
    <w:rsid w:val="00C31A4E"/>
    <w:rsid w:val="00C31F59"/>
    <w:rsid w:val="00C325E8"/>
    <w:rsid w:val="00C326FF"/>
    <w:rsid w:val="00C329BC"/>
    <w:rsid w:val="00C32B49"/>
    <w:rsid w:val="00C3347F"/>
    <w:rsid w:val="00C33C81"/>
    <w:rsid w:val="00C34229"/>
    <w:rsid w:val="00C37508"/>
    <w:rsid w:val="00C37967"/>
    <w:rsid w:val="00C4009A"/>
    <w:rsid w:val="00C4076F"/>
    <w:rsid w:val="00C40775"/>
    <w:rsid w:val="00C4224F"/>
    <w:rsid w:val="00C42797"/>
    <w:rsid w:val="00C433D6"/>
    <w:rsid w:val="00C44782"/>
    <w:rsid w:val="00C454AF"/>
    <w:rsid w:val="00C47486"/>
    <w:rsid w:val="00C5035F"/>
    <w:rsid w:val="00C50894"/>
    <w:rsid w:val="00C50D92"/>
    <w:rsid w:val="00C5189E"/>
    <w:rsid w:val="00C51A2B"/>
    <w:rsid w:val="00C51CE8"/>
    <w:rsid w:val="00C54135"/>
    <w:rsid w:val="00C54149"/>
    <w:rsid w:val="00C54602"/>
    <w:rsid w:val="00C5468E"/>
    <w:rsid w:val="00C55A36"/>
    <w:rsid w:val="00C5635E"/>
    <w:rsid w:val="00C56F40"/>
    <w:rsid w:val="00C56F79"/>
    <w:rsid w:val="00C57857"/>
    <w:rsid w:val="00C60DF6"/>
    <w:rsid w:val="00C61760"/>
    <w:rsid w:val="00C62D5A"/>
    <w:rsid w:val="00C63980"/>
    <w:rsid w:val="00C63B81"/>
    <w:rsid w:val="00C640E7"/>
    <w:rsid w:val="00C64CBB"/>
    <w:rsid w:val="00C64FFF"/>
    <w:rsid w:val="00C6546B"/>
    <w:rsid w:val="00C65C3E"/>
    <w:rsid w:val="00C67EFD"/>
    <w:rsid w:val="00C67F9F"/>
    <w:rsid w:val="00C716F3"/>
    <w:rsid w:val="00C71DAE"/>
    <w:rsid w:val="00C720E7"/>
    <w:rsid w:val="00C72A99"/>
    <w:rsid w:val="00C7305D"/>
    <w:rsid w:val="00C731BB"/>
    <w:rsid w:val="00C73BBF"/>
    <w:rsid w:val="00C73CA8"/>
    <w:rsid w:val="00C7495D"/>
    <w:rsid w:val="00C74EA3"/>
    <w:rsid w:val="00C754FC"/>
    <w:rsid w:val="00C759B6"/>
    <w:rsid w:val="00C75BA8"/>
    <w:rsid w:val="00C76171"/>
    <w:rsid w:val="00C7643D"/>
    <w:rsid w:val="00C76E3A"/>
    <w:rsid w:val="00C7794D"/>
    <w:rsid w:val="00C80332"/>
    <w:rsid w:val="00C80C02"/>
    <w:rsid w:val="00C81D43"/>
    <w:rsid w:val="00C81F11"/>
    <w:rsid w:val="00C824E7"/>
    <w:rsid w:val="00C8296F"/>
    <w:rsid w:val="00C83624"/>
    <w:rsid w:val="00C836E2"/>
    <w:rsid w:val="00C84A9D"/>
    <w:rsid w:val="00C84C16"/>
    <w:rsid w:val="00C85155"/>
    <w:rsid w:val="00C85718"/>
    <w:rsid w:val="00C863EC"/>
    <w:rsid w:val="00C869DD"/>
    <w:rsid w:val="00C871B1"/>
    <w:rsid w:val="00C8759B"/>
    <w:rsid w:val="00C90F4F"/>
    <w:rsid w:val="00C90F9A"/>
    <w:rsid w:val="00C91924"/>
    <w:rsid w:val="00C91B0C"/>
    <w:rsid w:val="00C92A2E"/>
    <w:rsid w:val="00C93088"/>
    <w:rsid w:val="00C93161"/>
    <w:rsid w:val="00C94194"/>
    <w:rsid w:val="00C94302"/>
    <w:rsid w:val="00C94850"/>
    <w:rsid w:val="00C955AB"/>
    <w:rsid w:val="00C95759"/>
    <w:rsid w:val="00C958A4"/>
    <w:rsid w:val="00C95C3D"/>
    <w:rsid w:val="00C9647B"/>
    <w:rsid w:val="00C975CE"/>
    <w:rsid w:val="00C97B24"/>
    <w:rsid w:val="00CA02AC"/>
    <w:rsid w:val="00CA197F"/>
    <w:rsid w:val="00CA2B6D"/>
    <w:rsid w:val="00CA3A0C"/>
    <w:rsid w:val="00CA3C79"/>
    <w:rsid w:val="00CA3D56"/>
    <w:rsid w:val="00CA5AE8"/>
    <w:rsid w:val="00CA5BD7"/>
    <w:rsid w:val="00CA65B2"/>
    <w:rsid w:val="00CA66DC"/>
    <w:rsid w:val="00CA688B"/>
    <w:rsid w:val="00CA74C7"/>
    <w:rsid w:val="00CA77DC"/>
    <w:rsid w:val="00CB0BBF"/>
    <w:rsid w:val="00CB220B"/>
    <w:rsid w:val="00CB23D3"/>
    <w:rsid w:val="00CB275B"/>
    <w:rsid w:val="00CB2CFB"/>
    <w:rsid w:val="00CB34EB"/>
    <w:rsid w:val="00CB3837"/>
    <w:rsid w:val="00CB41B6"/>
    <w:rsid w:val="00CB4AF8"/>
    <w:rsid w:val="00CB4BBB"/>
    <w:rsid w:val="00CB4BCB"/>
    <w:rsid w:val="00CB5ACD"/>
    <w:rsid w:val="00CB6364"/>
    <w:rsid w:val="00CB6EDD"/>
    <w:rsid w:val="00CB711C"/>
    <w:rsid w:val="00CC01A9"/>
    <w:rsid w:val="00CC0417"/>
    <w:rsid w:val="00CC0C0A"/>
    <w:rsid w:val="00CC0FBF"/>
    <w:rsid w:val="00CC10A8"/>
    <w:rsid w:val="00CC1210"/>
    <w:rsid w:val="00CC18FC"/>
    <w:rsid w:val="00CC1A0F"/>
    <w:rsid w:val="00CC1F91"/>
    <w:rsid w:val="00CC24A2"/>
    <w:rsid w:val="00CC25D4"/>
    <w:rsid w:val="00CC324F"/>
    <w:rsid w:val="00CC3E54"/>
    <w:rsid w:val="00CC42C0"/>
    <w:rsid w:val="00CC47C6"/>
    <w:rsid w:val="00CC5FF4"/>
    <w:rsid w:val="00CC60CB"/>
    <w:rsid w:val="00CC6464"/>
    <w:rsid w:val="00CC64FB"/>
    <w:rsid w:val="00CC6F6D"/>
    <w:rsid w:val="00CC712D"/>
    <w:rsid w:val="00CC7353"/>
    <w:rsid w:val="00CC76AC"/>
    <w:rsid w:val="00CD028E"/>
    <w:rsid w:val="00CD0E58"/>
    <w:rsid w:val="00CD1B00"/>
    <w:rsid w:val="00CD1ECA"/>
    <w:rsid w:val="00CD2C2C"/>
    <w:rsid w:val="00CD33C6"/>
    <w:rsid w:val="00CD405B"/>
    <w:rsid w:val="00CD4370"/>
    <w:rsid w:val="00CD4453"/>
    <w:rsid w:val="00CD4984"/>
    <w:rsid w:val="00CD5783"/>
    <w:rsid w:val="00CD5BB6"/>
    <w:rsid w:val="00CD76B0"/>
    <w:rsid w:val="00CE083E"/>
    <w:rsid w:val="00CE168B"/>
    <w:rsid w:val="00CE1703"/>
    <w:rsid w:val="00CE1A8C"/>
    <w:rsid w:val="00CE349B"/>
    <w:rsid w:val="00CE396E"/>
    <w:rsid w:val="00CE4289"/>
    <w:rsid w:val="00CE42A8"/>
    <w:rsid w:val="00CE47D9"/>
    <w:rsid w:val="00CE4FC5"/>
    <w:rsid w:val="00CE629A"/>
    <w:rsid w:val="00CE69BA"/>
    <w:rsid w:val="00CF085A"/>
    <w:rsid w:val="00CF117D"/>
    <w:rsid w:val="00CF1E8C"/>
    <w:rsid w:val="00CF2899"/>
    <w:rsid w:val="00CF36DB"/>
    <w:rsid w:val="00CF4EA8"/>
    <w:rsid w:val="00CF558F"/>
    <w:rsid w:val="00CF63A1"/>
    <w:rsid w:val="00CF672C"/>
    <w:rsid w:val="00CF7E40"/>
    <w:rsid w:val="00D00601"/>
    <w:rsid w:val="00D01D7C"/>
    <w:rsid w:val="00D02412"/>
    <w:rsid w:val="00D0280C"/>
    <w:rsid w:val="00D02CA0"/>
    <w:rsid w:val="00D0572A"/>
    <w:rsid w:val="00D059B1"/>
    <w:rsid w:val="00D070D5"/>
    <w:rsid w:val="00D07A73"/>
    <w:rsid w:val="00D07CF2"/>
    <w:rsid w:val="00D07DCC"/>
    <w:rsid w:val="00D1084E"/>
    <w:rsid w:val="00D1170B"/>
    <w:rsid w:val="00D12FAF"/>
    <w:rsid w:val="00D12FE5"/>
    <w:rsid w:val="00D133B5"/>
    <w:rsid w:val="00D1391F"/>
    <w:rsid w:val="00D13A5B"/>
    <w:rsid w:val="00D13E4A"/>
    <w:rsid w:val="00D14646"/>
    <w:rsid w:val="00D14B51"/>
    <w:rsid w:val="00D15725"/>
    <w:rsid w:val="00D15DE6"/>
    <w:rsid w:val="00D16032"/>
    <w:rsid w:val="00D16574"/>
    <w:rsid w:val="00D17AC3"/>
    <w:rsid w:val="00D21920"/>
    <w:rsid w:val="00D21984"/>
    <w:rsid w:val="00D22784"/>
    <w:rsid w:val="00D22F9F"/>
    <w:rsid w:val="00D23676"/>
    <w:rsid w:val="00D23C07"/>
    <w:rsid w:val="00D24421"/>
    <w:rsid w:val="00D2442A"/>
    <w:rsid w:val="00D24F21"/>
    <w:rsid w:val="00D26817"/>
    <w:rsid w:val="00D26AD2"/>
    <w:rsid w:val="00D26E89"/>
    <w:rsid w:val="00D2738C"/>
    <w:rsid w:val="00D30558"/>
    <w:rsid w:val="00D30C19"/>
    <w:rsid w:val="00D31513"/>
    <w:rsid w:val="00D31A73"/>
    <w:rsid w:val="00D32230"/>
    <w:rsid w:val="00D322F3"/>
    <w:rsid w:val="00D3279B"/>
    <w:rsid w:val="00D32F92"/>
    <w:rsid w:val="00D348EE"/>
    <w:rsid w:val="00D35707"/>
    <w:rsid w:val="00D3575A"/>
    <w:rsid w:val="00D3585C"/>
    <w:rsid w:val="00D36BE8"/>
    <w:rsid w:val="00D37A91"/>
    <w:rsid w:val="00D40F10"/>
    <w:rsid w:val="00D418BA"/>
    <w:rsid w:val="00D421B9"/>
    <w:rsid w:val="00D4279A"/>
    <w:rsid w:val="00D430EA"/>
    <w:rsid w:val="00D43973"/>
    <w:rsid w:val="00D44991"/>
    <w:rsid w:val="00D44B01"/>
    <w:rsid w:val="00D456F3"/>
    <w:rsid w:val="00D45B7B"/>
    <w:rsid w:val="00D45E2E"/>
    <w:rsid w:val="00D46240"/>
    <w:rsid w:val="00D472AF"/>
    <w:rsid w:val="00D47373"/>
    <w:rsid w:val="00D47A20"/>
    <w:rsid w:val="00D47E42"/>
    <w:rsid w:val="00D515B4"/>
    <w:rsid w:val="00D529B9"/>
    <w:rsid w:val="00D52E38"/>
    <w:rsid w:val="00D5357B"/>
    <w:rsid w:val="00D53689"/>
    <w:rsid w:val="00D53D7F"/>
    <w:rsid w:val="00D53E7F"/>
    <w:rsid w:val="00D54258"/>
    <w:rsid w:val="00D54428"/>
    <w:rsid w:val="00D55882"/>
    <w:rsid w:val="00D55980"/>
    <w:rsid w:val="00D55DBD"/>
    <w:rsid w:val="00D55E48"/>
    <w:rsid w:val="00D5617D"/>
    <w:rsid w:val="00D56B7E"/>
    <w:rsid w:val="00D5736E"/>
    <w:rsid w:val="00D60BAB"/>
    <w:rsid w:val="00D60FCB"/>
    <w:rsid w:val="00D62D1E"/>
    <w:rsid w:val="00D6402F"/>
    <w:rsid w:val="00D64E6B"/>
    <w:rsid w:val="00D64F5D"/>
    <w:rsid w:val="00D6563E"/>
    <w:rsid w:val="00D65790"/>
    <w:rsid w:val="00D664B0"/>
    <w:rsid w:val="00D66546"/>
    <w:rsid w:val="00D6781D"/>
    <w:rsid w:val="00D70011"/>
    <w:rsid w:val="00D70A9B"/>
    <w:rsid w:val="00D71753"/>
    <w:rsid w:val="00D72770"/>
    <w:rsid w:val="00D72B76"/>
    <w:rsid w:val="00D72CFD"/>
    <w:rsid w:val="00D73003"/>
    <w:rsid w:val="00D73036"/>
    <w:rsid w:val="00D73809"/>
    <w:rsid w:val="00D74952"/>
    <w:rsid w:val="00D74B34"/>
    <w:rsid w:val="00D75C82"/>
    <w:rsid w:val="00D75FF5"/>
    <w:rsid w:val="00D76A00"/>
    <w:rsid w:val="00D80782"/>
    <w:rsid w:val="00D8129A"/>
    <w:rsid w:val="00D81596"/>
    <w:rsid w:val="00D8177F"/>
    <w:rsid w:val="00D818F9"/>
    <w:rsid w:val="00D82CE4"/>
    <w:rsid w:val="00D83136"/>
    <w:rsid w:val="00D83F14"/>
    <w:rsid w:val="00D841D5"/>
    <w:rsid w:val="00D84221"/>
    <w:rsid w:val="00D858AC"/>
    <w:rsid w:val="00D8598A"/>
    <w:rsid w:val="00D85B88"/>
    <w:rsid w:val="00D870C0"/>
    <w:rsid w:val="00D903AD"/>
    <w:rsid w:val="00D9199A"/>
    <w:rsid w:val="00D924FA"/>
    <w:rsid w:val="00D953B1"/>
    <w:rsid w:val="00D9675C"/>
    <w:rsid w:val="00D96880"/>
    <w:rsid w:val="00D96E4E"/>
    <w:rsid w:val="00D97155"/>
    <w:rsid w:val="00D97C62"/>
    <w:rsid w:val="00D97F3A"/>
    <w:rsid w:val="00DA00B4"/>
    <w:rsid w:val="00DA09AD"/>
    <w:rsid w:val="00DA0F51"/>
    <w:rsid w:val="00DA1BF1"/>
    <w:rsid w:val="00DA1CE3"/>
    <w:rsid w:val="00DA2690"/>
    <w:rsid w:val="00DA2A28"/>
    <w:rsid w:val="00DA33F4"/>
    <w:rsid w:val="00DA37EE"/>
    <w:rsid w:val="00DA3E55"/>
    <w:rsid w:val="00DA3FBC"/>
    <w:rsid w:val="00DA5DD2"/>
    <w:rsid w:val="00DA6198"/>
    <w:rsid w:val="00DA6837"/>
    <w:rsid w:val="00DA6A8C"/>
    <w:rsid w:val="00DA6D40"/>
    <w:rsid w:val="00DA78C2"/>
    <w:rsid w:val="00DB0925"/>
    <w:rsid w:val="00DB1D6E"/>
    <w:rsid w:val="00DB2D83"/>
    <w:rsid w:val="00DB361A"/>
    <w:rsid w:val="00DB3C97"/>
    <w:rsid w:val="00DB4C61"/>
    <w:rsid w:val="00DB535C"/>
    <w:rsid w:val="00DB5668"/>
    <w:rsid w:val="00DB56A2"/>
    <w:rsid w:val="00DB673B"/>
    <w:rsid w:val="00DB6AC5"/>
    <w:rsid w:val="00DB7944"/>
    <w:rsid w:val="00DB7C70"/>
    <w:rsid w:val="00DC0259"/>
    <w:rsid w:val="00DC04E2"/>
    <w:rsid w:val="00DC1660"/>
    <w:rsid w:val="00DC2332"/>
    <w:rsid w:val="00DC28BD"/>
    <w:rsid w:val="00DC335F"/>
    <w:rsid w:val="00DC40AA"/>
    <w:rsid w:val="00DC4902"/>
    <w:rsid w:val="00DC4C63"/>
    <w:rsid w:val="00DC528A"/>
    <w:rsid w:val="00DC534E"/>
    <w:rsid w:val="00DC67A4"/>
    <w:rsid w:val="00DD257F"/>
    <w:rsid w:val="00DD3029"/>
    <w:rsid w:val="00DD35A4"/>
    <w:rsid w:val="00DD45C3"/>
    <w:rsid w:val="00DD48C7"/>
    <w:rsid w:val="00DD4DA7"/>
    <w:rsid w:val="00DD521E"/>
    <w:rsid w:val="00DD5B66"/>
    <w:rsid w:val="00DD700A"/>
    <w:rsid w:val="00DD7161"/>
    <w:rsid w:val="00DD718B"/>
    <w:rsid w:val="00DDA745"/>
    <w:rsid w:val="00DE076B"/>
    <w:rsid w:val="00DE0A28"/>
    <w:rsid w:val="00DE161C"/>
    <w:rsid w:val="00DE2505"/>
    <w:rsid w:val="00DE2952"/>
    <w:rsid w:val="00DE2A42"/>
    <w:rsid w:val="00DE3AE7"/>
    <w:rsid w:val="00DE3D42"/>
    <w:rsid w:val="00DE43EA"/>
    <w:rsid w:val="00DE4E3F"/>
    <w:rsid w:val="00DE4E99"/>
    <w:rsid w:val="00DE4F0D"/>
    <w:rsid w:val="00DE5177"/>
    <w:rsid w:val="00DE663E"/>
    <w:rsid w:val="00DE70BD"/>
    <w:rsid w:val="00DE7943"/>
    <w:rsid w:val="00DE7BB6"/>
    <w:rsid w:val="00DF01B3"/>
    <w:rsid w:val="00DF12D3"/>
    <w:rsid w:val="00DF20E7"/>
    <w:rsid w:val="00DF2DB1"/>
    <w:rsid w:val="00DF31E7"/>
    <w:rsid w:val="00DF3226"/>
    <w:rsid w:val="00DF3DF5"/>
    <w:rsid w:val="00DF4292"/>
    <w:rsid w:val="00DF465C"/>
    <w:rsid w:val="00DF4A21"/>
    <w:rsid w:val="00DF65D7"/>
    <w:rsid w:val="00DF6B23"/>
    <w:rsid w:val="00E00088"/>
    <w:rsid w:val="00E007DB"/>
    <w:rsid w:val="00E017AA"/>
    <w:rsid w:val="00E01AEA"/>
    <w:rsid w:val="00E0208F"/>
    <w:rsid w:val="00E020B5"/>
    <w:rsid w:val="00E021A0"/>
    <w:rsid w:val="00E026E4"/>
    <w:rsid w:val="00E027FF"/>
    <w:rsid w:val="00E03226"/>
    <w:rsid w:val="00E035E8"/>
    <w:rsid w:val="00E03702"/>
    <w:rsid w:val="00E038B7"/>
    <w:rsid w:val="00E03969"/>
    <w:rsid w:val="00E03CA9"/>
    <w:rsid w:val="00E03FFE"/>
    <w:rsid w:val="00E041F4"/>
    <w:rsid w:val="00E0474D"/>
    <w:rsid w:val="00E04BE0"/>
    <w:rsid w:val="00E04E34"/>
    <w:rsid w:val="00E04F35"/>
    <w:rsid w:val="00E05295"/>
    <w:rsid w:val="00E055D3"/>
    <w:rsid w:val="00E05E90"/>
    <w:rsid w:val="00E0669E"/>
    <w:rsid w:val="00E07E6C"/>
    <w:rsid w:val="00E107B2"/>
    <w:rsid w:val="00E10F23"/>
    <w:rsid w:val="00E12141"/>
    <w:rsid w:val="00E12EF2"/>
    <w:rsid w:val="00E1446B"/>
    <w:rsid w:val="00E14B8B"/>
    <w:rsid w:val="00E1564E"/>
    <w:rsid w:val="00E16598"/>
    <w:rsid w:val="00E16AB7"/>
    <w:rsid w:val="00E172BA"/>
    <w:rsid w:val="00E179EA"/>
    <w:rsid w:val="00E17E5A"/>
    <w:rsid w:val="00E20146"/>
    <w:rsid w:val="00E20217"/>
    <w:rsid w:val="00E20A62"/>
    <w:rsid w:val="00E20F25"/>
    <w:rsid w:val="00E211C3"/>
    <w:rsid w:val="00E212A2"/>
    <w:rsid w:val="00E218D6"/>
    <w:rsid w:val="00E219FE"/>
    <w:rsid w:val="00E22162"/>
    <w:rsid w:val="00E222EA"/>
    <w:rsid w:val="00E225E4"/>
    <w:rsid w:val="00E22A41"/>
    <w:rsid w:val="00E2335D"/>
    <w:rsid w:val="00E23587"/>
    <w:rsid w:val="00E243F1"/>
    <w:rsid w:val="00E2647D"/>
    <w:rsid w:val="00E2668B"/>
    <w:rsid w:val="00E26BBF"/>
    <w:rsid w:val="00E276BA"/>
    <w:rsid w:val="00E27720"/>
    <w:rsid w:val="00E27F9E"/>
    <w:rsid w:val="00E3038A"/>
    <w:rsid w:val="00E306FA"/>
    <w:rsid w:val="00E30B1A"/>
    <w:rsid w:val="00E31642"/>
    <w:rsid w:val="00E3196C"/>
    <w:rsid w:val="00E32081"/>
    <w:rsid w:val="00E33E42"/>
    <w:rsid w:val="00E34A2E"/>
    <w:rsid w:val="00E34A52"/>
    <w:rsid w:val="00E36844"/>
    <w:rsid w:val="00E37F16"/>
    <w:rsid w:val="00E3C57B"/>
    <w:rsid w:val="00E40419"/>
    <w:rsid w:val="00E40DF8"/>
    <w:rsid w:val="00E421C7"/>
    <w:rsid w:val="00E42327"/>
    <w:rsid w:val="00E428BC"/>
    <w:rsid w:val="00E42BBF"/>
    <w:rsid w:val="00E43383"/>
    <w:rsid w:val="00E43AF4"/>
    <w:rsid w:val="00E43B14"/>
    <w:rsid w:val="00E44FF9"/>
    <w:rsid w:val="00E460AD"/>
    <w:rsid w:val="00E46303"/>
    <w:rsid w:val="00E508B4"/>
    <w:rsid w:val="00E5183D"/>
    <w:rsid w:val="00E51D94"/>
    <w:rsid w:val="00E51FB3"/>
    <w:rsid w:val="00E543BD"/>
    <w:rsid w:val="00E567C9"/>
    <w:rsid w:val="00E56816"/>
    <w:rsid w:val="00E56823"/>
    <w:rsid w:val="00E56BB9"/>
    <w:rsid w:val="00E56BFC"/>
    <w:rsid w:val="00E57269"/>
    <w:rsid w:val="00E573B5"/>
    <w:rsid w:val="00E57757"/>
    <w:rsid w:val="00E577C6"/>
    <w:rsid w:val="00E60A66"/>
    <w:rsid w:val="00E627BC"/>
    <w:rsid w:val="00E6299B"/>
    <w:rsid w:val="00E636BD"/>
    <w:rsid w:val="00E63764"/>
    <w:rsid w:val="00E64A0C"/>
    <w:rsid w:val="00E653C4"/>
    <w:rsid w:val="00E65775"/>
    <w:rsid w:val="00E65856"/>
    <w:rsid w:val="00E66085"/>
    <w:rsid w:val="00E66402"/>
    <w:rsid w:val="00E66607"/>
    <w:rsid w:val="00E66C78"/>
    <w:rsid w:val="00E67254"/>
    <w:rsid w:val="00E67656"/>
    <w:rsid w:val="00E70300"/>
    <w:rsid w:val="00E70914"/>
    <w:rsid w:val="00E718D4"/>
    <w:rsid w:val="00E71A22"/>
    <w:rsid w:val="00E72877"/>
    <w:rsid w:val="00E72CE2"/>
    <w:rsid w:val="00E732A5"/>
    <w:rsid w:val="00E73326"/>
    <w:rsid w:val="00E73655"/>
    <w:rsid w:val="00E749D1"/>
    <w:rsid w:val="00E74C2E"/>
    <w:rsid w:val="00E750F4"/>
    <w:rsid w:val="00E751C5"/>
    <w:rsid w:val="00E75655"/>
    <w:rsid w:val="00E7649D"/>
    <w:rsid w:val="00E76994"/>
    <w:rsid w:val="00E76A7D"/>
    <w:rsid w:val="00E779CC"/>
    <w:rsid w:val="00E77F51"/>
    <w:rsid w:val="00E80313"/>
    <w:rsid w:val="00E804B4"/>
    <w:rsid w:val="00E808B3"/>
    <w:rsid w:val="00E80C0A"/>
    <w:rsid w:val="00E81608"/>
    <w:rsid w:val="00E81AF5"/>
    <w:rsid w:val="00E81BB5"/>
    <w:rsid w:val="00E82B64"/>
    <w:rsid w:val="00E83412"/>
    <w:rsid w:val="00E8347A"/>
    <w:rsid w:val="00E8378B"/>
    <w:rsid w:val="00E84038"/>
    <w:rsid w:val="00E84CF1"/>
    <w:rsid w:val="00E85786"/>
    <w:rsid w:val="00E85E32"/>
    <w:rsid w:val="00E8761B"/>
    <w:rsid w:val="00E8787B"/>
    <w:rsid w:val="00E87CE1"/>
    <w:rsid w:val="00E87F57"/>
    <w:rsid w:val="00E90C8E"/>
    <w:rsid w:val="00E910B3"/>
    <w:rsid w:val="00E912E2"/>
    <w:rsid w:val="00E9149F"/>
    <w:rsid w:val="00E91656"/>
    <w:rsid w:val="00E91EB7"/>
    <w:rsid w:val="00E92BBF"/>
    <w:rsid w:val="00E933CE"/>
    <w:rsid w:val="00E93D2D"/>
    <w:rsid w:val="00E94768"/>
    <w:rsid w:val="00E9482B"/>
    <w:rsid w:val="00E948A0"/>
    <w:rsid w:val="00E94CC3"/>
    <w:rsid w:val="00EA004A"/>
    <w:rsid w:val="00EA0184"/>
    <w:rsid w:val="00EA04B9"/>
    <w:rsid w:val="00EA06E5"/>
    <w:rsid w:val="00EA0D66"/>
    <w:rsid w:val="00EA2B73"/>
    <w:rsid w:val="00EA2E32"/>
    <w:rsid w:val="00EA3F5B"/>
    <w:rsid w:val="00EA48A4"/>
    <w:rsid w:val="00EA4E47"/>
    <w:rsid w:val="00EA5230"/>
    <w:rsid w:val="00EA6061"/>
    <w:rsid w:val="00EA68D4"/>
    <w:rsid w:val="00EA69FF"/>
    <w:rsid w:val="00EA71EC"/>
    <w:rsid w:val="00EB01FE"/>
    <w:rsid w:val="00EB1603"/>
    <w:rsid w:val="00EB1E30"/>
    <w:rsid w:val="00EB2E5A"/>
    <w:rsid w:val="00EB3A2B"/>
    <w:rsid w:val="00EB3ABE"/>
    <w:rsid w:val="00EB4111"/>
    <w:rsid w:val="00EB41FF"/>
    <w:rsid w:val="00EB4F2E"/>
    <w:rsid w:val="00EB5462"/>
    <w:rsid w:val="00EB6047"/>
    <w:rsid w:val="00EB7456"/>
    <w:rsid w:val="00EB76B3"/>
    <w:rsid w:val="00EB7889"/>
    <w:rsid w:val="00EC2666"/>
    <w:rsid w:val="00EC26DF"/>
    <w:rsid w:val="00EC27BF"/>
    <w:rsid w:val="00EC27F3"/>
    <w:rsid w:val="00EC445C"/>
    <w:rsid w:val="00EC4567"/>
    <w:rsid w:val="00EC47A5"/>
    <w:rsid w:val="00EC62A7"/>
    <w:rsid w:val="00EC6E66"/>
    <w:rsid w:val="00EC77F4"/>
    <w:rsid w:val="00EC7969"/>
    <w:rsid w:val="00EC7EA9"/>
    <w:rsid w:val="00ED04F5"/>
    <w:rsid w:val="00ED0D74"/>
    <w:rsid w:val="00ED2C7A"/>
    <w:rsid w:val="00ED31EF"/>
    <w:rsid w:val="00ED41EC"/>
    <w:rsid w:val="00ED468C"/>
    <w:rsid w:val="00ED4801"/>
    <w:rsid w:val="00ED4E68"/>
    <w:rsid w:val="00ED5DE0"/>
    <w:rsid w:val="00ED6B5C"/>
    <w:rsid w:val="00ED7656"/>
    <w:rsid w:val="00ED7C97"/>
    <w:rsid w:val="00ED7F99"/>
    <w:rsid w:val="00EE0024"/>
    <w:rsid w:val="00EE0941"/>
    <w:rsid w:val="00EE1546"/>
    <w:rsid w:val="00EE2340"/>
    <w:rsid w:val="00EE2779"/>
    <w:rsid w:val="00EE34C9"/>
    <w:rsid w:val="00EE3EA0"/>
    <w:rsid w:val="00EE41BB"/>
    <w:rsid w:val="00EE5940"/>
    <w:rsid w:val="00EE5D5A"/>
    <w:rsid w:val="00EE5E64"/>
    <w:rsid w:val="00EE7524"/>
    <w:rsid w:val="00EE76BF"/>
    <w:rsid w:val="00EF00D3"/>
    <w:rsid w:val="00EF0BE7"/>
    <w:rsid w:val="00EF3088"/>
    <w:rsid w:val="00EF3D41"/>
    <w:rsid w:val="00EF439F"/>
    <w:rsid w:val="00EF45CE"/>
    <w:rsid w:val="00EF4874"/>
    <w:rsid w:val="00EF76C7"/>
    <w:rsid w:val="00EF7730"/>
    <w:rsid w:val="00F0071D"/>
    <w:rsid w:val="00F01021"/>
    <w:rsid w:val="00F01478"/>
    <w:rsid w:val="00F01736"/>
    <w:rsid w:val="00F01A4C"/>
    <w:rsid w:val="00F01A62"/>
    <w:rsid w:val="00F0243B"/>
    <w:rsid w:val="00F0269E"/>
    <w:rsid w:val="00F02A70"/>
    <w:rsid w:val="00F03AC1"/>
    <w:rsid w:val="00F04174"/>
    <w:rsid w:val="00F0550B"/>
    <w:rsid w:val="00F05761"/>
    <w:rsid w:val="00F0650E"/>
    <w:rsid w:val="00F07D44"/>
    <w:rsid w:val="00F10591"/>
    <w:rsid w:val="00F10A32"/>
    <w:rsid w:val="00F10CDC"/>
    <w:rsid w:val="00F10EA5"/>
    <w:rsid w:val="00F11804"/>
    <w:rsid w:val="00F11C34"/>
    <w:rsid w:val="00F1213C"/>
    <w:rsid w:val="00F12379"/>
    <w:rsid w:val="00F13262"/>
    <w:rsid w:val="00F14A45"/>
    <w:rsid w:val="00F16B91"/>
    <w:rsid w:val="00F17886"/>
    <w:rsid w:val="00F17A14"/>
    <w:rsid w:val="00F20304"/>
    <w:rsid w:val="00F219D6"/>
    <w:rsid w:val="00F2215D"/>
    <w:rsid w:val="00F22E72"/>
    <w:rsid w:val="00F2420D"/>
    <w:rsid w:val="00F244B4"/>
    <w:rsid w:val="00F27813"/>
    <w:rsid w:val="00F2BBE7"/>
    <w:rsid w:val="00F3056C"/>
    <w:rsid w:val="00F30B50"/>
    <w:rsid w:val="00F30F35"/>
    <w:rsid w:val="00F31341"/>
    <w:rsid w:val="00F317C1"/>
    <w:rsid w:val="00F32657"/>
    <w:rsid w:val="00F328EE"/>
    <w:rsid w:val="00F32D4F"/>
    <w:rsid w:val="00F3393B"/>
    <w:rsid w:val="00F3409D"/>
    <w:rsid w:val="00F35841"/>
    <w:rsid w:val="00F36C71"/>
    <w:rsid w:val="00F36F39"/>
    <w:rsid w:val="00F4007C"/>
    <w:rsid w:val="00F40238"/>
    <w:rsid w:val="00F42901"/>
    <w:rsid w:val="00F42F5B"/>
    <w:rsid w:val="00F43D4F"/>
    <w:rsid w:val="00F44599"/>
    <w:rsid w:val="00F45680"/>
    <w:rsid w:val="00F45F1E"/>
    <w:rsid w:val="00F46565"/>
    <w:rsid w:val="00F46EE1"/>
    <w:rsid w:val="00F4733D"/>
    <w:rsid w:val="00F47A69"/>
    <w:rsid w:val="00F50331"/>
    <w:rsid w:val="00F50615"/>
    <w:rsid w:val="00F508FD"/>
    <w:rsid w:val="00F50A58"/>
    <w:rsid w:val="00F50E30"/>
    <w:rsid w:val="00F520AF"/>
    <w:rsid w:val="00F52643"/>
    <w:rsid w:val="00F52A9F"/>
    <w:rsid w:val="00F535A5"/>
    <w:rsid w:val="00F539A1"/>
    <w:rsid w:val="00F546DE"/>
    <w:rsid w:val="00F54BF7"/>
    <w:rsid w:val="00F55544"/>
    <w:rsid w:val="00F55CF2"/>
    <w:rsid w:val="00F565E1"/>
    <w:rsid w:val="00F567E0"/>
    <w:rsid w:val="00F57DBD"/>
    <w:rsid w:val="00F6115C"/>
    <w:rsid w:val="00F61398"/>
    <w:rsid w:val="00F61435"/>
    <w:rsid w:val="00F6156F"/>
    <w:rsid w:val="00F62FDB"/>
    <w:rsid w:val="00F63715"/>
    <w:rsid w:val="00F646FC"/>
    <w:rsid w:val="00F65045"/>
    <w:rsid w:val="00F654BF"/>
    <w:rsid w:val="00F6573D"/>
    <w:rsid w:val="00F65B9C"/>
    <w:rsid w:val="00F65F4C"/>
    <w:rsid w:val="00F677DE"/>
    <w:rsid w:val="00F70BF3"/>
    <w:rsid w:val="00F715CF"/>
    <w:rsid w:val="00F71F79"/>
    <w:rsid w:val="00F73FF7"/>
    <w:rsid w:val="00F74723"/>
    <w:rsid w:val="00F7553D"/>
    <w:rsid w:val="00F75746"/>
    <w:rsid w:val="00F76A23"/>
    <w:rsid w:val="00F77D1D"/>
    <w:rsid w:val="00F802B6"/>
    <w:rsid w:val="00F8035B"/>
    <w:rsid w:val="00F80D1B"/>
    <w:rsid w:val="00F810A8"/>
    <w:rsid w:val="00F82666"/>
    <w:rsid w:val="00F827BC"/>
    <w:rsid w:val="00F82AD2"/>
    <w:rsid w:val="00F82FA6"/>
    <w:rsid w:val="00F83346"/>
    <w:rsid w:val="00F836BF"/>
    <w:rsid w:val="00F836E5"/>
    <w:rsid w:val="00F84819"/>
    <w:rsid w:val="00F84CFC"/>
    <w:rsid w:val="00F84D9A"/>
    <w:rsid w:val="00F87214"/>
    <w:rsid w:val="00F878E2"/>
    <w:rsid w:val="00F9057E"/>
    <w:rsid w:val="00F90831"/>
    <w:rsid w:val="00F917C9"/>
    <w:rsid w:val="00F91882"/>
    <w:rsid w:val="00F9248D"/>
    <w:rsid w:val="00F928E2"/>
    <w:rsid w:val="00F9297D"/>
    <w:rsid w:val="00F932D9"/>
    <w:rsid w:val="00F934C8"/>
    <w:rsid w:val="00F94570"/>
    <w:rsid w:val="00F94635"/>
    <w:rsid w:val="00F94718"/>
    <w:rsid w:val="00F953AF"/>
    <w:rsid w:val="00F95ACD"/>
    <w:rsid w:val="00F96159"/>
    <w:rsid w:val="00F9762F"/>
    <w:rsid w:val="00F97746"/>
    <w:rsid w:val="00F97C2B"/>
    <w:rsid w:val="00FA0262"/>
    <w:rsid w:val="00FA02FD"/>
    <w:rsid w:val="00FA0AAC"/>
    <w:rsid w:val="00FA0E70"/>
    <w:rsid w:val="00FA11A5"/>
    <w:rsid w:val="00FA1888"/>
    <w:rsid w:val="00FA23C9"/>
    <w:rsid w:val="00FA30E2"/>
    <w:rsid w:val="00FA3C8E"/>
    <w:rsid w:val="00FA4770"/>
    <w:rsid w:val="00FA5651"/>
    <w:rsid w:val="00FA5746"/>
    <w:rsid w:val="00FA6A75"/>
    <w:rsid w:val="00FA76C2"/>
    <w:rsid w:val="00FA778E"/>
    <w:rsid w:val="00FA7A58"/>
    <w:rsid w:val="00FB02AA"/>
    <w:rsid w:val="00FB0579"/>
    <w:rsid w:val="00FB0A3D"/>
    <w:rsid w:val="00FB2157"/>
    <w:rsid w:val="00FB2973"/>
    <w:rsid w:val="00FB2F9A"/>
    <w:rsid w:val="00FB35FA"/>
    <w:rsid w:val="00FB47EA"/>
    <w:rsid w:val="00FB55D2"/>
    <w:rsid w:val="00FB67F4"/>
    <w:rsid w:val="00FB68C2"/>
    <w:rsid w:val="00FB6AF3"/>
    <w:rsid w:val="00FC028D"/>
    <w:rsid w:val="00FC031D"/>
    <w:rsid w:val="00FC0343"/>
    <w:rsid w:val="00FC0479"/>
    <w:rsid w:val="00FC0D1A"/>
    <w:rsid w:val="00FC1061"/>
    <w:rsid w:val="00FC129D"/>
    <w:rsid w:val="00FC1872"/>
    <w:rsid w:val="00FC2124"/>
    <w:rsid w:val="00FC23C8"/>
    <w:rsid w:val="00FC2A48"/>
    <w:rsid w:val="00FC3D23"/>
    <w:rsid w:val="00FC52FF"/>
    <w:rsid w:val="00FC62A0"/>
    <w:rsid w:val="00FC6597"/>
    <w:rsid w:val="00FC66C7"/>
    <w:rsid w:val="00FC679D"/>
    <w:rsid w:val="00FC68D1"/>
    <w:rsid w:val="00FD042C"/>
    <w:rsid w:val="00FD2231"/>
    <w:rsid w:val="00FE0644"/>
    <w:rsid w:val="00FE0B49"/>
    <w:rsid w:val="00FE14B7"/>
    <w:rsid w:val="00FE3754"/>
    <w:rsid w:val="00FE3B0A"/>
    <w:rsid w:val="00FE420D"/>
    <w:rsid w:val="00FE4308"/>
    <w:rsid w:val="00FE44AF"/>
    <w:rsid w:val="00FE6E43"/>
    <w:rsid w:val="00FF2024"/>
    <w:rsid w:val="00FF229D"/>
    <w:rsid w:val="00FF2306"/>
    <w:rsid w:val="00FF4302"/>
    <w:rsid w:val="00FF6AFE"/>
    <w:rsid w:val="00FF724D"/>
    <w:rsid w:val="00FF751E"/>
    <w:rsid w:val="00FF79FF"/>
    <w:rsid w:val="00FF7D30"/>
    <w:rsid w:val="0113091B"/>
    <w:rsid w:val="011A09D0"/>
    <w:rsid w:val="01217FA6"/>
    <w:rsid w:val="0121FA69"/>
    <w:rsid w:val="012CDC6C"/>
    <w:rsid w:val="016C9091"/>
    <w:rsid w:val="01705C62"/>
    <w:rsid w:val="0181AE51"/>
    <w:rsid w:val="019879B4"/>
    <w:rsid w:val="01ACA8EB"/>
    <w:rsid w:val="01B9BFF0"/>
    <w:rsid w:val="01B9CF13"/>
    <w:rsid w:val="01C0D34A"/>
    <w:rsid w:val="0239D80B"/>
    <w:rsid w:val="023BB2A5"/>
    <w:rsid w:val="02594927"/>
    <w:rsid w:val="0279DCDE"/>
    <w:rsid w:val="0298C459"/>
    <w:rsid w:val="02DD354C"/>
    <w:rsid w:val="02F113B0"/>
    <w:rsid w:val="02F9C795"/>
    <w:rsid w:val="032A03E7"/>
    <w:rsid w:val="033107A9"/>
    <w:rsid w:val="03323721"/>
    <w:rsid w:val="034AE75E"/>
    <w:rsid w:val="034E1514"/>
    <w:rsid w:val="0378434B"/>
    <w:rsid w:val="037A9F15"/>
    <w:rsid w:val="037AC7D3"/>
    <w:rsid w:val="038554E5"/>
    <w:rsid w:val="0393A5F7"/>
    <w:rsid w:val="03CF6C41"/>
    <w:rsid w:val="03D0CDAC"/>
    <w:rsid w:val="04023BC6"/>
    <w:rsid w:val="040F0695"/>
    <w:rsid w:val="0420932C"/>
    <w:rsid w:val="04284E12"/>
    <w:rsid w:val="042B7F39"/>
    <w:rsid w:val="043332E8"/>
    <w:rsid w:val="0458C623"/>
    <w:rsid w:val="04603E09"/>
    <w:rsid w:val="04734828"/>
    <w:rsid w:val="04C036A8"/>
    <w:rsid w:val="04C8AD65"/>
    <w:rsid w:val="04D21755"/>
    <w:rsid w:val="04ECE37A"/>
    <w:rsid w:val="0503F667"/>
    <w:rsid w:val="051E3A0F"/>
    <w:rsid w:val="051E855A"/>
    <w:rsid w:val="052D8E41"/>
    <w:rsid w:val="05C60519"/>
    <w:rsid w:val="05C7EB29"/>
    <w:rsid w:val="05C91E37"/>
    <w:rsid w:val="05DFB512"/>
    <w:rsid w:val="05FB06B0"/>
    <w:rsid w:val="0610D8E0"/>
    <w:rsid w:val="0623080F"/>
    <w:rsid w:val="0624FA15"/>
    <w:rsid w:val="0631A596"/>
    <w:rsid w:val="0633A73B"/>
    <w:rsid w:val="06488FBD"/>
    <w:rsid w:val="0658CAE2"/>
    <w:rsid w:val="06A64DC7"/>
    <w:rsid w:val="06BBC497"/>
    <w:rsid w:val="06E242F8"/>
    <w:rsid w:val="06E7DAB8"/>
    <w:rsid w:val="06F86708"/>
    <w:rsid w:val="06F961B8"/>
    <w:rsid w:val="070E729D"/>
    <w:rsid w:val="0710BC54"/>
    <w:rsid w:val="073B1240"/>
    <w:rsid w:val="073F99A4"/>
    <w:rsid w:val="074B5CC1"/>
    <w:rsid w:val="074C0746"/>
    <w:rsid w:val="0750A7B3"/>
    <w:rsid w:val="075D838F"/>
    <w:rsid w:val="07B3379D"/>
    <w:rsid w:val="07C19AA8"/>
    <w:rsid w:val="080BD33A"/>
    <w:rsid w:val="08355D8B"/>
    <w:rsid w:val="083B1736"/>
    <w:rsid w:val="089514D4"/>
    <w:rsid w:val="089693D0"/>
    <w:rsid w:val="08C33DB3"/>
    <w:rsid w:val="08CCCEA3"/>
    <w:rsid w:val="08CF84AB"/>
    <w:rsid w:val="08D4BF03"/>
    <w:rsid w:val="08D5E149"/>
    <w:rsid w:val="08EEAD1A"/>
    <w:rsid w:val="09263801"/>
    <w:rsid w:val="09366BBC"/>
    <w:rsid w:val="09497A68"/>
    <w:rsid w:val="095459AE"/>
    <w:rsid w:val="0955792F"/>
    <w:rsid w:val="09637815"/>
    <w:rsid w:val="0964F33C"/>
    <w:rsid w:val="0970F874"/>
    <w:rsid w:val="0975C0E1"/>
    <w:rsid w:val="0980DB90"/>
    <w:rsid w:val="098175EC"/>
    <w:rsid w:val="09D996AE"/>
    <w:rsid w:val="09E22763"/>
    <w:rsid w:val="09FB152F"/>
    <w:rsid w:val="09FE950E"/>
    <w:rsid w:val="0A19ED78"/>
    <w:rsid w:val="0A23020D"/>
    <w:rsid w:val="0A24B6F3"/>
    <w:rsid w:val="0A30D684"/>
    <w:rsid w:val="0A337D1A"/>
    <w:rsid w:val="0A50F6D7"/>
    <w:rsid w:val="0A56AB73"/>
    <w:rsid w:val="0A5E2CAD"/>
    <w:rsid w:val="0A6BC1ED"/>
    <w:rsid w:val="0A761867"/>
    <w:rsid w:val="0A8A25F3"/>
    <w:rsid w:val="0A8A6DF9"/>
    <w:rsid w:val="0A9E1D52"/>
    <w:rsid w:val="0AA0C304"/>
    <w:rsid w:val="0AA26C43"/>
    <w:rsid w:val="0AB0B8DC"/>
    <w:rsid w:val="0AB6A9CD"/>
    <w:rsid w:val="0AC6167A"/>
    <w:rsid w:val="0AC7BB31"/>
    <w:rsid w:val="0ACAC0C0"/>
    <w:rsid w:val="0AED3B90"/>
    <w:rsid w:val="0AFADD7D"/>
    <w:rsid w:val="0B12A070"/>
    <w:rsid w:val="0B1896FD"/>
    <w:rsid w:val="0B40D7FA"/>
    <w:rsid w:val="0B512879"/>
    <w:rsid w:val="0B59DEA1"/>
    <w:rsid w:val="0B5D1C81"/>
    <w:rsid w:val="0B5F9F8F"/>
    <w:rsid w:val="0BEEBF76"/>
    <w:rsid w:val="0BF94229"/>
    <w:rsid w:val="0BFC14A8"/>
    <w:rsid w:val="0C2C5E50"/>
    <w:rsid w:val="0C5A17EC"/>
    <w:rsid w:val="0C5FCDD1"/>
    <w:rsid w:val="0CB3FBE5"/>
    <w:rsid w:val="0CE5B780"/>
    <w:rsid w:val="0D4D66D1"/>
    <w:rsid w:val="0D5629E8"/>
    <w:rsid w:val="0D6DBA34"/>
    <w:rsid w:val="0D6F9790"/>
    <w:rsid w:val="0D8427E3"/>
    <w:rsid w:val="0DAE05AD"/>
    <w:rsid w:val="0DCF026E"/>
    <w:rsid w:val="0DD269F9"/>
    <w:rsid w:val="0E21626E"/>
    <w:rsid w:val="0E23C779"/>
    <w:rsid w:val="0E3AAD35"/>
    <w:rsid w:val="0E4AD4B9"/>
    <w:rsid w:val="0E5C6B0C"/>
    <w:rsid w:val="0E62D501"/>
    <w:rsid w:val="0E83436E"/>
    <w:rsid w:val="0EC3E2AA"/>
    <w:rsid w:val="0ED27085"/>
    <w:rsid w:val="0EE65FE2"/>
    <w:rsid w:val="0EE7084D"/>
    <w:rsid w:val="0F068DD6"/>
    <w:rsid w:val="0F1ABD74"/>
    <w:rsid w:val="0F337FB5"/>
    <w:rsid w:val="0F5D68ED"/>
    <w:rsid w:val="0F70D3C8"/>
    <w:rsid w:val="0F9E5D7E"/>
    <w:rsid w:val="0FA00236"/>
    <w:rsid w:val="0FB715D6"/>
    <w:rsid w:val="0FE7669B"/>
    <w:rsid w:val="0FFCA63A"/>
    <w:rsid w:val="1013F8A6"/>
    <w:rsid w:val="1022407F"/>
    <w:rsid w:val="1099C4D0"/>
    <w:rsid w:val="10A068D0"/>
    <w:rsid w:val="10AC4D93"/>
    <w:rsid w:val="10B0443F"/>
    <w:rsid w:val="10C16444"/>
    <w:rsid w:val="10D357DD"/>
    <w:rsid w:val="10DDE46F"/>
    <w:rsid w:val="10F555F7"/>
    <w:rsid w:val="11453C3F"/>
    <w:rsid w:val="117F38C5"/>
    <w:rsid w:val="11A3E772"/>
    <w:rsid w:val="11B47112"/>
    <w:rsid w:val="11D566C5"/>
    <w:rsid w:val="11EA9FE1"/>
    <w:rsid w:val="1204C556"/>
    <w:rsid w:val="12111BEB"/>
    <w:rsid w:val="121B7AF4"/>
    <w:rsid w:val="122F6FE1"/>
    <w:rsid w:val="1244C311"/>
    <w:rsid w:val="12682292"/>
    <w:rsid w:val="1283E53C"/>
    <w:rsid w:val="12BCC8FB"/>
    <w:rsid w:val="12D4D8BE"/>
    <w:rsid w:val="12EBE35D"/>
    <w:rsid w:val="13283093"/>
    <w:rsid w:val="134215E6"/>
    <w:rsid w:val="136104B8"/>
    <w:rsid w:val="138A4DAD"/>
    <w:rsid w:val="13A3086A"/>
    <w:rsid w:val="13A9F11F"/>
    <w:rsid w:val="13B75301"/>
    <w:rsid w:val="13B8768D"/>
    <w:rsid w:val="13CDD56C"/>
    <w:rsid w:val="13E3EED8"/>
    <w:rsid w:val="13FAB71E"/>
    <w:rsid w:val="13FD5151"/>
    <w:rsid w:val="1426B154"/>
    <w:rsid w:val="1433F056"/>
    <w:rsid w:val="144F6CFC"/>
    <w:rsid w:val="146A3FE7"/>
    <w:rsid w:val="147EB3C0"/>
    <w:rsid w:val="14B3617B"/>
    <w:rsid w:val="14F2B93F"/>
    <w:rsid w:val="150A35FE"/>
    <w:rsid w:val="1511CFBC"/>
    <w:rsid w:val="151D21F7"/>
    <w:rsid w:val="1539E4F3"/>
    <w:rsid w:val="153DC89B"/>
    <w:rsid w:val="154B5912"/>
    <w:rsid w:val="154FB769"/>
    <w:rsid w:val="1565BC4E"/>
    <w:rsid w:val="15B4E6D0"/>
    <w:rsid w:val="15BDEB23"/>
    <w:rsid w:val="15D808FC"/>
    <w:rsid w:val="15E720C6"/>
    <w:rsid w:val="163A527B"/>
    <w:rsid w:val="16B2E573"/>
    <w:rsid w:val="16F04875"/>
    <w:rsid w:val="16FED6F0"/>
    <w:rsid w:val="1719A16C"/>
    <w:rsid w:val="1727C550"/>
    <w:rsid w:val="175AB44B"/>
    <w:rsid w:val="17691522"/>
    <w:rsid w:val="176A22FB"/>
    <w:rsid w:val="1782B82C"/>
    <w:rsid w:val="178F93E1"/>
    <w:rsid w:val="179B87A2"/>
    <w:rsid w:val="17C7AFCD"/>
    <w:rsid w:val="17CF3216"/>
    <w:rsid w:val="17D71754"/>
    <w:rsid w:val="1802135D"/>
    <w:rsid w:val="181AC738"/>
    <w:rsid w:val="181DCBF5"/>
    <w:rsid w:val="18233690"/>
    <w:rsid w:val="1823B5A1"/>
    <w:rsid w:val="187222AF"/>
    <w:rsid w:val="18B7FF6B"/>
    <w:rsid w:val="18EB6191"/>
    <w:rsid w:val="190D0181"/>
    <w:rsid w:val="1968018D"/>
    <w:rsid w:val="196FD494"/>
    <w:rsid w:val="1970CE70"/>
    <w:rsid w:val="19B1F7EE"/>
    <w:rsid w:val="19B33177"/>
    <w:rsid w:val="19BACA29"/>
    <w:rsid w:val="19C51E93"/>
    <w:rsid w:val="19DF7D89"/>
    <w:rsid w:val="19F0ED0B"/>
    <w:rsid w:val="1A2512E5"/>
    <w:rsid w:val="1A46EA42"/>
    <w:rsid w:val="1A53CFCC"/>
    <w:rsid w:val="1A6D0F0A"/>
    <w:rsid w:val="1A80A83B"/>
    <w:rsid w:val="1A875255"/>
    <w:rsid w:val="1A8ABCA8"/>
    <w:rsid w:val="1AA8FE8A"/>
    <w:rsid w:val="1AC987A7"/>
    <w:rsid w:val="1AD41EF9"/>
    <w:rsid w:val="1AFB8462"/>
    <w:rsid w:val="1B089234"/>
    <w:rsid w:val="1B2ABCB4"/>
    <w:rsid w:val="1B719487"/>
    <w:rsid w:val="1B82AC9B"/>
    <w:rsid w:val="1B906119"/>
    <w:rsid w:val="1B906967"/>
    <w:rsid w:val="1B9CF0FB"/>
    <w:rsid w:val="1BAA4681"/>
    <w:rsid w:val="1BADDC71"/>
    <w:rsid w:val="1BD9C395"/>
    <w:rsid w:val="1C0E9941"/>
    <w:rsid w:val="1C14ECB1"/>
    <w:rsid w:val="1C310120"/>
    <w:rsid w:val="1C65369E"/>
    <w:rsid w:val="1C8CA261"/>
    <w:rsid w:val="1CCB07CE"/>
    <w:rsid w:val="1CD15960"/>
    <w:rsid w:val="1CF11037"/>
    <w:rsid w:val="1CF735E0"/>
    <w:rsid w:val="1D07E6E7"/>
    <w:rsid w:val="1D183087"/>
    <w:rsid w:val="1D452FB9"/>
    <w:rsid w:val="1D7B3259"/>
    <w:rsid w:val="1D840FB1"/>
    <w:rsid w:val="1DA0AD34"/>
    <w:rsid w:val="1DBA17D2"/>
    <w:rsid w:val="1DBB1318"/>
    <w:rsid w:val="1DC74B07"/>
    <w:rsid w:val="1DEBB411"/>
    <w:rsid w:val="1DF06CBF"/>
    <w:rsid w:val="1DF68AA6"/>
    <w:rsid w:val="1E1BBE74"/>
    <w:rsid w:val="1E26AC81"/>
    <w:rsid w:val="1E36FD29"/>
    <w:rsid w:val="1E3A0411"/>
    <w:rsid w:val="1E54D4AF"/>
    <w:rsid w:val="1E8CDB02"/>
    <w:rsid w:val="1EA4DCBA"/>
    <w:rsid w:val="1EB84062"/>
    <w:rsid w:val="1EBD3C5D"/>
    <w:rsid w:val="1ECE1B7E"/>
    <w:rsid w:val="1F0351A1"/>
    <w:rsid w:val="1F5754CD"/>
    <w:rsid w:val="1F5C1BE9"/>
    <w:rsid w:val="1F6AAB08"/>
    <w:rsid w:val="1F9EF8B8"/>
    <w:rsid w:val="1FABF492"/>
    <w:rsid w:val="1FCA2C2A"/>
    <w:rsid w:val="1FEFF3D6"/>
    <w:rsid w:val="200C7701"/>
    <w:rsid w:val="206FB55E"/>
    <w:rsid w:val="207A7FE5"/>
    <w:rsid w:val="2089BF3B"/>
    <w:rsid w:val="20B601E9"/>
    <w:rsid w:val="20B9209B"/>
    <w:rsid w:val="20B9CD7F"/>
    <w:rsid w:val="20EB7F81"/>
    <w:rsid w:val="21201094"/>
    <w:rsid w:val="2139F2DF"/>
    <w:rsid w:val="213A3FB8"/>
    <w:rsid w:val="21709470"/>
    <w:rsid w:val="2175A2C2"/>
    <w:rsid w:val="2178C5C6"/>
    <w:rsid w:val="217C0277"/>
    <w:rsid w:val="21806F60"/>
    <w:rsid w:val="218744EB"/>
    <w:rsid w:val="218F0AE9"/>
    <w:rsid w:val="218FA408"/>
    <w:rsid w:val="21B96EBB"/>
    <w:rsid w:val="21C4476E"/>
    <w:rsid w:val="22127219"/>
    <w:rsid w:val="221725F9"/>
    <w:rsid w:val="2225619D"/>
    <w:rsid w:val="223810A3"/>
    <w:rsid w:val="2288116D"/>
    <w:rsid w:val="22A564CC"/>
    <w:rsid w:val="22AD397D"/>
    <w:rsid w:val="22B8C7CE"/>
    <w:rsid w:val="22F52133"/>
    <w:rsid w:val="230CA36D"/>
    <w:rsid w:val="231C979D"/>
    <w:rsid w:val="231D0A06"/>
    <w:rsid w:val="235BF870"/>
    <w:rsid w:val="2361AE05"/>
    <w:rsid w:val="2371A09F"/>
    <w:rsid w:val="238BFCF0"/>
    <w:rsid w:val="23986F49"/>
    <w:rsid w:val="23DE70D1"/>
    <w:rsid w:val="23F0506C"/>
    <w:rsid w:val="243B91E1"/>
    <w:rsid w:val="245435E5"/>
    <w:rsid w:val="24712813"/>
    <w:rsid w:val="248E9578"/>
    <w:rsid w:val="24AF9BFF"/>
    <w:rsid w:val="24C3C20E"/>
    <w:rsid w:val="250BE51A"/>
    <w:rsid w:val="255F6547"/>
    <w:rsid w:val="2567DBAC"/>
    <w:rsid w:val="2571E2E8"/>
    <w:rsid w:val="257B377E"/>
    <w:rsid w:val="25C7A544"/>
    <w:rsid w:val="25DFF28D"/>
    <w:rsid w:val="25E85E9E"/>
    <w:rsid w:val="25EAFECB"/>
    <w:rsid w:val="25ED55BD"/>
    <w:rsid w:val="25FC626E"/>
    <w:rsid w:val="260C7486"/>
    <w:rsid w:val="262DFDAA"/>
    <w:rsid w:val="263046D5"/>
    <w:rsid w:val="264239D5"/>
    <w:rsid w:val="26449F80"/>
    <w:rsid w:val="264E6BF4"/>
    <w:rsid w:val="2660AB6E"/>
    <w:rsid w:val="26771BEF"/>
    <w:rsid w:val="2684FDC1"/>
    <w:rsid w:val="2694CCD8"/>
    <w:rsid w:val="26B99B7B"/>
    <w:rsid w:val="26D4340B"/>
    <w:rsid w:val="26F9467B"/>
    <w:rsid w:val="270A073E"/>
    <w:rsid w:val="2720DA96"/>
    <w:rsid w:val="2753973C"/>
    <w:rsid w:val="276304C9"/>
    <w:rsid w:val="276CA52F"/>
    <w:rsid w:val="27740D27"/>
    <w:rsid w:val="27A4DD92"/>
    <w:rsid w:val="27F36D51"/>
    <w:rsid w:val="28063595"/>
    <w:rsid w:val="2838A253"/>
    <w:rsid w:val="28C1B6F5"/>
    <w:rsid w:val="290334FC"/>
    <w:rsid w:val="291199FC"/>
    <w:rsid w:val="291984B5"/>
    <w:rsid w:val="292C0EE1"/>
    <w:rsid w:val="2951E737"/>
    <w:rsid w:val="2977101C"/>
    <w:rsid w:val="299BC0AF"/>
    <w:rsid w:val="29A80766"/>
    <w:rsid w:val="29AF0854"/>
    <w:rsid w:val="29D46C3E"/>
    <w:rsid w:val="29F12CC6"/>
    <w:rsid w:val="2A060B85"/>
    <w:rsid w:val="2A10B1B0"/>
    <w:rsid w:val="2A618991"/>
    <w:rsid w:val="2A64BFCF"/>
    <w:rsid w:val="2A7F1EE2"/>
    <w:rsid w:val="2A85D1F2"/>
    <w:rsid w:val="2A9F9919"/>
    <w:rsid w:val="2AAD24A0"/>
    <w:rsid w:val="2ABDA66B"/>
    <w:rsid w:val="2ACEB296"/>
    <w:rsid w:val="2ADF40E4"/>
    <w:rsid w:val="2AE78AE0"/>
    <w:rsid w:val="2AEF27EB"/>
    <w:rsid w:val="2B342E6E"/>
    <w:rsid w:val="2B533BA8"/>
    <w:rsid w:val="2B545070"/>
    <w:rsid w:val="2B7CC4CC"/>
    <w:rsid w:val="2B84A582"/>
    <w:rsid w:val="2B8A036D"/>
    <w:rsid w:val="2B8B4E74"/>
    <w:rsid w:val="2B9F600E"/>
    <w:rsid w:val="2BCF22FB"/>
    <w:rsid w:val="2C079EC2"/>
    <w:rsid w:val="2C16D400"/>
    <w:rsid w:val="2C6529FC"/>
    <w:rsid w:val="2C77B9A1"/>
    <w:rsid w:val="2C8945E8"/>
    <w:rsid w:val="2CC0BB97"/>
    <w:rsid w:val="2CD2B5DC"/>
    <w:rsid w:val="2CD5CFF3"/>
    <w:rsid w:val="2CE41011"/>
    <w:rsid w:val="2D139018"/>
    <w:rsid w:val="2D2DED48"/>
    <w:rsid w:val="2D3F83C3"/>
    <w:rsid w:val="2D498CC9"/>
    <w:rsid w:val="2D692F19"/>
    <w:rsid w:val="2D723295"/>
    <w:rsid w:val="2D7AC2DC"/>
    <w:rsid w:val="2DA1D664"/>
    <w:rsid w:val="2DA99D44"/>
    <w:rsid w:val="2DB69D82"/>
    <w:rsid w:val="2DBB4446"/>
    <w:rsid w:val="2DBE3B1F"/>
    <w:rsid w:val="2DDFB6BD"/>
    <w:rsid w:val="2DEB4E7C"/>
    <w:rsid w:val="2E12EF79"/>
    <w:rsid w:val="2E1E9F18"/>
    <w:rsid w:val="2E31F98F"/>
    <w:rsid w:val="2E49F210"/>
    <w:rsid w:val="2E7C91BD"/>
    <w:rsid w:val="2E8B7443"/>
    <w:rsid w:val="2E9130DE"/>
    <w:rsid w:val="2EA118BB"/>
    <w:rsid w:val="2EA4CBE5"/>
    <w:rsid w:val="2EB4C1B9"/>
    <w:rsid w:val="2EB834C1"/>
    <w:rsid w:val="2EF265A1"/>
    <w:rsid w:val="2F296947"/>
    <w:rsid w:val="2F5182DB"/>
    <w:rsid w:val="2F6E37A1"/>
    <w:rsid w:val="2FAB797E"/>
    <w:rsid w:val="2FB01BA9"/>
    <w:rsid w:val="2FC53492"/>
    <w:rsid w:val="2FF315F2"/>
    <w:rsid w:val="302B2797"/>
    <w:rsid w:val="303E3CA8"/>
    <w:rsid w:val="3071A183"/>
    <w:rsid w:val="308F21F1"/>
    <w:rsid w:val="30A2BDCB"/>
    <w:rsid w:val="30A7C395"/>
    <w:rsid w:val="30AA7720"/>
    <w:rsid w:val="30AB94AE"/>
    <w:rsid w:val="30D30B5E"/>
    <w:rsid w:val="30F6ADDE"/>
    <w:rsid w:val="30F7F096"/>
    <w:rsid w:val="313B0F76"/>
    <w:rsid w:val="31449DB0"/>
    <w:rsid w:val="3152E268"/>
    <w:rsid w:val="315EE8CD"/>
    <w:rsid w:val="3164AA8B"/>
    <w:rsid w:val="3169C243"/>
    <w:rsid w:val="319AA753"/>
    <w:rsid w:val="31A0797A"/>
    <w:rsid w:val="31B0FFCD"/>
    <w:rsid w:val="31B85AA1"/>
    <w:rsid w:val="31ECAF6A"/>
    <w:rsid w:val="31F37EFA"/>
    <w:rsid w:val="32192FD7"/>
    <w:rsid w:val="3229C75E"/>
    <w:rsid w:val="325652F1"/>
    <w:rsid w:val="325927D1"/>
    <w:rsid w:val="3259C572"/>
    <w:rsid w:val="3277F49D"/>
    <w:rsid w:val="327B0340"/>
    <w:rsid w:val="3292071F"/>
    <w:rsid w:val="329679AC"/>
    <w:rsid w:val="32A0EC04"/>
    <w:rsid w:val="32BEE2F2"/>
    <w:rsid w:val="330870EE"/>
    <w:rsid w:val="3314E25E"/>
    <w:rsid w:val="33501608"/>
    <w:rsid w:val="33683179"/>
    <w:rsid w:val="337F7C7D"/>
    <w:rsid w:val="3388AD2D"/>
    <w:rsid w:val="33DAF553"/>
    <w:rsid w:val="33FDD8BA"/>
    <w:rsid w:val="340BB3A1"/>
    <w:rsid w:val="341A3C3F"/>
    <w:rsid w:val="342C6DC7"/>
    <w:rsid w:val="34700CAF"/>
    <w:rsid w:val="348DF4B8"/>
    <w:rsid w:val="34A593B6"/>
    <w:rsid w:val="34DB323D"/>
    <w:rsid w:val="34DF24A2"/>
    <w:rsid w:val="3509307E"/>
    <w:rsid w:val="35246515"/>
    <w:rsid w:val="3561C574"/>
    <w:rsid w:val="3597F20D"/>
    <w:rsid w:val="35C9C9C2"/>
    <w:rsid w:val="3612378A"/>
    <w:rsid w:val="368740D3"/>
    <w:rsid w:val="3698E15C"/>
    <w:rsid w:val="36B07839"/>
    <w:rsid w:val="36F88F72"/>
    <w:rsid w:val="36FA150E"/>
    <w:rsid w:val="36FE835A"/>
    <w:rsid w:val="3729BE5D"/>
    <w:rsid w:val="37476646"/>
    <w:rsid w:val="376CD17D"/>
    <w:rsid w:val="377F3BD0"/>
    <w:rsid w:val="37955FD6"/>
    <w:rsid w:val="379F396C"/>
    <w:rsid w:val="37B2F76F"/>
    <w:rsid w:val="37D3E338"/>
    <w:rsid w:val="38077084"/>
    <w:rsid w:val="3821547D"/>
    <w:rsid w:val="3864D598"/>
    <w:rsid w:val="386D0738"/>
    <w:rsid w:val="3888A6D7"/>
    <w:rsid w:val="38A8E452"/>
    <w:rsid w:val="38B17B2F"/>
    <w:rsid w:val="38D12D30"/>
    <w:rsid w:val="38F28BA1"/>
    <w:rsid w:val="38F55471"/>
    <w:rsid w:val="390F0C7D"/>
    <w:rsid w:val="3926A5A8"/>
    <w:rsid w:val="393A6E3A"/>
    <w:rsid w:val="3A0CA67F"/>
    <w:rsid w:val="3A170E96"/>
    <w:rsid w:val="3A26939E"/>
    <w:rsid w:val="3A2B5FB7"/>
    <w:rsid w:val="3A55C4E8"/>
    <w:rsid w:val="3A57E758"/>
    <w:rsid w:val="3A5B54DE"/>
    <w:rsid w:val="3A5BD55B"/>
    <w:rsid w:val="3A81E1B8"/>
    <w:rsid w:val="3A9B8D41"/>
    <w:rsid w:val="3AB6523D"/>
    <w:rsid w:val="3ADB19FE"/>
    <w:rsid w:val="3AE86EAB"/>
    <w:rsid w:val="3AED6868"/>
    <w:rsid w:val="3AFD1107"/>
    <w:rsid w:val="3AFD97AA"/>
    <w:rsid w:val="3B568E4A"/>
    <w:rsid w:val="3B5CABE3"/>
    <w:rsid w:val="3B6F7CC8"/>
    <w:rsid w:val="3B724CFF"/>
    <w:rsid w:val="3B80068E"/>
    <w:rsid w:val="3B832027"/>
    <w:rsid w:val="3B929550"/>
    <w:rsid w:val="3B9A4E12"/>
    <w:rsid w:val="3BC57A38"/>
    <w:rsid w:val="3BE77920"/>
    <w:rsid w:val="3BFA88A1"/>
    <w:rsid w:val="3C0AACEA"/>
    <w:rsid w:val="3C1F7F7F"/>
    <w:rsid w:val="3C26A3C6"/>
    <w:rsid w:val="3C507DB4"/>
    <w:rsid w:val="3C7187F0"/>
    <w:rsid w:val="3C97388C"/>
    <w:rsid w:val="3C9778B7"/>
    <w:rsid w:val="3CA45A9D"/>
    <w:rsid w:val="3CBCD122"/>
    <w:rsid w:val="3CC2C5A7"/>
    <w:rsid w:val="3CD2A252"/>
    <w:rsid w:val="3CD5C36B"/>
    <w:rsid w:val="3CDAF47F"/>
    <w:rsid w:val="3D05508F"/>
    <w:rsid w:val="3D1B0FCC"/>
    <w:rsid w:val="3D2C8DB5"/>
    <w:rsid w:val="3D674A7A"/>
    <w:rsid w:val="3DC1CF77"/>
    <w:rsid w:val="3DE7EB9C"/>
    <w:rsid w:val="3E019C92"/>
    <w:rsid w:val="3E0E40C1"/>
    <w:rsid w:val="3E63729C"/>
    <w:rsid w:val="3E8EB83C"/>
    <w:rsid w:val="3F1EFA70"/>
    <w:rsid w:val="3F2D151B"/>
    <w:rsid w:val="3F424DAC"/>
    <w:rsid w:val="3F519271"/>
    <w:rsid w:val="3F5D703F"/>
    <w:rsid w:val="3F740F3C"/>
    <w:rsid w:val="3F987C44"/>
    <w:rsid w:val="3F9A0DF3"/>
    <w:rsid w:val="3FA1049E"/>
    <w:rsid w:val="3FB375FC"/>
    <w:rsid w:val="3FB58D4B"/>
    <w:rsid w:val="3FE31119"/>
    <w:rsid w:val="3FEB9899"/>
    <w:rsid w:val="4023B613"/>
    <w:rsid w:val="40243D55"/>
    <w:rsid w:val="402E81EB"/>
    <w:rsid w:val="403D2EFC"/>
    <w:rsid w:val="4057912B"/>
    <w:rsid w:val="40A07D9A"/>
    <w:rsid w:val="40BF94A7"/>
    <w:rsid w:val="40F992ED"/>
    <w:rsid w:val="410A4F6E"/>
    <w:rsid w:val="4151BFF1"/>
    <w:rsid w:val="4154D333"/>
    <w:rsid w:val="416E6A35"/>
    <w:rsid w:val="41AD5695"/>
    <w:rsid w:val="41CE7245"/>
    <w:rsid w:val="4209CCFF"/>
    <w:rsid w:val="4212466A"/>
    <w:rsid w:val="42243134"/>
    <w:rsid w:val="42246B1E"/>
    <w:rsid w:val="42468C38"/>
    <w:rsid w:val="424D7182"/>
    <w:rsid w:val="4266A6A9"/>
    <w:rsid w:val="427CC7BA"/>
    <w:rsid w:val="427E98C6"/>
    <w:rsid w:val="428422A5"/>
    <w:rsid w:val="429F6166"/>
    <w:rsid w:val="42A845AB"/>
    <w:rsid w:val="42BFECFF"/>
    <w:rsid w:val="42E5C67D"/>
    <w:rsid w:val="4317CED1"/>
    <w:rsid w:val="4320DE9E"/>
    <w:rsid w:val="43695965"/>
    <w:rsid w:val="439102F1"/>
    <w:rsid w:val="43950AE1"/>
    <w:rsid w:val="43A6472D"/>
    <w:rsid w:val="442C4585"/>
    <w:rsid w:val="443767D9"/>
    <w:rsid w:val="44667C7E"/>
    <w:rsid w:val="446CC1AA"/>
    <w:rsid w:val="44B113E8"/>
    <w:rsid w:val="44C54738"/>
    <w:rsid w:val="44E2B972"/>
    <w:rsid w:val="44E903EC"/>
    <w:rsid w:val="44F61423"/>
    <w:rsid w:val="451DAF60"/>
    <w:rsid w:val="452307B2"/>
    <w:rsid w:val="45307376"/>
    <w:rsid w:val="454E2F46"/>
    <w:rsid w:val="455BA18D"/>
    <w:rsid w:val="45648820"/>
    <w:rsid w:val="45781C85"/>
    <w:rsid w:val="4594AA47"/>
    <w:rsid w:val="45A7222A"/>
    <w:rsid w:val="45B49EE8"/>
    <w:rsid w:val="45BE4146"/>
    <w:rsid w:val="45DEF3CF"/>
    <w:rsid w:val="45E8FECE"/>
    <w:rsid w:val="45F225AA"/>
    <w:rsid w:val="46017CBF"/>
    <w:rsid w:val="461B2A91"/>
    <w:rsid w:val="461DE273"/>
    <w:rsid w:val="46466D06"/>
    <w:rsid w:val="468C4018"/>
    <w:rsid w:val="46A38E9B"/>
    <w:rsid w:val="46B0F50E"/>
    <w:rsid w:val="46FB132F"/>
    <w:rsid w:val="47122290"/>
    <w:rsid w:val="472BA101"/>
    <w:rsid w:val="47B593A6"/>
    <w:rsid w:val="47CABB4F"/>
    <w:rsid w:val="4827FA27"/>
    <w:rsid w:val="4830EB03"/>
    <w:rsid w:val="485DFB21"/>
    <w:rsid w:val="48808BCF"/>
    <w:rsid w:val="48D659CB"/>
    <w:rsid w:val="48F2C4D1"/>
    <w:rsid w:val="4904CED3"/>
    <w:rsid w:val="4913E66D"/>
    <w:rsid w:val="492B4311"/>
    <w:rsid w:val="4934EBDB"/>
    <w:rsid w:val="49665192"/>
    <w:rsid w:val="499E6425"/>
    <w:rsid w:val="49A081FB"/>
    <w:rsid w:val="49AE2C9B"/>
    <w:rsid w:val="49B63E11"/>
    <w:rsid w:val="49D647C6"/>
    <w:rsid w:val="4A10AAF9"/>
    <w:rsid w:val="4A3A141B"/>
    <w:rsid w:val="4A49D5E7"/>
    <w:rsid w:val="4A65D390"/>
    <w:rsid w:val="4A797863"/>
    <w:rsid w:val="4A7D112A"/>
    <w:rsid w:val="4A86F11D"/>
    <w:rsid w:val="4A89FDE4"/>
    <w:rsid w:val="4ABF5A45"/>
    <w:rsid w:val="4AC06280"/>
    <w:rsid w:val="4ACEB01C"/>
    <w:rsid w:val="4AE82D73"/>
    <w:rsid w:val="4B074EE4"/>
    <w:rsid w:val="4B4EEC7A"/>
    <w:rsid w:val="4B63D2F3"/>
    <w:rsid w:val="4B6668CF"/>
    <w:rsid w:val="4B6B2E1D"/>
    <w:rsid w:val="4B73CD1A"/>
    <w:rsid w:val="4B7D1566"/>
    <w:rsid w:val="4B7E2C90"/>
    <w:rsid w:val="4B84D446"/>
    <w:rsid w:val="4B9678A3"/>
    <w:rsid w:val="4BB05114"/>
    <w:rsid w:val="4BD5ACC2"/>
    <w:rsid w:val="4BFB71F5"/>
    <w:rsid w:val="4C272911"/>
    <w:rsid w:val="4C542E32"/>
    <w:rsid w:val="4C678BF6"/>
    <w:rsid w:val="4C88C895"/>
    <w:rsid w:val="4C8FFCAA"/>
    <w:rsid w:val="4C97CA3E"/>
    <w:rsid w:val="4CA536B3"/>
    <w:rsid w:val="4CB76FC9"/>
    <w:rsid w:val="4CC92623"/>
    <w:rsid w:val="4CCE112F"/>
    <w:rsid w:val="4CECDC9B"/>
    <w:rsid w:val="4D032C05"/>
    <w:rsid w:val="4D0FA493"/>
    <w:rsid w:val="4D34D703"/>
    <w:rsid w:val="4D46390A"/>
    <w:rsid w:val="4D5EF077"/>
    <w:rsid w:val="4DAA78A8"/>
    <w:rsid w:val="4DE0BE42"/>
    <w:rsid w:val="4DF1221A"/>
    <w:rsid w:val="4DF35F28"/>
    <w:rsid w:val="4E32064A"/>
    <w:rsid w:val="4E554A5B"/>
    <w:rsid w:val="4ECC53F8"/>
    <w:rsid w:val="4F2BE07B"/>
    <w:rsid w:val="4F4BC58E"/>
    <w:rsid w:val="4F8CAEF5"/>
    <w:rsid w:val="4F9C678D"/>
    <w:rsid w:val="4FB4522E"/>
    <w:rsid w:val="4FD8A702"/>
    <w:rsid w:val="50136916"/>
    <w:rsid w:val="50354B70"/>
    <w:rsid w:val="503CF309"/>
    <w:rsid w:val="50411173"/>
    <w:rsid w:val="50442E95"/>
    <w:rsid w:val="504B68E7"/>
    <w:rsid w:val="50544DDA"/>
    <w:rsid w:val="50666A79"/>
    <w:rsid w:val="506B1D71"/>
    <w:rsid w:val="5076D40B"/>
    <w:rsid w:val="50C390D8"/>
    <w:rsid w:val="50D1276F"/>
    <w:rsid w:val="510C0A75"/>
    <w:rsid w:val="5121B936"/>
    <w:rsid w:val="512F2AE9"/>
    <w:rsid w:val="514558DE"/>
    <w:rsid w:val="51C133BC"/>
    <w:rsid w:val="51EA6749"/>
    <w:rsid w:val="51FF4F56"/>
    <w:rsid w:val="5235D255"/>
    <w:rsid w:val="52821958"/>
    <w:rsid w:val="528DD5FF"/>
    <w:rsid w:val="5291A692"/>
    <w:rsid w:val="52A8BE85"/>
    <w:rsid w:val="52AA521C"/>
    <w:rsid w:val="52B5EF61"/>
    <w:rsid w:val="52E0D28F"/>
    <w:rsid w:val="52EAB957"/>
    <w:rsid w:val="52F92EB8"/>
    <w:rsid w:val="52FECCA2"/>
    <w:rsid w:val="5301EEE0"/>
    <w:rsid w:val="533DFCC8"/>
    <w:rsid w:val="533ECD6E"/>
    <w:rsid w:val="535BB807"/>
    <w:rsid w:val="537DCD5E"/>
    <w:rsid w:val="53CD6672"/>
    <w:rsid w:val="53FACEB1"/>
    <w:rsid w:val="5421ABFE"/>
    <w:rsid w:val="543A0DE9"/>
    <w:rsid w:val="54786D7E"/>
    <w:rsid w:val="54AC1952"/>
    <w:rsid w:val="54C24709"/>
    <w:rsid w:val="54D30EB6"/>
    <w:rsid w:val="54D636AB"/>
    <w:rsid w:val="54FF7428"/>
    <w:rsid w:val="550309D5"/>
    <w:rsid w:val="550A1E1C"/>
    <w:rsid w:val="551EC2E8"/>
    <w:rsid w:val="55459501"/>
    <w:rsid w:val="55767680"/>
    <w:rsid w:val="558205C9"/>
    <w:rsid w:val="558E5643"/>
    <w:rsid w:val="55967660"/>
    <w:rsid w:val="55AC78B3"/>
    <w:rsid w:val="55C56374"/>
    <w:rsid w:val="55EDDE71"/>
    <w:rsid w:val="55F4F28E"/>
    <w:rsid w:val="560F3709"/>
    <w:rsid w:val="562B4EE3"/>
    <w:rsid w:val="563D6813"/>
    <w:rsid w:val="564EED8C"/>
    <w:rsid w:val="567C041A"/>
    <w:rsid w:val="56D5D0B2"/>
    <w:rsid w:val="56EBD51F"/>
    <w:rsid w:val="573D7EB6"/>
    <w:rsid w:val="57518347"/>
    <w:rsid w:val="5781FF5E"/>
    <w:rsid w:val="57A76D31"/>
    <w:rsid w:val="57AEC7C8"/>
    <w:rsid w:val="57AFA4AF"/>
    <w:rsid w:val="57DD3112"/>
    <w:rsid w:val="580525C7"/>
    <w:rsid w:val="58072EDE"/>
    <w:rsid w:val="5821F570"/>
    <w:rsid w:val="5824F594"/>
    <w:rsid w:val="585B7162"/>
    <w:rsid w:val="5871A8A5"/>
    <w:rsid w:val="5898C108"/>
    <w:rsid w:val="589EC91F"/>
    <w:rsid w:val="58D73792"/>
    <w:rsid w:val="58FA514C"/>
    <w:rsid w:val="591138F6"/>
    <w:rsid w:val="5912FF3B"/>
    <w:rsid w:val="5939C997"/>
    <w:rsid w:val="595ACC72"/>
    <w:rsid w:val="5971ABD2"/>
    <w:rsid w:val="598B8A46"/>
    <w:rsid w:val="5996C61B"/>
    <w:rsid w:val="59A36343"/>
    <w:rsid w:val="59C4DA4D"/>
    <w:rsid w:val="59C78E6C"/>
    <w:rsid w:val="59D102D5"/>
    <w:rsid w:val="59F2FC72"/>
    <w:rsid w:val="5A139AFF"/>
    <w:rsid w:val="5A4EA968"/>
    <w:rsid w:val="5A5EBF4C"/>
    <w:rsid w:val="5ACB0945"/>
    <w:rsid w:val="5AE7D7C3"/>
    <w:rsid w:val="5B5BAC02"/>
    <w:rsid w:val="5B5EF25E"/>
    <w:rsid w:val="5BA77833"/>
    <w:rsid w:val="5BAFA0EE"/>
    <w:rsid w:val="5BBAE357"/>
    <w:rsid w:val="5BC06EF3"/>
    <w:rsid w:val="5BC93FBD"/>
    <w:rsid w:val="5BDAD1A6"/>
    <w:rsid w:val="5BDF935A"/>
    <w:rsid w:val="5BEE254C"/>
    <w:rsid w:val="5C05FBE0"/>
    <w:rsid w:val="5C21D617"/>
    <w:rsid w:val="5C428D9B"/>
    <w:rsid w:val="5C6C193E"/>
    <w:rsid w:val="5C839F11"/>
    <w:rsid w:val="5C8A70A7"/>
    <w:rsid w:val="5C98A7C5"/>
    <w:rsid w:val="5CA7E040"/>
    <w:rsid w:val="5CFE9961"/>
    <w:rsid w:val="5CFF5452"/>
    <w:rsid w:val="5D06DD61"/>
    <w:rsid w:val="5D455DA2"/>
    <w:rsid w:val="5D643951"/>
    <w:rsid w:val="5D6ECC32"/>
    <w:rsid w:val="5D84E5C7"/>
    <w:rsid w:val="5DA6F23E"/>
    <w:rsid w:val="5DAA0A97"/>
    <w:rsid w:val="5DC821FA"/>
    <w:rsid w:val="5DD7DC7B"/>
    <w:rsid w:val="5DE96EB9"/>
    <w:rsid w:val="5DFD5271"/>
    <w:rsid w:val="5DFEF4EE"/>
    <w:rsid w:val="5E0361C2"/>
    <w:rsid w:val="5E139853"/>
    <w:rsid w:val="5E199A33"/>
    <w:rsid w:val="5E1CD379"/>
    <w:rsid w:val="5E20B6DB"/>
    <w:rsid w:val="5E656025"/>
    <w:rsid w:val="5E86ED60"/>
    <w:rsid w:val="5EF73F9A"/>
    <w:rsid w:val="5F2F9DB8"/>
    <w:rsid w:val="5F66CB8F"/>
    <w:rsid w:val="5F721E5D"/>
    <w:rsid w:val="5F74E9AE"/>
    <w:rsid w:val="5F76D942"/>
    <w:rsid w:val="5F7BE738"/>
    <w:rsid w:val="5FA6B419"/>
    <w:rsid w:val="5FA8EAB9"/>
    <w:rsid w:val="5FCB8463"/>
    <w:rsid w:val="600C5BE1"/>
    <w:rsid w:val="600E2A5E"/>
    <w:rsid w:val="60148927"/>
    <w:rsid w:val="603B6E48"/>
    <w:rsid w:val="603D6508"/>
    <w:rsid w:val="60418FEF"/>
    <w:rsid w:val="6043E93B"/>
    <w:rsid w:val="60468D73"/>
    <w:rsid w:val="604F8383"/>
    <w:rsid w:val="60845CA5"/>
    <w:rsid w:val="60A5334E"/>
    <w:rsid w:val="60C23492"/>
    <w:rsid w:val="60F9418F"/>
    <w:rsid w:val="610581AD"/>
    <w:rsid w:val="613CFDD8"/>
    <w:rsid w:val="6182E97C"/>
    <w:rsid w:val="6196BBF8"/>
    <w:rsid w:val="61CCBFD9"/>
    <w:rsid w:val="622DD5A5"/>
    <w:rsid w:val="623DCDE3"/>
    <w:rsid w:val="628185E8"/>
    <w:rsid w:val="629B3C1C"/>
    <w:rsid w:val="62A41417"/>
    <w:rsid w:val="62BAD67C"/>
    <w:rsid w:val="62C37F0A"/>
    <w:rsid w:val="62CC4FD5"/>
    <w:rsid w:val="62D2E40D"/>
    <w:rsid w:val="62E006EF"/>
    <w:rsid w:val="630061FF"/>
    <w:rsid w:val="6340816A"/>
    <w:rsid w:val="63691B28"/>
    <w:rsid w:val="6381AA1C"/>
    <w:rsid w:val="638218ED"/>
    <w:rsid w:val="63877A6A"/>
    <w:rsid w:val="638D15B2"/>
    <w:rsid w:val="639796C1"/>
    <w:rsid w:val="63BB67B2"/>
    <w:rsid w:val="63C69454"/>
    <w:rsid w:val="63D0BE27"/>
    <w:rsid w:val="63E2BF0D"/>
    <w:rsid w:val="642943F5"/>
    <w:rsid w:val="642CE55D"/>
    <w:rsid w:val="64482120"/>
    <w:rsid w:val="64A3050C"/>
    <w:rsid w:val="64B109F6"/>
    <w:rsid w:val="64BD32EA"/>
    <w:rsid w:val="64BE8F8B"/>
    <w:rsid w:val="64FAB9A5"/>
    <w:rsid w:val="6530499B"/>
    <w:rsid w:val="656D2C68"/>
    <w:rsid w:val="65C2C81C"/>
    <w:rsid w:val="65C3DBBA"/>
    <w:rsid w:val="661F3DCB"/>
    <w:rsid w:val="6621A0C5"/>
    <w:rsid w:val="6663CD25"/>
    <w:rsid w:val="6666B877"/>
    <w:rsid w:val="6666C931"/>
    <w:rsid w:val="668AB84D"/>
    <w:rsid w:val="6695B30F"/>
    <w:rsid w:val="66DC6B33"/>
    <w:rsid w:val="66F0A38A"/>
    <w:rsid w:val="670C5569"/>
    <w:rsid w:val="6719ABE5"/>
    <w:rsid w:val="67465D68"/>
    <w:rsid w:val="6764CB30"/>
    <w:rsid w:val="678AD923"/>
    <w:rsid w:val="678F0203"/>
    <w:rsid w:val="67A954D2"/>
    <w:rsid w:val="67AB116E"/>
    <w:rsid w:val="67BE1B59"/>
    <w:rsid w:val="67D9E591"/>
    <w:rsid w:val="67EA0A1D"/>
    <w:rsid w:val="67F3968F"/>
    <w:rsid w:val="681AADB9"/>
    <w:rsid w:val="681ED34A"/>
    <w:rsid w:val="68353493"/>
    <w:rsid w:val="6879B1CD"/>
    <w:rsid w:val="68B8F971"/>
    <w:rsid w:val="68E9E288"/>
    <w:rsid w:val="690D2268"/>
    <w:rsid w:val="6919C32E"/>
    <w:rsid w:val="696E4EB7"/>
    <w:rsid w:val="698DFDA5"/>
    <w:rsid w:val="69A26906"/>
    <w:rsid w:val="69AFE71B"/>
    <w:rsid w:val="6A15895C"/>
    <w:rsid w:val="6A1814C5"/>
    <w:rsid w:val="6A5034E5"/>
    <w:rsid w:val="6A68A979"/>
    <w:rsid w:val="6A692891"/>
    <w:rsid w:val="6A7B5761"/>
    <w:rsid w:val="6A7D8784"/>
    <w:rsid w:val="6A81B81A"/>
    <w:rsid w:val="6A99507C"/>
    <w:rsid w:val="6ACCE1EA"/>
    <w:rsid w:val="6AD785E2"/>
    <w:rsid w:val="6ADCCCA0"/>
    <w:rsid w:val="6AEC3677"/>
    <w:rsid w:val="6B03B9CE"/>
    <w:rsid w:val="6B19DFC8"/>
    <w:rsid w:val="6B1B32BF"/>
    <w:rsid w:val="6B1E52B7"/>
    <w:rsid w:val="6B33F99C"/>
    <w:rsid w:val="6B4F52EB"/>
    <w:rsid w:val="6B5B08E2"/>
    <w:rsid w:val="6B87763E"/>
    <w:rsid w:val="6B918875"/>
    <w:rsid w:val="6BB01128"/>
    <w:rsid w:val="6BC36997"/>
    <w:rsid w:val="6BCCE407"/>
    <w:rsid w:val="6BDD0A8A"/>
    <w:rsid w:val="6BF22625"/>
    <w:rsid w:val="6BFC2965"/>
    <w:rsid w:val="6C04F8F2"/>
    <w:rsid w:val="6C20A057"/>
    <w:rsid w:val="6C55302E"/>
    <w:rsid w:val="6CC41D34"/>
    <w:rsid w:val="6CEE558C"/>
    <w:rsid w:val="6CF774D6"/>
    <w:rsid w:val="6D00E392"/>
    <w:rsid w:val="6D299BB6"/>
    <w:rsid w:val="6D2BFEDF"/>
    <w:rsid w:val="6D348F7D"/>
    <w:rsid w:val="6D4270E9"/>
    <w:rsid w:val="6DA4E9ED"/>
    <w:rsid w:val="6DA9C3BE"/>
    <w:rsid w:val="6E213575"/>
    <w:rsid w:val="6E306EDF"/>
    <w:rsid w:val="6E3B5A90"/>
    <w:rsid w:val="6E7E25D1"/>
    <w:rsid w:val="6E91C6EA"/>
    <w:rsid w:val="6ED8FE4C"/>
    <w:rsid w:val="6EE0D7A9"/>
    <w:rsid w:val="6EEA363C"/>
    <w:rsid w:val="6F068E67"/>
    <w:rsid w:val="6F0E97F4"/>
    <w:rsid w:val="6F18B79D"/>
    <w:rsid w:val="6F27231B"/>
    <w:rsid w:val="6F584155"/>
    <w:rsid w:val="6F589E4E"/>
    <w:rsid w:val="6F5A4F83"/>
    <w:rsid w:val="6F5E01D0"/>
    <w:rsid w:val="6F64A1CA"/>
    <w:rsid w:val="6F7C8F2C"/>
    <w:rsid w:val="6F89059B"/>
    <w:rsid w:val="6F9E29FF"/>
    <w:rsid w:val="6FCD6B6B"/>
    <w:rsid w:val="704D1796"/>
    <w:rsid w:val="7062371C"/>
    <w:rsid w:val="707B9A75"/>
    <w:rsid w:val="70D1B54C"/>
    <w:rsid w:val="71036225"/>
    <w:rsid w:val="711D5ED4"/>
    <w:rsid w:val="71336F80"/>
    <w:rsid w:val="7152B81F"/>
    <w:rsid w:val="7170140C"/>
    <w:rsid w:val="718B1C70"/>
    <w:rsid w:val="718DCC76"/>
    <w:rsid w:val="71906046"/>
    <w:rsid w:val="7196D889"/>
    <w:rsid w:val="719B41D1"/>
    <w:rsid w:val="71A5550A"/>
    <w:rsid w:val="71AA3BEF"/>
    <w:rsid w:val="71AB890C"/>
    <w:rsid w:val="71B43A27"/>
    <w:rsid w:val="71BEB968"/>
    <w:rsid w:val="71DD1428"/>
    <w:rsid w:val="7208979E"/>
    <w:rsid w:val="721B538F"/>
    <w:rsid w:val="7224A67E"/>
    <w:rsid w:val="725A070E"/>
    <w:rsid w:val="7261445F"/>
    <w:rsid w:val="72B69F25"/>
    <w:rsid w:val="72BAA380"/>
    <w:rsid w:val="72E8CA29"/>
    <w:rsid w:val="73007D26"/>
    <w:rsid w:val="734DE713"/>
    <w:rsid w:val="73593B7E"/>
    <w:rsid w:val="735AF74A"/>
    <w:rsid w:val="7371D124"/>
    <w:rsid w:val="737FC366"/>
    <w:rsid w:val="738918A1"/>
    <w:rsid w:val="73D415C3"/>
    <w:rsid w:val="740107A3"/>
    <w:rsid w:val="742067FA"/>
    <w:rsid w:val="748DBCD0"/>
    <w:rsid w:val="74A2FAB5"/>
    <w:rsid w:val="74C7D435"/>
    <w:rsid w:val="74E69DA7"/>
    <w:rsid w:val="751FC96F"/>
    <w:rsid w:val="7546889F"/>
    <w:rsid w:val="75486C91"/>
    <w:rsid w:val="754A9393"/>
    <w:rsid w:val="755F2938"/>
    <w:rsid w:val="756F9549"/>
    <w:rsid w:val="75B080C8"/>
    <w:rsid w:val="75B09C7F"/>
    <w:rsid w:val="75B26A77"/>
    <w:rsid w:val="75D06C8E"/>
    <w:rsid w:val="75F89D50"/>
    <w:rsid w:val="7626A31E"/>
    <w:rsid w:val="762AF728"/>
    <w:rsid w:val="767863E1"/>
    <w:rsid w:val="767DD5E4"/>
    <w:rsid w:val="76878E66"/>
    <w:rsid w:val="76D90E42"/>
    <w:rsid w:val="76EC9F41"/>
    <w:rsid w:val="76ECDC19"/>
    <w:rsid w:val="77084931"/>
    <w:rsid w:val="770D87AD"/>
    <w:rsid w:val="77176131"/>
    <w:rsid w:val="7737675C"/>
    <w:rsid w:val="7738173E"/>
    <w:rsid w:val="774C2C6A"/>
    <w:rsid w:val="7780E424"/>
    <w:rsid w:val="7790905F"/>
    <w:rsid w:val="77999867"/>
    <w:rsid w:val="779B20BA"/>
    <w:rsid w:val="77B46544"/>
    <w:rsid w:val="77B5EE17"/>
    <w:rsid w:val="77B940A8"/>
    <w:rsid w:val="77BF60E7"/>
    <w:rsid w:val="77C401F3"/>
    <w:rsid w:val="77D2F037"/>
    <w:rsid w:val="7820C1E3"/>
    <w:rsid w:val="78257424"/>
    <w:rsid w:val="7841CCFE"/>
    <w:rsid w:val="785E3304"/>
    <w:rsid w:val="78725977"/>
    <w:rsid w:val="78A36804"/>
    <w:rsid w:val="78BE90BF"/>
    <w:rsid w:val="78E1BE08"/>
    <w:rsid w:val="79069BF0"/>
    <w:rsid w:val="7907E1C5"/>
    <w:rsid w:val="793A2E3A"/>
    <w:rsid w:val="79747BC0"/>
    <w:rsid w:val="79E0CE82"/>
    <w:rsid w:val="7A117313"/>
    <w:rsid w:val="7A14C126"/>
    <w:rsid w:val="7A3A34A8"/>
    <w:rsid w:val="7A4A65E1"/>
    <w:rsid w:val="7A55487D"/>
    <w:rsid w:val="7A63DFCF"/>
    <w:rsid w:val="7A691169"/>
    <w:rsid w:val="7A6FC466"/>
    <w:rsid w:val="7A7383A2"/>
    <w:rsid w:val="7A79B965"/>
    <w:rsid w:val="7A9F98B6"/>
    <w:rsid w:val="7B160F04"/>
    <w:rsid w:val="7B367967"/>
    <w:rsid w:val="7B452F12"/>
    <w:rsid w:val="7B5B79E9"/>
    <w:rsid w:val="7B5E4C11"/>
    <w:rsid w:val="7B6AE229"/>
    <w:rsid w:val="7BBC06CA"/>
    <w:rsid w:val="7BD9C59E"/>
    <w:rsid w:val="7C3F97F7"/>
    <w:rsid w:val="7C481E4A"/>
    <w:rsid w:val="7C502547"/>
    <w:rsid w:val="7C8DE9A6"/>
    <w:rsid w:val="7CED4BAD"/>
    <w:rsid w:val="7CEF0A4A"/>
    <w:rsid w:val="7CF2582A"/>
    <w:rsid w:val="7D2369CF"/>
    <w:rsid w:val="7D5B96C7"/>
    <w:rsid w:val="7D626AF5"/>
    <w:rsid w:val="7D6EC074"/>
    <w:rsid w:val="7D7F8B5A"/>
    <w:rsid w:val="7D87127B"/>
    <w:rsid w:val="7DA24F86"/>
    <w:rsid w:val="7DB2ECCD"/>
    <w:rsid w:val="7DDB6858"/>
    <w:rsid w:val="7DEFBEF0"/>
    <w:rsid w:val="7E0BE4CC"/>
    <w:rsid w:val="7E0C8DD5"/>
    <w:rsid w:val="7E311561"/>
    <w:rsid w:val="7E34C9E3"/>
    <w:rsid w:val="7E8BD6AB"/>
    <w:rsid w:val="7E8E288B"/>
    <w:rsid w:val="7E907DCA"/>
    <w:rsid w:val="7EC355B6"/>
    <w:rsid w:val="7ED72FB9"/>
    <w:rsid w:val="7EF77173"/>
    <w:rsid w:val="7EFA23F4"/>
    <w:rsid w:val="7F2F0BD2"/>
    <w:rsid w:val="7F34BF0A"/>
    <w:rsid w:val="7F58C658"/>
    <w:rsid w:val="7F5F9124"/>
    <w:rsid w:val="7F6A4356"/>
    <w:rsid w:val="7F71AAAC"/>
    <w:rsid w:val="7F82EF30"/>
    <w:rsid w:val="7F92815B"/>
    <w:rsid w:val="7F998AC4"/>
    <w:rsid w:val="7FAE3D1C"/>
    <w:rsid w:val="7FD296B1"/>
    <w:rsid w:val="7FD48C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2E253"/>
  <w15:chartTrackingRefBased/>
  <w15:docId w15:val="{0DBB1123-8B5C-46CF-9A26-334B46FF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D76B9"/>
    <w:rPr>
      <w:kern w:val="2"/>
      <w14:ligatures w14:val="standardContextual"/>
    </w:rPr>
  </w:style>
  <w:style w:type="paragraph" w:styleId="Pealkiri1">
    <w:name w:val="heading 1"/>
    <w:basedOn w:val="Normaallaad"/>
    <w:next w:val="Normaallaad"/>
    <w:link w:val="Pealkiri1Mrk"/>
    <w:uiPriority w:val="9"/>
    <w:qFormat/>
    <w:rsid w:val="00B906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F91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qFormat/>
    <w:rsid w:val="00842BF9"/>
    <w:pPr>
      <w:numPr>
        <w:numId w:val="1"/>
      </w:numPr>
      <w:spacing w:before="200" w:after="0" w:line="280" w:lineRule="exact"/>
      <w:jc w:val="both"/>
      <w:outlineLvl w:val="2"/>
    </w:pPr>
    <w:rPr>
      <w:rFonts w:ascii="Calibri" w:eastAsia="Calibri" w:hAnsi="Calibri" w:cs="Times New Roman"/>
      <w:b/>
      <w:color w:val="000000" w:themeColor="text1"/>
      <w:sz w:val="28"/>
    </w:rPr>
  </w:style>
  <w:style w:type="paragraph" w:styleId="Pealkiri4">
    <w:name w:val="heading 4"/>
    <w:basedOn w:val="Normaallaad"/>
    <w:next w:val="Normaallaad"/>
    <w:link w:val="Pealkiri4Mrk"/>
    <w:uiPriority w:val="9"/>
    <w:unhideWhenUsed/>
    <w:qFormat/>
    <w:rsid w:val="002761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842BF9"/>
    <w:rPr>
      <w:rFonts w:ascii="Calibri" w:eastAsia="Calibri" w:hAnsi="Calibri" w:cs="Times New Roman"/>
      <w:b/>
      <w:color w:val="000000" w:themeColor="text1"/>
      <w:kern w:val="2"/>
      <w:sz w:val="28"/>
      <w14:ligatures w14:val="standardContextual"/>
    </w:rPr>
  </w:style>
  <w:style w:type="character" w:styleId="Allmrkuseviide">
    <w:name w:val="footnote reference"/>
    <w:uiPriority w:val="99"/>
    <w:semiHidden/>
    <w:unhideWhenUsed/>
    <w:rsid w:val="00842BF9"/>
    <w:rPr>
      <w:vertAlign w:val="superscript"/>
    </w:rPr>
  </w:style>
  <w:style w:type="paragraph" w:styleId="Loendilik">
    <w:name w:val="List Paragraph"/>
    <w:aliases w:val="Puce niveau 4,bulletit taulukoissa,Normal bullet 2,List Paragraph1,Bullet list,Lettre d'introduction,Paragrafo elenco,1st level - Bullet List Paragraph,Bullet List Paragraph,Numbered List,List Paragraph11,Normal bullet 21"/>
    <w:basedOn w:val="Normaallaad"/>
    <w:link w:val="LoendilikMrk"/>
    <w:uiPriority w:val="34"/>
    <w:qFormat/>
    <w:rsid w:val="00842BF9"/>
    <w:pPr>
      <w:spacing w:before="200" w:after="0" w:line="280" w:lineRule="exact"/>
      <w:ind w:left="720"/>
      <w:contextualSpacing/>
    </w:pPr>
    <w:rPr>
      <w:rFonts w:ascii="Calibri" w:eastAsia="Calibri" w:hAnsi="Calibri" w:cs="Times New Roman"/>
      <w:color w:val="5F5F5F"/>
    </w:rPr>
  </w:style>
  <w:style w:type="paragraph" w:styleId="Loenditpp2">
    <w:name w:val="List Bullet 2"/>
    <w:basedOn w:val="Normaallaad"/>
    <w:qFormat/>
    <w:rsid w:val="00842BF9"/>
    <w:pPr>
      <w:numPr>
        <w:numId w:val="2"/>
      </w:numPr>
      <w:spacing w:before="120" w:after="120" w:line="240" w:lineRule="auto"/>
      <w:jc w:val="both"/>
    </w:pPr>
    <w:rPr>
      <w:rFonts w:ascii="Calibri" w:eastAsia="Calibri" w:hAnsi="Calibri" w:cs="Times New Roman"/>
      <w:color w:val="FFFFFF" w:themeColor="background1"/>
      <w:sz w:val="24"/>
    </w:rPr>
  </w:style>
  <w:style w:type="paragraph" w:customStyle="1" w:styleId="FooterSignature">
    <w:name w:val="Footer Signature"/>
    <w:qFormat/>
    <w:rsid w:val="00842BF9"/>
    <w:pPr>
      <w:spacing w:after="0" w:line="240" w:lineRule="auto"/>
    </w:pPr>
    <w:rPr>
      <w:rFonts w:ascii="Gill Sans MT" w:eastAsia="Calibri" w:hAnsi="Gill Sans MT" w:cs="Times New Roman"/>
      <w:color w:val="000000" w:themeColor="text1"/>
      <w:spacing w:val="1"/>
      <w:sz w:val="15"/>
      <w:szCs w:val="20"/>
    </w:rPr>
  </w:style>
  <w:style w:type="character" w:customStyle="1" w:styleId="LoendilikMrk">
    <w:name w:val="Loendi lõik Märk"/>
    <w:aliases w:val="Puce niveau 4 Märk,bulletit taulukoissa Märk,Normal bullet 2 Märk,List Paragraph1 Märk,Bullet list Märk,Lettre d'introduction Märk,Paragrafo elenco Märk,1st level - Bullet List Paragraph Märk,Bullet List Paragraph Märk"/>
    <w:basedOn w:val="Liguvaikefont"/>
    <w:link w:val="Loendilik"/>
    <w:uiPriority w:val="34"/>
    <w:rsid w:val="00842BF9"/>
    <w:rPr>
      <w:rFonts w:ascii="Calibri" w:eastAsia="Calibri" w:hAnsi="Calibri" w:cs="Times New Roman"/>
      <w:color w:val="5F5F5F"/>
    </w:rPr>
  </w:style>
  <w:style w:type="paragraph" w:customStyle="1" w:styleId="Style2">
    <w:name w:val="Style2"/>
    <w:basedOn w:val="Normaallaad"/>
    <w:link w:val="Style2Char"/>
    <w:qFormat/>
    <w:rsid w:val="00842BF9"/>
    <w:pPr>
      <w:numPr>
        <w:numId w:val="3"/>
      </w:numPr>
      <w:spacing w:before="120" w:after="0" w:line="240" w:lineRule="auto"/>
      <w:jc w:val="both"/>
    </w:pPr>
    <w:rPr>
      <w:rFonts w:cstheme="minorHAnsi"/>
      <w:b/>
      <w:sz w:val="24"/>
      <w:szCs w:val="24"/>
    </w:rPr>
  </w:style>
  <w:style w:type="character" w:customStyle="1" w:styleId="Style2Char">
    <w:name w:val="Style2 Char"/>
    <w:basedOn w:val="Liguvaikefont"/>
    <w:link w:val="Style2"/>
    <w:rsid w:val="00842BF9"/>
    <w:rPr>
      <w:rFonts w:cstheme="minorHAnsi"/>
      <w:b/>
      <w:kern w:val="2"/>
      <w:sz w:val="24"/>
      <w:szCs w:val="24"/>
      <w14:ligatures w14:val="standardContextual"/>
    </w:rPr>
  </w:style>
  <w:style w:type="paragraph" w:styleId="Pis">
    <w:name w:val="header"/>
    <w:basedOn w:val="Normaallaad"/>
    <w:link w:val="PisMrk"/>
    <w:uiPriority w:val="99"/>
    <w:unhideWhenUsed/>
    <w:qFormat/>
    <w:rsid w:val="00842BF9"/>
    <w:pPr>
      <w:tabs>
        <w:tab w:val="center" w:pos="4680"/>
        <w:tab w:val="right" w:pos="9360"/>
      </w:tabs>
      <w:spacing w:after="0" w:line="240" w:lineRule="auto"/>
    </w:pPr>
  </w:style>
  <w:style w:type="character" w:customStyle="1" w:styleId="PisMrk">
    <w:name w:val="Päis Märk"/>
    <w:basedOn w:val="Liguvaikefont"/>
    <w:link w:val="Pis"/>
    <w:uiPriority w:val="99"/>
    <w:rsid w:val="00842BF9"/>
    <w:rPr>
      <w:lang w:val="en-GB"/>
    </w:rPr>
  </w:style>
  <w:style w:type="paragraph" w:styleId="Jalus">
    <w:name w:val="footer"/>
    <w:basedOn w:val="Normaallaad"/>
    <w:link w:val="JalusMrk"/>
    <w:uiPriority w:val="99"/>
    <w:unhideWhenUsed/>
    <w:rsid w:val="00842BF9"/>
    <w:pPr>
      <w:tabs>
        <w:tab w:val="center" w:pos="4680"/>
        <w:tab w:val="right" w:pos="9360"/>
      </w:tabs>
      <w:spacing w:after="0" w:line="240" w:lineRule="auto"/>
    </w:pPr>
  </w:style>
  <w:style w:type="character" w:customStyle="1" w:styleId="JalusMrk">
    <w:name w:val="Jalus Märk"/>
    <w:basedOn w:val="Liguvaikefont"/>
    <w:link w:val="Jalus"/>
    <w:uiPriority w:val="99"/>
    <w:rsid w:val="00842BF9"/>
    <w:rPr>
      <w:lang w:val="en-GB"/>
    </w:rPr>
  </w:style>
  <w:style w:type="table" w:customStyle="1" w:styleId="TableGrid1">
    <w:name w:val="Table Grid1"/>
    <w:basedOn w:val="Normaaltabel"/>
    <w:next w:val="Kontuurtabel"/>
    <w:rsid w:val="00842BF9"/>
    <w:pPr>
      <w:spacing w:before="200" w:after="0" w:line="280" w:lineRule="exact"/>
    </w:pPr>
    <w:rPr>
      <w:rFonts w:ascii="Calibri" w:eastAsia="Calibri" w:hAnsi="Calibri" w:cs="Times New Roman"/>
      <w:sz w:val="20"/>
      <w:szCs w:val="20"/>
      <w:lang w:val="fr-BE"/>
    </w:rPr>
    <w:tblPr>
      <w:tblBorders>
        <w:top w:val="single" w:sz="4" w:space="0" w:color="74737B"/>
        <w:left w:val="single" w:sz="4" w:space="0" w:color="74737B"/>
        <w:bottom w:val="single" w:sz="4" w:space="0" w:color="74737B"/>
        <w:right w:val="single" w:sz="4" w:space="0" w:color="74737B"/>
        <w:insideH w:val="single" w:sz="4" w:space="0" w:color="74737B"/>
        <w:insideV w:val="single" w:sz="4" w:space="0" w:color="74737B"/>
      </w:tblBorders>
    </w:tblPr>
  </w:style>
  <w:style w:type="paragraph" w:styleId="Kuupev">
    <w:name w:val="Date"/>
    <w:next w:val="Normaallaad"/>
    <w:link w:val="KuupevMrk"/>
    <w:qFormat/>
    <w:rsid w:val="00842BF9"/>
    <w:pPr>
      <w:spacing w:before="120" w:after="0" w:line="280" w:lineRule="exact"/>
      <w:jc w:val="right"/>
    </w:pPr>
    <w:rPr>
      <w:rFonts w:ascii="Calibri" w:eastAsia="Calibri" w:hAnsi="Calibri" w:cs="Times New Roman"/>
      <w:noProof/>
      <w:color w:val="FFFFFF" w:themeColor="background1"/>
      <w:sz w:val="18"/>
      <w:szCs w:val="20"/>
      <w:lang w:val="fr-BE"/>
    </w:rPr>
  </w:style>
  <w:style w:type="character" w:customStyle="1" w:styleId="KuupevMrk">
    <w:name w:val="Kuupäev Märk"/>
    <w:basedOn w:val="Liguvaikefont"/>
    <w:link w:val="Kuupev"/>
    <w:rsid w:val="00842BF9"/>
    <w:rPr>
      <w:rFonts w:ascii="Calibri" w:eastAsia="Calibri" w:hAnsi="Calibri" w:cs="Times New Roman"/>
      <w:noProof/>
      <w:color w:val="FFFFFF" w:themeColor="background1"/>
      <w:sz w:val="18"/>
      <w:szCs w:val="20"/>
      <w:lang w:val="fr-BE"/>
    </w:rPr>
  </w:style>
  <w:style w:type="table" w:styleId="Kontuurtabel">
    <w:name w:val="Table Grid"/>
    <w:basedOn w:val="Normaaltabel"/>
    <w:uiPriority w:val="39"/>
    <w:rsid w:val="0084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0C4958"/>
    <w:rPr>
      <w:sz w:val="16"/>
      <w:szCs w:val="16"/>
    </w:rPr>
  </w:style>
  <w:style w:type="paragraph" w:styleId="Kommentaaritekst">
    <w:name w:val="annotation text"/>
    <w:basedOn w:val="Normaallaad"/>
    <w:link w:val="KommentaaritekstMrk"/>
    <w:uiPriority w:val="99"/>
    <w:unhideWhenUsed/>
    <w:rsid w:val="000C4958"/>
    <w:pPr>
      <w:spacing w:line="240" w:lineRule="auto"/>
    </w:pPr>
    <w:rPr>
      <w:sz w:val="20"/>
      <w:szCs w:val="20"/>
    </w:rPr>
  </w:style>
  <w:style w:type="character" w:customStyle="1" w:styleId="KommentaaritekstMrk">
    <w:name w:val="Kommentaari tekst Märk"/>
    <w:basedOn w:val="Liguvaikefont"/>
    <w:link w:val="Kommentaaritekst"/>
    <w:uiPriority w:val="99"/>
    <w:rsid w:val="000C4958"/>
    <w:rPr>
      <w:sz w:val="20"/>
      <w:szCs w:val="20"/>
      <w:lang w:val="en-GB"/>
    </w:rPr>
  </w:style>
  <w:style w:type="paragraph" w:styleId="Kommentaariteema">
    <w:name w:val="annotation subject"/>
    <w:basedOn w:val="Kommentaaritekst"/>
    <w:next w:val="Kommentaaritekst"/>
    <w:link w:val="KommentaariteemaMrk"/>
    <w:uiPriority w:val="99"/>
    <w:semiHidden/>
    <w:unhideWhenUsed/>
    <w:rsid w:val="000C4958"/>
    <w:rPr>
      <w:b/>
      <w:bCs/>
    </w:rPr>
  </w:style>
  <w:style w:type="character" w:customStyle="1" w:styleId="KommentaariteemaMrk">
    <w:name w:val="Kommentaari teema Märk"/>
    <w:basedOn w:val="KommentaaritekstMrk"/>
    <w:link w:val="Kommentaariteema"/>
    <w:uiPriority w:val="99"/>
    <w:semiHidden/>
    <w:rsid w:val="000C4958"/>
    <w:rPr>
      <w:b/>
      <w:bCs/>
      <w:sz w:val="20"/>
      <w:szCs w:val="20"/>
      <w:lang w:val="en-GB"/>
    </w:rPr>
  </w:style>
  <w:style w:type="paragraph" w:styleId="Jutumullitekst">
    <w:name w:val="Balloon Text"/>
    <w:basedOn w:val="Normaallaad"/>
    <w:link w:val="JutumullitekstMrk"/>
    <w:uiPriority w:val="99"/>
    <w:semiHidden/>
    <w:unhideWhenUsed/>
    <w:rsid w:val="000C495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C4958"/>
    <w:rPr>
      <w:rFonts w:ascii="Segoe UI" w:hAnsi="Segoe UI" w:cs="Segoe UI"/>
      <w:sz w:val="18"/>
      <w:szCs w:val="18"/>
      <w:lang w:val="en-GB"/>
    </w:rPr>
  </w:style>
  <w:style w:type="paragraph" w:styleId="Redaktsioon">
    <w:name w:val="Revision"/>
    <w:hidden/>
    <w:uiPriority w:val="99"/>
    <w:semiHidden/>
    <w:rsid w:val="00D55DBD"/>
    <w:pPr>
      <w:spacing w:after="0" w:line="240" w:lineRule="auto"/>
    </w:pPr>
    <w:rPr>
      <w:lang w:val="en-GB"/>
    </w:rPr>
  </w:style>
  <w:style w:type="paragraph" w:customStyle="1" w:styleId="Default">
    <w:name w:val="Default"/>
    <w:rsid w:val="00901C72"/>
    <w:pPr>
      <w:autoSpaceDE w:val="0"/>
      <w:autoSpaceDN w:val="0"/>
      <w:adjustRightInd w:val="0"/>
      <w:spacing w:after="0" w:line="240" w:lineRule="auto"/>
    </w:pPr>
    <w:rPr>
      <w:rFonts w:ascii="Calibri" w:hAnsi="Calibri" w:cs="Calibri"/>
      <w:color w:val="000000"/>
      <w:sz w:val="24"/>
      <w:szCs w:val="24"/>
    </w:rPr>
  </w:style>
  <w:style w:type="paragraph" w:styleId="Kehatekst">
    <w:name w:val="Body Text"/>
    <w:basedOn w:val="Normaallaad"/>
    <w:link w:val="KehatekstMrk"/>
    <w:rsid w:val="00482CB3"/>
    <w:pPr>
      <w:spacing w:after="120" w:line="250" w:lineRule="exact"/>
    </w:pPr>
    <w:rPr>
      <w:rFonts w:ascii="Arial" w:eastAsia="Times New Roman" w:hAnsi="Arial" w:cs="Times New Roman"/>
      <w:sz w:val="21"/>
      <w:szCs w:val="24"/>
      <w:lang w:val="de-DE" w:eastAsia="de-DE"/>
    </w:rPr>
  </w:style>
  <w:style w:type="character" w:customStyle="1" w:styleId="KehatekstMrk">
    <w:name w:val="Kehatekst Märk"/>
    <w:basedOn w:val="Liguvaikefont"/>
    <w:link w:val="Kehatekst"/>
    <w:rsid w:val="00482CB3"/>
    <w:rPr>
      <w:rFonts w:ascii="Arial" w:eastAsia="Times New Roman" w:hAnsi="Arial" w:cs="Times New Roman"/>
      <w:sz w:val="21"/>
      <w:szCs w:val="24"/>
      <w:lang w:val="de-DE" w:eastAsia="de-DE"/>
    </w:rPr>
  </w:style>
  <w:style w:type="character" w:customStyle="1" w:styleId="cf01">
    <w:name w:val="cf01"/>
    <w:basedOn w:val="Liguvaikefont"/>
    <w:rsid w:val="00CB4BBB"/>
    <w:rPr>
      <w:rFonts w:ascii="Segoe UI" w:hAnsi="Segoe UI" w:cs="Segoe UI" w:hint="default"/>
      <w:sz w:val="18"/>
      <w:szCs w:val="18"/>
    </w:rPr>
  </w:style>
  <w:style w:type="paragraph" w:customStyle="1" w:styleId="paragraph">
    <w:name w:val="paragraph"/>
    <w:basedOn w:val="Normaallaad"/>
    <w:rsid w:val="00157E35"/>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Liguvaikefont"/>
    <w:rsid w:val="00157E35"/>
  </w:style>
  <w:style w:type="character" w:customStyle="1" w:styleId="Pealkiri2Mrk">
    <w:name w:val="Pealkiri 2 Märk"/>
    <w:basedOn w:val="Liguvaikefont"/>
    <w:link w:val="Pealkiri2"/>
    <w:uiPriority w:val="9"/>
    <w:rsid w:val="00F91882"/>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Pealkiri1Mrk">
    <w:name w:val="Pealkiri 1 Märk"/>
    <w:basedOn w:val="Liguvaikefont"/>
    <w:link w:val="Pealkiri1"/>
    <w:uiPriority w:val="9"/>
    <w:rsid w:val="00B906AA"/>
    <w:rPr>
      <w:rFonts w:asciiTheme="majorHAnsi" w:eastAsiaTheme="majorEastAsia" w:hAnsiTheme="majorHAnsi" w:cstheme="majorBidi"/>
      <w:color w:val="2F5496" w:themeColor="accent1" w:themeShade="BF"/>
      <w:kern w:val="2"/>
      <w:sz w:val="32"/>
      <w:szCs w:val="32"/>
      <w14:ligatures w14:val="standardContextual"/>
    </w:rPr>
  </w:style>
  <w:style w:type="paragraph" w:styleId="Sisukorrapealkiri">
    <w:name w:val="TOC Heading"/>
    <w:basedOn w:val="Pealkiri1"/>
    <w:next w:val="Normaallaad"/>
    <w:uiPriority w:val="39"/>
    <w:unhideWhenUsed/>
    <w:qFormat/>
    <w:rsid w:val="00553A31"/>
    <w:pPr>
      <w:outlineLvl w:val="9"/>
    </w:pPr>
    <w:rPr>
      <w:kern w:val="0"/>
      <w14:ligatures w14:val="none"/>
    </w:rPr>
  </w:style>
  <w:style w:type="paragraph" w:styleId="SK2">
    <w:name w:val="toc 2"/>
    <w:basedOn w:val="Normaallaad"/>
    <w:next w:val="Normaallaad"/>
    <w:autoRedefine/>
    <w:uiPriority w:val="39"/>
    <w:unhideWhenUsed/>
    <w:rsid w:val="00931997"/>
    <w:pPr>
      <w:spacing w:after="100"/>
      <w:ind w:left="216"/>
    </w:pPr>
  </w:style>
  <w:style w:type="character" w:styleId="Hperlink">
    <w:name w:val="Hyperlink"/>
    <w:basedOn w:val="Liguvaikefont"/>
    <w:uiPriority w:val="99"/>
    <w:unhideWhenUsed/>
    <w:rsid w:val="00553A31"/>
    <w:rPr>
      <w:color w:val="0563C1" w:themeColor="hyperlink"/>
      <w:u w:val="single"/>
    </w:rPr>
  </w:style>
  <w:style w:type="paragraph" w:styleId="SK1">
    <w:name w:val="toc 1"/>
    <w:basedOn w:val="Normaallaad"/>
    <w:next w:val="Normaallaad"/>
    <w:autoRedefine/>
    <w:uiPriority w:val="39"/>
    <w:unhideWhenUsed/>
    <w:rsid w:val="00213346"/>
    <w:pPr>
      <w:spacing w:after="100"/>
    </w:pPr>
    <w:rPr>
      <w:rFonts w:eastAsiaTheme="minorEastAsia" w:cs="Times New Roman"/>
      <w:kern w:val="0"/>
      <w14:ligatures w14:val="none"/>
    </w:rPr>
  </w:style>
  <w:style w:type="paragraph" w:styleId="SK3">
    <w:name w:val="toc 3"/>
    <w:basedOn w:val="Normaallaad"/>
    <w:next w:val="Normaallaad"/>
    <w:autoRedefine/>
    <w:uiPriority w:val="39"/>
    <w:unhideWhenUsed/>
    <w:rsid w:val="008A4503"/>
    <w:pPr>
      <w:tabs>
        <w:tab w:val="left" w:pos="0"/>
        <w:tab w:val="right" w:leader="dot" w:pos="9350"/>
      </w:tabs>
      <w:spacing w:after="100"/>
      <w:jc w:val="both"/>
    </w:pPr>
    <w:rPr>
      <w:rFonts w:eastAsiaTheme="minorEastAsia" w:cs="Times New Roman"/>
      <w:b/>
      <w:bCs/>
      <w:color w:val="C00000"/>
      <w:kern w:val="0"/>
      <w:sz w:val="24"/>
      <w:szCs w:val="24"/>
      <w14:ligatures w14:val="none"/>
    </w:rPr>
  </w:style>
  <w:style w:type="paragraph" w:styleId="Allmrkusetekst">
    <w:name w:val="footnote text"/>
    <w:basedOn w:val="Normaallaad"/>
    <w:link w:val="AllmrkusetekstMrk"/>
    <w:uiPriority w:val="99"/>
    <w:semiHidden/>
    <w:unhideWhenUsed/>
    <w:rsid w:val="00524453"/>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24453"/>
    <w:rPr>
      <w:kern w:val="2"/>
      <w:sz w:val="20"/>
      <w:szCs w:val="20"/>
      <w14:ligatures w14:val="standardContextual"/>
    </w:rPr>
  </w:style>
  <w:style w:type="character" w:styleId="Klastatudhperlink">
    <w:name w:val="FollowedHyperlink"/>
    <w:basedOn w:val="Liguvaikefont"/>
    <w:uiPriority w:val="99"/>
    <w:semiHidden/>
    <w:unhideWhenUsed/>
    <w:rsid w:val="00817D2C"/>
    <w:rPr>
      <w:color w:val="954F72" w:themeColor="followedHyperlink"/>
      <w:u w:val="single"/>
    </w:rPr>
  </w:style>
  <w:style w:type="paragraph" w:styleId="Alapealkiri">
    <w:name w:val="Subtitle"/>
    <w:basedOn w:val="Normaallaad"/>
    <w:next w:val="Normaallaad"/>
    <w:link w:val="AlapealkiriMrk"/>
    <w:uiPriority w:val="11"/>
    <w:qFormat/>
    <w:rsid w:val="002761AE"/>
    <w:pPr>
      <w:numPr>
        <w:ilvl w:val="1"/>
      </w:numPr>
    </w:pPr>
    <w:rPr>
      <w:rFonts w:eastAsiaTheme="minorEastAsia"/>
      <w:color w:val="5A5A5A" w:themeColor="text1" w:themeTint="A5"/>
      <w:spacing w:val="15"/>
    </w:rPr>
  </w:style>
  <w:style w:type="character" w:customStyle="1" w:styleId="AlapealkiriMrk">
    <w:name w:val="Alapealkiri Märk"/>
    <w:basedOn w:val="Liguvaikefont"/>
    <w:link w:val="Alapealkiri"/>
    <w:uiPriority w:val="11"/>
    <w:rsid w:val="002761AE"/>
    <w:rPr>
      <w:rFonts w:eastAsiaTheme="minorEastAsia"/>
      <w:color w:val="5A5A5A" w:themeColor="text1" w:themeTint="A5"/>
      <w:spacing w:val="15"/>
      <w:kern w:val="2"/>
      <w14:ligatures w14:val="standardContextual"/>
    </w:rPr>
  </w:style>
  <w:style w:type="character" w:customStyle="1" w:styleId="Pealkiri4Mrk">
    <w:name w:val="Pealkiri 4 Märk"/>
    <w:basedOn w:val="Liguvaikefont"/>
    <w:link w:val="Pealkiri4"/>
    <w:uiPriority w:val="9"/>
    <w:rsid w:val="002761AE"/>
    <w:rPr>
      <w:rFonts w:asciiTheme="majorHAnsi" w:eastAsiaTheme="majorEastAsia" w:hAnsiTheme="majorHAnsi" w:cstheme="majorBidi"/>
      <w:i/>
      <w:iCs/>
      <w:color w:val="2F5496" w:themeColor="accent1" w:themeShade="BF"/>
      <w:kern w:val="2"/>
      <w14:ligatures w14:val="standardContextual"/>
    </w:rPr>
  </w:style>
  <w:style w:type="character" w:styleId="Reanumber">
    <w:name w:val="line number"/>
    <w:basedOn w:val="Liguvaikefont"/>
    <w:uiPriority w:val="99"/>
    <w:semiHidden/>
    <w:unhideWhenUsed/>
    <w:rsid w:val="004B728B"/>
  </w:style>
  <w:style w:type="paragraph" w:styleId="SK4">
    <w:name w:val="toc 4"/>
    <w:basedOn w:val="Normaallaad"/>
    <w:next w:val="Normaallaad"/>
    <w:autoRedefine/>
    <w:uiPriority w:val="39"/>
    <w:unhideWhenUsed/>
    <w:rsid w:val="009F4BDC"/>
    <w:pPr>
      <w:spacing w:after="100" w:line="278" w:lineRule="auto"/>
      <w:ind w:left="720"/>
    </w:pPr>
    <w:rPr>
      <w:rFonts w:eastAsiaTheme="minorEastAsia"/>
      <w:sz w:val="24"/>
      <w:szCs w:val="24"/>
    </w:rPr>
  </w:style>
  <w:style w:type="paragraph" w:styleId="SK5">
    <w:name w:val="toc 5"/>
    <w:basedOn w:val="Normaallaad"/>
    <w:next w:val="Normaallaad"/>
    <w:autoRedefine/>
    <w:uiPriority w:val="39"/>
    <w:unhideWhenUsed/>
    <w:rsid w:val="009F4BDC"/>
    <w:pPr>
      <w:spacing w:after="100" w:line="278" w:lineRule="auto"/>
      <w:ind w:left="960"/>
    </w:pPr>
    <w:rPr>
      <w:rFonts w:eastAsiaTheme="minorEastAsia"/>
      <w:sz w:val="24"/>
      <w:szCs w:val="24"/>
    </w:rPr>
  </w:style>
  <w:style w:type="paragraph" w:styleId="SK6">
    <w:name w:val="toc 6"/>
    <w:basedOn w:val="Normaallaad"/>
    <w:next w:val="Normaallaad"/>
    <w:autoRedefine/>
    <w:uiPriority w:val="39"/>
    <w:unhideWhenUsed/>
    <w:rsid w:val="009F4BDC"/>
    <w:pPr>
      <w:spacing w:after="100" w:line="278" w:lineRule="auto"/>
      <w:ind w:left="1200"/>
    </w:pPr>
    <w:rPr>
      <w:rFonts w:eastAsiaTheme="minorEastAsia"/>
      <w:sz w:val="24"/>
      <w:szCs w:val="24"/>
    </w:rPr>
  </w:style>
  <w:style w:type="paragraph" w:styleId="SK7">
    <w:name w:val="toc 7"/>
    <w:basedOn w:val="Normaallaad"/>
    <w:next w:val="Normaallaad"/>
    <w:autoRedefine/>
    <w:uiPriority w:val="39"/>
    <w:unhideWhenUsed/>
    <w:rsid w:val="009F4BDC"/>
    <w:pPr>
      <w:spacing w:after="100" w:line="278" w:lineRule="auto"/>
      <w:ind w:left="1440"/>
    </w:pPr>
    <w:rPr>
      <w:rFonts w:eastAsiaTheme="minorEastAsia"/>
      <w:sz w:val="24"/>
      <w:szCs w:val="24"/>
    </w:rPr>
  </w:style>
  <w:style w:type="paragraph" w:styleId="SK8">
    <w:name w:val="toc 8"/>
    <w:basedOn w:val="Normaallaad"/>
    <w:next w:val="Normaallaad"/>
    <w:autoRedefine/>
    <w:uiPriority w:val="39"/>
    <w:unhideWhenUsed/>
    <w:rsid w:val="009F4BDC"/>
    <w:pPr>
      <w:spacing w:after="100" w:line="278" w:lineRule="auto"/>
      <w:ind w:left="1680"/>
    </w:pPr>
    <w:rPr>
      <w:rFonts w:eastAsiaTheme="minorEastAsia"/>
      <w:sz w:val="24"/>
      <w:szCs w:val="24"/>
    </w:rPr>
  </w:style>
  <w:style w:type="paragraph" w:styleId="SK9">
    <w:name w:val="toc 9"/>
    <w:basedOn w:val="Normaallaad"/>
    <w:next w:val="Normaallaad"/>
    <w:autoRedefine/>
    <w:uiPriority w:val="39"/>
    <w:unhideWhenUsed/>
    <w:rsid w:val="009F4BDC"/>
    <w:pPr>
      <w:spacing w:after="100" w:line="278" w:lineRule="auto"/>
      <w:ind w:left="1920"/>
    </w:pPr>
    <w:rPr>
      <w:rFonts w:eastAsiaTheme="minorEastAsia"/>
      <w:sz w:val="24"/>
      <w:szCs w:val="24"/>
    </w:rPr>
  </w:style>
  <w:style w:type="character" w:styleId="Lahendamatamainimine">
    <w:name w:val="Unresolved Mention"/>
    <w:basedOn w:val="Liguvaikefont"/>
    <w:uiPriority w:val="99"/>
    <w:semiHidden/>
    <w:unhideWhenUsed/>
    <w:rsid w:val="009F4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5240">
      <w:bodyDiv w:val="1"/>
      <w:marLeft w:val="0"/>
      <w:marRight w:val="0"/>
      <w:marTop w:val="0"/>
      <w:marBottom w:val="0"/>
      <w:divBdr>
        <w:top w:val="none" w:sz="0" w:space="0" w:color="auto"/>
        <w:left w:val="none" w:sz="0" w:space="0" w:color="auto"/>
        <w:bottom w:val="none" w:sz="0" w:space="0" w:color="auto"/>
        <w:right w:val="none" w:sz="0" w:space="0" w:color="auto"/>
      </w:divBdr>
    </w:div>
    <w:div w:id="431169251">
      <w:bodyDiv w:val="1"/>
      <w:marLeft w:val="0"/>
      <w:marRight w:val="0"/>
      <w:marTop w:val="0"/>
      <w:marBottom w:val="0"/>
      <w:divBdr>
        <w:top w:val="none" w:sz="0" w:space="0" w:color="auto"/>
        <w:left w:val="none" w:sz="0" w:space="0" w:color="auto"/>
        <w:bottom w:val="none" w:sz="0" w:space="0" w:color="auto"/>
        <w:right w:val="none" w:sz="0" w:space="0" w:color="auto"/>
      </w:divBdr>
    </w:div>
    <w:div w:id="549922751">
      <w:bodyDiv w:val="1"/>
      <w:marLeft w:val="0"/>
      <w:marRight w:val="0"/>
      <w:marTop w:val="0"/>
      <w:marBottom w:val="0"/>
      <w:divBdr>
        <w:top w:val="none" w:sz="0" w:space="0" w:color="auto"/>
        <w:left w:val="none" w:sz="0" w:space="0" w:color="auto"/>
        <w:bottom w:val="none" w:sz="0" w:space="0" w:color="auto"/>
        <w:right w:val="none" w:sz="0" w:space="0" w:color="auto"/>
      </w:divBdr>
    </w:div>
    <w:div w:id="991103161">
      <w:bodyDiv w:val="1"/>
      <w:marLeft w:val="0"/>
      <w:marRight w:val="0"/>
      <w:marTop w:val="0"/>
      <w:marBottom w:val="0"/>
      <w:divBdr>
        <w:top w:val="none" w:sz="0" w:space="0" w:color="auto"/>
        <w:left w:val="none" w:sz="0" w:space="0" w:color="auto"/>
        <w:bottom w:val="none" w:sz="0" w:space="0" w:color="auto"/>
        <w:right w:val="none" w:sz="0" w:space="0" w:color="auto"/>
      </w:divBdr>
    </w:div>
    <w:div w:id="1019042991">
      <w:bodyDiv w:val="1"/>
      <w:marLeft w:val="0"/>
      <w:marRight w:val="0"/>
      <w:marTop w:val="0"/>
      <w:marBottom w:val="0"/>
      <w:divBdr>
        <w:top w:val="none" w:sz="0" w:space="0" w:color="auto"/>
        <w:left w:val="none" w:sz="0" w:space="0" w:color="auto"/>
        <w:bottom w:val="none" w:sz="0" w:space="0" w:color="auto"/>
        <w:right w:val="none" w:sz="0" w:space="0" w:color="auto"/>
      </w:divBdr>
    </w:div>
    <w:div w:id="1407848134">
      <w:bodyDiv w:val="1"/>
      <w:marLeft w:val="0"/>
      <w:marRight w:val="0"/>
      <w:marTop w:val="0"/>
      <w:marBottom w:val="0"/>
      <w:divBdr>
        <w:top w:val="none" w:sz="0" w:space="0" w:color="auto"/>
        <w:left w:val="none" w:sz="0" w:space="0" w:color="auto"/>
        <w:bottom w:val="none" w:sz="0" w:space="0" w:color="auto"/>
        <w:right w:val="none" w:sz="0" w:space="0" w:color="auto"/>
      </w:divBdr>
    </w:div>
    <w:div w:id="1662931089">
      <w:bodyDiv w:val="1"/>
      <w:marLeft w:val="0"/>
      <w:marRight w:val="0"/>
      <w:marTop w:val="0"/>
      <w:marBottom w:val="0"/>
      <w:divBdr>
        <w:top w:val="none" w:sz="0" w:space="0" w:color="auto"/>
        <w:left w:val="none" w:sz="0" w:space="0" w:color="auto"/>
        <w:bottom w:val="none" w:sz="0" w:space="0" w:color="auto"/>
        <w:right w:val="none" w:sz="0" w:space="0" w:color="auto"/>
      </w:divBdr>
    </w:div>
    <w:div w:id="16968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microsoft.com/office/2018/08/relationships/commentsExtensible" Target="commentsExtensible.xml"/><Relationship Id="rId26"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diagramLayout" Target="diagrams/layout2.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diagramLayout" Target="diagrams/layout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PDF/?uri=CELEX:32023R2055" TargetMode="External"/><Relationship Id="rId24" Type="http://schemas.openxmlformats.org/officeDocument/2006/relationships/diagramData" Target="diagrams/data2.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image" Target="media/image4.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EE711C-BAE3-43F0-AB18-0591BE0E8FDD}" type="doc">
      <dgm:prSet loTypeId="urn:microsoft.com/office/officeart/2005/8/layout/hProcess11" loCatId="process" qsTypeId="urn:microsoft.com/office/officeart/2005/8/quickstyle/simple1" qsCatId="simple" csTypeId="urn:microsoft.com/office/officeart/2005/8/colors/accent1_2" csCatId="accent1" phldr="1"/>
      <dgm:spPr/>
    </dgm:pt>
    <dgm:pt modelId="{591ADF04-4B15-4651-9375-D912892AE130}">
      <dgm:prSet phldrT="[Text]" custT="1"/>
      <dgm:spPr/>
      <dgm:t>
        <a:bodyPr/>
        <a:lstStyle/>
        <a:p>
          <a:r>
            <a:rPr lang="en-US" sz="1600" b="1" i="0" baseline="0">
              <a:latin typeface="Calibri" panose="020F0502020204030204" pitchFamily="34" charset="0"/>
            </a:rPr>
            <a:t>Starting from </a:t>
          </a:r>
        </a:p>
        <a:p>
          <a:r>
            <a:rPr lang="en-US" sz="1600" b="1" i="0" baseline="0">
              <a:latin typeface="Calibri" panose="020F0502020204030204" pitchFamily="34" charset="0"/>
            </a:rPr>
            <a:t>17 October 2025</a:t>
          </a:r>
        </a:p>
        <a:p>
          <a:r>
            <a:rPr lang="en-US" sz="1600" b="1" i="0" baseline="0">
              <a:latin typeface="Calibri" panose="020F0502020204030204" pitchFamily="34" charset="0"/>
            </a:rPr>
            <a:t> </a:t>
          </a:r>
          <a:r>
            <a:rPr lang="en-US" sz="1100" b="0" i="0" baseline="0">
              <a:latin typeface="Calibri" panose="020F0502020204030204" pitchFamily="34" charset="0"/>
            </a:rPr>
            <a:t>Suppliers of SPM referred to in paragraph 4a shall provide the following information: instructions for use and disposal explaining to industrial downstream users; the information on quantity; generic information on the identity of the polymers contained in the substance or mixture </a:t>
          </a:r>
          <a:endParaRPr lang="en-BE" sz="1100" b="0" i="0" baseline="0">
            <a:latin typeface="Calibri" panose="020F0502020204030204" pitchFamily="34" charset="0"/>
          </a:endParaRPr>
        </a:p>
      </dgm:t>
    </dgm:pt>
    <dgm:pt modelId="{A44E1B1F-CB03-4E33-8A1E-0287C29CFCB7}" type="parTrans" cxnId="{66A07C80-181B-4460-94A5-3BB042A303FE}">
      <dgm:prSet/>
      <dgm:spPr/>
      <dgm:t>
        <a:bodyPr/>
        <a:lstStyle/>
        <a:p>
          <a:endParaRPr lang="en-BE" sz="2600" b="1" i="0" baseline="0">
            <a:latin typeface="Calibri" panose="020F0502020204030204" pitchFamily="34" charset="0"/>
          </a:endParaRPr>
        </a:p>
      </dgm:t>
    </dgm:pt>
    <dgm:pt modelId="{66542F0A-D432-4F79-B01C-4C2BFB464B50}" type="sibTrans" cxnId="{66A07C80-181B-4460-94A5-3BB042A303FE}">
      <dgm:prSet/>
      <dgm:spPr/>
      <dgm:t>
        <a:bodyPr/>
        <a:lstStyle/>
        <a:p>
          <a:endParaRPr lang="en-BE" sz="2600" b="1" i="0" baseline="0">
            <a:latin typeface="Calibri" panose="020F0502020204030204" pitchFamily="34" charset="0"/>
          </a:endParaRPr>
        </a:p>
      </dgm:t>
    </dgm:pt>
    <dgm:pt modelId="{E7E60966-6F62-4661-BB1A-C72909C90026}">
      <dgm:prSet phldrT="[Text]" custT="1"/>
      <dgm:spPr/>
      <dgm:t>
        <a:bodyPr/>
        <a:lstStyle/>
        <a:p>
          <a:r>
            <a:rPr lang="en-US" sz="1600" b="1" i="0" baseline="0">
              <a:latin typeface="Calibri" panose="020F0502020204030204" pitchFamily="34" charset="0"/>
            </a:rPr>
            <a:t>Starting from </a:t>
          </a:r>
        </a:p>
        <a:p>
          <a:r>
            <a:rPr lang="en-US" sz="1600" b="1" i="0" baseline="0">
              <a:latin typeface="Calibri" panose="020F0502020204030204" pitchFamily="34" charset="0"/>
            </a:rPr>
            <a:t>17 October 2026</a:t>
          </a:r>
        </a:p>
        <a:p>
          <a:r>
            <a:rPr lang="en-US" sz="1100" b="0" i="0" baseline="0">
              <a:latin typeface="Calibri" panose="020F0502020204030204" pitchFamily="34" charset="0"/>
            </a:rPr>
            <a:t>The suppliers of products containing SPM referred to in paragraph 4e shall provide instructions for use and disposal explaining to professional users and the general public how to prevent releases of synthetic polymer microparticles</a:t>
          </a:r>
          <a:endParaRPr lang="en-BE" sz="1100" b="0" i="0" baseline="0">
            <a:latin typeface="Calibri" panose="020F0502020204030204" pitchFamily="34" charset="0"/>
          </a:endParaRPr>
        </a:p>
      </dgm:t>
    </dgm:pt>
    <dgm:pt modelId="{2313EC7B-40BA-4EB1-9D90-AEE37D989799}" type="parTrans" cxnId="{90C90DDA-A2E7-402A-8C83-8E8ED8A69492}">
      <dgm:prSet/>
      <dgm:spPr/>
      <dgm:t>
        <a:bodyPr/>
        <a:lstStyle/>
        <a:p>
          <a:endParaRPr lang="en-BE" sz="2600" b="1" i="0" baseline="0">
            <a:latin typeface="Calibri" panose="020F0502020204030204" pitchFamily="34" charset="0"/>
          </a:endParaRPr>
        </a:p>
      </dgm:t>
    </dgm:pt>
    <dgm:pt modelId="{2C379EC4-A842-41DE-9C7C-C77E18364EC6}" type="sibTrans" cxnId="{90C90DDA-A2E7-402A-8C83-8E8ED8A69492}">
      <dgm:prSet/>
      <dgm:spPr/>
      <dgm:t>
        <a:bodyPr/>
        <a:lstStyle/>
        <a:p>
          <a:endParaRPr lang="en-BE" sz="2600" b="1" i="0" baseline="0">
            <a:latin typeface="Calibri" panose="020F0502020204030204" pitchFamily="34" charset="0"/>
          </a:endParaRPr>
        </a:p>
      </dgm:t>
    </dgm:pt>
    <dgm:pt modelId="{948BCB4B-790E-433A-BBF6-37D3F403EE53}">
      <dgm:prSet phldrT="[Text]" custT="1"/>
      <dgm:spPr/>
      <dgm:t>
        <a:bodyPr/>
        <a:lstStyle/>
        <a:p>
          <a:r>
            <a:rPr lang="en-US" sz="1600" b="1" i="0" baseline="0">
              <a:latin typeface="Calibri" panose="020F0502020204030204" pitchFamily="34" charset="0"/>
            </a:rPr>
            <a:t>Starting from</a:t>
          </a:r>
        </a:p>
        <a:p>
          <a:r>
            <a:rPr lang="en-US" sz="1600" b="1" i="0" baseline="0">
              <a:latin typeface="Calibri" panose="020F0502020204030204" pitchFamily="34" charset="0"/>
            </a:rPr>
            <a:t>17 October 2031 </a:t>
          </a:r>
        </a:p>
        <a:p>
          <a:r>
            <a:rPr lang="en-US" sz="1100" b="0" i="0" baseline="0">
              <a:latin typeface="Calibri" panose="020F0502020204030204" pitchFamily="34" charset="0"/>
              <a:ea typeface="Calibri" panose="020F0502020204030204" pitchFamily="34" charset="0"/>
              <a:cs typeface="Calibri" panose="020F0502020204030204" pitchFamily="34" charset="0"/>
            </a:rPr>
            <a:t>From 17 October 2031 until 16 October 2035 suppliers of products (paragraph 6c) containing SPM shall provide the statement ''This product contains microplastics''</a:t>
          </a:r>
          <a:endParaRPr lang="en-BE" sz="1100" b="0" i="0" baseline="0">
            <a:latin typeface="Calibri" panose="020F0502020204030204" pitchFamily="34" charset="0"/>
            <a:ea typeface="Calibri" panose="020F0502020204030204" pitchFamily="34" charset="0"/>
            <a:cs typeface="Calibri" panose="020F0502020204030204" pitchFamily="34" charset="0"/>
          </a:endParaRPr>
        </a:p>
      </dgm:t>
    </dgm:pt>
    <dgm:pt modelId="{D834810C-E400-49F0-91C3-8415A00D6CF9}" type="sibTrans" cxnId="{F05F2EA2-9CA1-4847-82FB-E935A14ED762}">
      <dgm:prSet/>
      <dgm:spPr/>
      <dgm:t>
        <a:bodyPr/>
        <a:lstStyle/>
        <a:p>
          <a:endParaRPr lang="en-BE" sz="2600" b="1" i="0" baseline="0">
            <a:latin typeface="Calibri" panose="020F0502020204030204" pitchFamily="34" charset="0"/>
          </a:endParaRPr>
        </a:p>
      </dgm:t>
    </dgm:pt>
    <dgm:pt modelId="{5CA2BFA7-0499-4433-9471-1B0E1B6D0DC8}" type="parTrans" cxnId="{F05F2EA2-9CA1-4847-82FB-E935A14ED762}">
      <dgm:prSet/>
      <dgm:spPr/>
      <dgm:t>
        <a:bodyPr/>
        <a:lstStyle/>
        <a:p>
          <a:endParaRPr lang="en-BE" sz="2600" b="1" i="0" baseline="0">
            <a:latin typeface="Calibri" panose="020F0502020204030204" pitchFamily="34" charset="0"/>
          </a:endParaRPr>
        </a:p>
      </dgm:t>
    </dgm:pt>
    <dgm:pt modelId="{D738343F-7664-4C92-AE68-162B927CC315}" type="pres">
      <dgm:prSet presAssocID="{08EE711C-BAE3-43F0-AB18-0591BE0E8FDD}" presName="Name0" presStyleCnt="0">
        <dgm:presLayoutVars>
          <dgm:dir/>
          <dgm:resizeHandles val="exact"/>
        </dgm:presLayoutVars>
      </dgm:prSet>
      <dgm:spPr/>
    </dgm:pt>
    <dgm:pt modelId="{C86F16EB-CE5C-401B-8A84-9AE628A878A6}" type="pres">
      <dgm:prSet presAssocID="{08EE711C-BAE3-43F0-AB18-0591BE0E8FDD}" presName="arrow" presStyleLbl="bgShp" presStyleIdx="0" presStyleCnt="1" custFlipVert="1" custScaleX="84511" custScaleY="36412" custLinFactNeighborX="-7288" custLinFactNeighborY="7090"/>
      <dgm:spPr/>
    </dgm:pt>
    <dgm:pt modelId="{35ED020B-656C-4878-B0A2-EDA574B830F1}" type="pres">
      <dgm:prSet presAssocID="{08EE711C-BAE3-43F0-AB18-0591BE0E8FDD}" presName="points" presStyleCnt="0"/>
      <dgm:spPr/>
    </dgm:pt>
    <dgm:pt modelId="{47397E65-BF69-40BA-A236-9A264A426930}" type="pres">
      <dgm:prSet presAssocID="{591ADF04-4B15-4651-9375-D912892AE130}" presName="compositeA" presStyleCnt="0"/>
      <dgm:spPr/>
    </dgm:pt>
    <dgm:pt modelId="{D4FBCB36-DD89-4D4F-AC5E-414150F2A959}" type="pres">
      <dgm:prSet presAssocID="{591ADF04-4B15-4651-9375-D912892AE130}" presName="textA" presStyleLbl="revTx" presStyleIdx="0" presStyleCnt="3" custScaleX="172781" custScaleY="67267" custLinFactNeighborX="-1089" custLinFactNeighborY="36222">
        <dgm:presLayoutVars>
          <dgm:bulletEnabled val="1"/>
        </dgm:presLayoutVars>
      </dgm:prSet>
      <dgm:spPr/>
    </dgm:pt>
    <dgm:pt modelId="{10C90922-899D-4F03-B074-1F112509D6C5}" type="pres">
      <dgm:prSet presAssocID="{591ADF04-4B15-4651-9375-D912892AE130}" presName="circleA" presStyleLbl="node1" presStyleIdx="0" presStyleCnt="3" custScaleX="90452" custScaleY="50996" custLinFactX="-85762" custLinFactY="291221" custLinFactNeighborX="-100000" custLinFactNeighborY="300000"/>
      <dgm:spPr>
        <a:noFill/>
      </dgm:spPr>
    </dgm:pt>
    <dgm:pt modelId="{EE74FF95-B7C4-43D1-821F-C21D03653CCC}" type="pres">
      <dgm:prSet presAssocID="{591ADF04-4B15-4651-9375-D912892AE130}" presName="spaceA" presStyleCnt="0"/>
      <dgm:spPr/>
    </dgm:pt>
    <dgm:pt modelId="{302AF277-17A1-4DBE-960C-C7EEC9FE0DB3}" type="pres">
      <dgm:prSet presAssocID="{66542F0A-D432-4F79-B01C-4C2BFB464B50}" presName="space" presStyleCnt="0"/>
      <dgm:spPr/>
    </dgm:pt>
    <dgm:pt modelId="{625312EE-8C3B-4EC0-BC53-F5D7723BE518}" type="pres">
      <dgm:prSet presAssocID="{E7E60966-6F62-4661-BB1A-C72909C90026}" presName="compositeB" presStyleCnt="0"/>
      <dgm:spPr/>
    </dgm:pt>
    <dgm:pt modelId="{E02AA343-0AAD-47CD-A1F9-EE9730FCCC6D}" type="pres">
      <dgm:prSet presAssocID="{E7E60966-6F62-4661-BB1A-C72909C90026}" presName="textB" presStyleLbl="revTx" presStyleIdx="1" presStyleCnt="3" custScaleX="158824" custScaleY="106269" custLinFactY="-91858" custLinFactNeighborX="8611" custLinFactNeighborY="-100000">
        <dgm:presLayoutVars>
          <dgm:bulletEnabled val="1"/>
        </dgm:presLayoutVars>
      </dgm:prSet>
      <dgm:spPr/>
    </dgm:pt>
    <dgm:pt modelId="{5A6EDF4F-EA6F-487C-9969-2AB5E75142E9}" type="pres">
      <dgm:prSet presAssocID="{E7E60966-6F62-4661-BB1A-C72909C90026}" presName="circleB" presStyleLbl="node1" presStyleIdx="1" presStyleCnt="3" custLinFactX="-300000" custLinFactY="267729" custLinFactNeighborX="-395321" custLinFactNeighborY="300000"/>
      <dgm:spPr>
        <a:noFill/>
        <a:ln>
          <a:noFill/>
        </a:ln>
      </dgm:spPr>
    </dgm:pt>
    <dgm:pt modelId="{1DFAA49F-7B53-4270-959C-978156EF2A43}" type="pres">
      <dgm:prSet presAssocID="{E7E60966-6F62-4661-BB1A-C72909C90026}" presName="spaceB" presStyleCnt="0"/>
      <dgm:spPr/>
    </dgm:pt>
    <dgm:pt modelId="{11ADC4C4-5662-4965-9040-823649CF27DB}" type="pres">
      <dgm:prSet presAssocID="{2C379EC4-A842-41DE-9C7C-C77E18364EC6}" presName="space" presStyleCnt="0"/>
      <dgm:spPr/>
    </dgm:pt>
    <dgm:pt modelId="{C9AB1E8C-D306-4ECA-A6B4-6A857413BC15}" type="pres">
      <dgm:prSet presAssocID="{948BCB4B-790E-433A-BBF6-37D3F403EE53}" presName="compositeA" presStyleCnt="0"/>
      <dgm:spPr/>
    </dgm:pt>
    <dgm:pt modelId="{DB446EF3-6091-467D-9F84-36450FD53681}" type="pres">
      <dgm:prSet presAssocID="{948BCB4B-790E-433A-BBF6-37D3F403EE53}" presName="textA" presStyleLbl="revTx" presStyleIdx="2" presStyleCnt="3" custScaleX="181327" custScaleY="35609" custLinFactNeighborX="7592" custLinFactNeighborY="29370">
        <dgm:presLayoutVars>
          <dgm:bulletEnabled val="1"/>
        </dgm:presLayoutVars>
      </dgm:prSet>
      <dgm:spPr/>
    </dgm:pt>
    <dgm:pt modelId="{1F0B6239-D3AD-4077-9307-56089945CED8}" type="pres">
      <dgm:prSet presAssocID="{948BCB4B-790E-433A-BBF6-37D3F403EE53}" presName="circleA" presStyleLbl="node1" presStyleIdx="2" presStyleCnt="3" custScaleX="84479" custScaleY="80131" custLinFactNeighborX="2399" custLinFactNeighborY="92827"/>
      <dgm:spPr/>
    </dgm:pt>
    <dgm:pt modelId="{5DEB391E-780A-4D93-B730-1873A81DE30B}" type="pres">
      <dgm:prSet presAssocID="{948BCB4B-790E-433A-BBF6-37D3F403EE53}" presName="spaceA" presStyleCnt="0"/>
      <dgm:spPr/>
    </dgm:pt>
  </dgm:ptLst>
  <dgm:cxnLst>
    <dgm:cxn modelId="{446AD014-0245-4E30-AFE7-47E435DC6945}" type="presOf" srcId="{E7E60966-6F62-4661-BB1A-C72909C90026}" destId="{E02AA343-0AAD-47CD-A1F9-EE9730FCCC6D}" srcOrd="0" destOrd="0" presId="urn:microsoft.com/office/officeart/2005/8/layout/hProcess11"/>
    <dgm:cxn modelId="{66A07C80-181B-4460-94A5-3BB042A303FE}" srcId="{08EE711C-BAE3-43F0-AB18-0591BE0E8FDD}" destId="{591ADF04-4B15-4651-9375-D912892AE130}" srcOrd="0" destOrd="0" parTransId="{A44E1B1F-CB03-4E33-8A1E-0287C29CFCB7}" sibTransId="{66542F0A-D432-4F79-B01C-4C2BFB464B50}"/>
    <dgm:cxn modelId="{A03BB981-4AB2-4FA5-A833-8D707E9C893C}" type="presOf" srcId="{08EE711C-BAE3-43F0-AB18-0591BE0E8FDD}" destId="{D738343F-7664-4C92-AE68-162B927CC315}" srcOrd="0" destOrd="0" presId="urn:microsoft.com/office/officeart/2005/8/layout/hProcess11"/>
    <dgm:cxn modelId="{F05F2EA2-9CA1-4847-82FB-E935A14ED762}" srcId="{08EE711C-BAE3-43F0-AB18-0591BE0E8FDD}" destId="{948BCB4B-790E-433A-BBF6-37D3F403EE53}" srcOrd="2" destOrd="0" parTransId="{5CA2BFA7-0499-4433-9471-1B0E1B6D0DC8}" sibTransId="{D834810C-E400-49F0-91C3-8415A00D6CF9}"/>
    <dgm:cxn modelId="{AF3732BF-9B41-475F-9978-511C31354F72}" type="presOf" srcId="{591ADF04-4B15-4651-9375-D912892AE130}" destId="{D4FBCB36-DD89-4D4F-AC5E-414150F2A959}" srcOrd="0" destOrd="0" presId="urn:microsoft.com/office/officeart/2005/8/layout/hProcess11"/>
    <dgm:cxn modelId="{90C90DDA-A2E7-402A-8C83-8E8ED8A69492}" srcId="{08EE711C-BAE3-43F0-AB18-0591BE0E8FDD}" destId="{E7E60966-6F62-4661-BB1A-C72909C90026}" srcOrd="1" destOrd="0" parTransId="{2313EC7B-40BA-4EB1-9D90-AEE37D989799}" sibTransId="{2C379EC4-A842-41DE-9C7C-C77E18364EC6}"/>
    <dgm:cxn modelId="{291784EB-E9CD-4475-B31A-160F7919052C}" type="presOf" srcId="{948BCB4B-790E-433A-BBF6-37D3F403EE53}" destId="{DB446EF3-6091-467D-9F84-36450FD53681}" srcOrd="0" destOrd="0" presId="urn:microsoft.com/office/officeart/2005/8/layout/hProcess11"/>
    <dgm:cxn modelId="{AFE609D8-541C-48F9-8CC0-2093346972D9}" type="presParOf" srcId="{D738343F-7664-4C92-AE68-162B927CC315}" destId="{C86F16EB-CE5C-401B-8A84-9AE628A878A6}" srcOrd="0" destOrd="0" presId="urn:microsoft.com/office/officeart/2005/8/layout/hProcess11"/>
    <dgm:cxn modelId="{F36F04A9-75CC-4A7E-90B9-DAB48D05EED3}" type="presParOf" srcId="{D738343F-7664-4C92-AE68-162B927CC315}" destId="{35ED020B-656C-4878-B0A2-EDA574B830F1}" srcOrd="1" destOrd="0" presId="urn:microsoft.com/office/officeart/2005/8/layout/hProcess11"/>
    <dgm:cxn modelId="{93C7EE8F-918B-4C24-AE8E-102C51AA6867}" type="presParOf" srcId="{35ED020B-656C-4878-B0A2-EDA574B830F1}" destId="{47397E65-BF69-40BA-A236-9A264A426930}" srcOrd="0" destOrd="0" presId="urn:microsoft.com/office/officeart/2005/8/layout/hProcess11"/>
    <dgm:cxn modelId="{34ABA6D3-948F-4AC9-A54C-D2BD35C5E5EA}" type="presParOf" srcId="{47397E65-BF69-40BA-A236-9A264A426930}" destId="{D4FBCB36-DD89-4D4F-AC5E-414150F2A959}" srcOrd="0" destOrd="0" presId="urn:microsoft.com/office/officeart/2005/8/layout/hProcess11"/>
    <dgm:cxn modelId="{45C4CC14-5F15-4053-B832-D814276B48B4}" type="presParOf" srcId="{47397E65-BF69-40BA-A236-9A264A426930}" destId="{10C90922-899D-4F03-B074-1F112509D6C5}" srcOrd="1" destOrd="0" presId="urn:microsoft.com/office/officeart/2005/8/layout/hProcess11"/>
    <dgm:cxn modelId="{EC1C61EA-83C3-4A93-80D2-027564782E94}" type="presParOf" srcId="{47397E65-BF69-40BA-A236-9A264A426930}" destId="{EE74FF95-B7C4-43D1-821F-C21D03653CCC}" srcOrd="2" destOrd="0" presId="urn:microsoft.com/office/officeart/2005/8/layout/hProcess11"/>
    <dgm:cxn modelId="{8641E5A1-1992-49E3-812B-61E2F65B9E16}" type="presParOf" srcId="{35ED020B-656C-4878-B0A2-EDA574B830F1}" destId="{302AF277-17A1-4DBE-960C-C7EEC9FE0DB3}" srcOrd="1" destOrd="0" presId="urn:microsoft.com/office/officeart/2005/8/layout/hProcess11"/>
    <dgm:cxn modelId="{3D186EC4-C80B-41B2-BF07-B4845438C839}" type="presParOf" srcId="{35ED020B-656C-4878-B0A2-EDA574B830F1}" destId="{625312EE-8C3B-4EC0-BC53-F5D7723BE518}" srcOrd="2" destOrd="0" presId="urn:microsoft.com/office/officeart/2005/8/layout/hProcess11"/>
    <dgm:cxn modelId="{5DAF9A2C-1A67-4EAF-A928-E07D4A06BF52}" type="presParOf" srcId="{625312EE-8C3B-4EC0-BC53-F5D7723BE518}" destId="{E02AA343-0AAD-47CD-A1F9-EE9730FCCC6D}" srcOrd="0" destOrd="0" presId="urn:microsoft.com/office/officeart/2005/8/layout/hProcess11"/>
    <dgm:cxn modelId="{7D60969A-35F3-4DFD-A4FF-7106CC386E0F}" type="presParOf" srcId="{625312EE-8C3B-4EC0-BC53-F5D7723BE518}" destId="{5A6EDF4F-EA6F-487C-9969-2AB5E75142E9}" srcOrd="1" destOrd="0" presId="urn:microsoft.com/office/officeart/2005/8/layout/hProcess11"/>
    <dgm:cxn modelId="{69F0A9F3-2038-4D78-B48F-C43FDB1E7455}" type="presParOf" srcId="{625312EE-8C3B-4EC0-BC53-F5D7723BE518}" destId="{1DFAA49F-7B53-4270-959C-978156EF2A43}" srcOrd="2" destOrd="0" presId="urn:microsoft.com/office/officeart/2005/8/layout/hProcess11"/>
    <dgm:cxn modelId="{4B9BF8B7-D3CE-4A20-85EE-EB22ECD57082}" type="presParOf" srcId="{35ED020B-656C-4878-B0A2-EDA574B830F1}" destId="{11ADC4C4-5662-4965-9040-823649CF27DB}" srcOrd="3" destOrd="0" presId="urn:microsoft.com/office/officeart/2005/8/layout/hProcess11"/>
    <dgm:cxn modelId="{07E6387E-5C8B-4953-8DB5-58EEBE6B7D31}" type="presParOf" srcId="{35ED020B-656C-4878-B0A2-EDA574B830F1}" destId="{C9AB1E8C-D306-4ECA-A6B4-6A857413BC15}" srcOrd="4" destOrd="0" presId="urn:microsoft.com/office/officeart/2005/8/layout/hProcess11"/>
    <dgm:cxn modelId="{2619F15C-C944-4E0B-A19D-9B1455ED55DA}" type="presParOf" srcId="{C9AB1E8C-D306-4ECA-A6B4-6A857413BC15}" destId="{DB446EF3-6091-467D-9F84-36450FD53681}" srcOrd="0" destOrd="0" presId="urn:microsoft.com/office/officeart/2005/8/layout/hProcess11"/>
    <dgm:cxn modelId="{F57B2AD0-4EDB-41D2-ADAB-686B2A0F6EF4}" type="presParOf" srcId="{C9AB1E8C-D306-4ECA-A6B4-6A857413BC15}" destId="{1F0B6239-D3AD-4077-9307-56089945CED8}" srcOrd="1" destOrd="0" presId="urn:microsoft.com/office/officeart/2005/8/layout/hProcess11"/>
    <dgm:cxn modelId="{C96F49C0-88F1-461A-BB18-93ACD6F02B27}" type="presParOf" srcId="{C9AB1E8C-D306-4ECA-A6B4-6A857413BC15}" destId="{5DEB391E-780A-4D93-B730-1873A81DE30B}" srcOrd="2" destOrd="0" presId="urn:microsoft.com/office/officeart/2005/8/layout/hProcess1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069069-3D8C-494C-BB98-540847A17E78}" type="doc">
      <dgm:prSet loTypeId="urn:microsoft.com/office/officeart/2005/8/layout/hProcess11" loCatId="process" qsTypeId="urn:microsoft.com/office/officeart/2005/8/quickstyle/simple5" qsCatId="simple" csTypeId="urn:microsoft.com/office/officeart/2005/8/colors/accent1_2" csCatId="accent1" phldr="1"/>
      <dgm:spPr/>
    </dgm:pt>
    <dgm:pt modelId="{01E33500-BB49-446D-AE1B-ADBCC14C3A5F}">
      <dgm:prSet phldrT="[Text]"/>
      <dgm:spPr/>
      <dgm:t>
        <a:bodyPr/>
        <a:lstStyle/>
        <a:p>
          <a:pPr algn="ctr"/>
          <a:r>
            <a:rPr lang="en-US" b="1"/>
            <a:t>17 October 2027 </a:t>
          </a:r>
          <a:r>
            <a:rPr lang="en-US"/>
            <a:t>For Rinse-off products unless they contain SPM for use as an abrasive, i.e. namely exfoliate, polish or clean  (''microbeads'') Paragraph 6b</a:t>
          </a:r>
          <a:endParaRPr lang="en-BE"/>
        </a:p>
      </dgm:t>
    </dgm:pt>
    <dgm:pt modelId="{4E714EF5-7591-46A9-9C7E-C8AFF4F0C1F2}" type="parTrans" cxnId="{A767DF0F-BA22-4512-86C0-114DD9AEDCFF}">
      <dgm:prSet/>
      <dgm:spPr/>
      <dgm:t>
        <a:bodyPr/>
        <a:lstStyle/>
        <a:p>
          <a:pPr algn="ctr"/>
          <a:endParaRPr lang="en-BE"/>
        </a:p>
      </dgm:t>
    </dgm:pt>
    <dgm:pt modelId="{DE6A5D32-7E8A-4107-B596-0E2C76EED220}" type="sibTrans" cxnId="{A767DF0F-BA22-4512-86C0-114DD9AEDCFF}">
      <dgm:prSet/>
      <dgm:spPr/>
      <dgm:t>
        <a:bodyPr/>
        <a:lstStyle/>
        <a:p>
          <a:pPr algn="ctr"/>
          <a:endParaRPr lang="en-BE"/>
        </a:p>
      </dgm:t>
    </dgm:pt>
    <dgm:pt modelId="{0A23A782-9B5B-4EE7-A500-4FBB0CB255B1}">
      <dgm:prSet phldrT="[Text]"/>
      <dgm:spPr/>
      <dgm:t>
        <a:bodyPr/>
        <a:lstStyle/>
        <a:p>
          <a:pPr algn="ctr"/>
          <a:r>
            <a:rPr lang="en-US" b="1"/>
            <a:t>17 October 2031 </a:t>
          </a:r>
          <a:r>
            <a:rPr lang="en-US"/>
            <a:t>For plant protection products, biocidal products, and seeds treated with those products</a:t>
          </a:r>
          <a:endParaRPr lang="en-BE"/>
        </a:p>
      </dgm:t>
    </dgm:pt>
    <dgm:pt modelId="{1DDDBDD5-E216-470B-BB97-6A940BC8B6B7}" type="parTrans" cxnId="{3812F478-C290-42B3-B9B5-1D56C8225273}">
      <dgm:prSet/>
      <dgm:spPr/>
      <dgm:t>
        <a:bodyPr/>
        <a:lstStyle/>
        <a:p>
          <a:pPr algn="ctr"/>
          <a:endParaRPr lang="en-BE"/>
        </a:p>
      </dgm:t>
    </dgm:pt>
    <dgm:pt modelId="{32F49E07-60D4-4BD9-9DA6-1165882EB0B2}" type="sibTrans" cxnId="{3812F478-C290-42B3-B9B5-1D56C8225273}">
      <dgm:prSet/>
      <dgm:spPr/>
      <dgm:t>
        <a:bodyPr/>
        <a:lstStyle/>
        <a:p>
          <a:pPr algn="ctr"/>
          <a:endParaRPr lang="en-BE"/>
        </a:p>
      </dgm:t>
    </dgm:pt>
    <dgm:pt modelId="{60B60586-FB7F-4CFE-AAC0-3A0EA1905FCE}">
      <dgm:prSet phldrT="[Text]"/>
      <dgm:spPr/>
      <dgm:t>
        <a:bodyPr/>
        <a:lstStyle/>
        <a:p>
          <a:pPr algn="ctr"/>
          <a:r>
            <a:rPr lang="en-US" b="1"/>
            <a:t>17 October 2035 </a:t>
          </a:r>
          <a:r>
            <a:rPr lang="en-US"/>
            <a:t>For lip products, nail products unless these products contain microbeads</a:t>
          </a:r>
          <a:endParaRPr lang="en-BE"/>
        </a:p>
      </dgm:t>
    </dgm:pt>
    <dgm:pt modelId="{A3503730-BB4B-443C-8B43-AD5BDBC310AA}" type="parTrans" cxnId="{DF8F2943-7FDD-49CE-B619-732D4994B4EA}">
      <dgm:prSet/>
      <dgm:spPr/>
      <dgm:t>
        <a:bodyPr/>
        <a:lstStyle/>
        <a:p>
          <a:pPr algn="ctr"/>
          <a:endParaRPr lang="en-BE"/>
        </a:p>
      </dgm:t>
    </dgm:pt>
    <dgm:pt modelId="{E3BE60F5-98F8-42AD-BE22-3EB4C10328BF}" type="sibTrans" cxnId="{DF8F2943-7FDD-49CE-B619-732D4994B4EA}">
      <dgm:prSet/>
      <dgm:spPr/>
      <dgm:t>
        <a:bodyPr/>
        <a:lstStyle/>
        <a:p>
          <a:pPr algn="ctr"/>
          <a:endParaRPr lang="en-BE"/>
        </a:p>
      </dgm:t>
    </dgm:pt>
    <dgm:pt modelId="{A4C49312-DEF0-4306-B7EE-14634C742808}">
      <dgm:prSet phldrT="[Text]"/>
      <dgm:spPr/>
      <dgm:t>
        <a:bodyPr/>
        <a:lstStyle/>
        <a:p>
          <a:pPr algn="ctr"/>
          <a:r>
            <a:rPr lang="en-US" b="1"/>
            <a:t>17 October 2029 </a:t>
          </a:r>
          <a:r>
            <a:rPr lang="en-US"/>
            <a:t>For SPM used in encapsulation of fragrances, leave-on products (intended to stay in prolonged contact with skin, the hair or the mucous membranes, medical devicesnot containing microspheres Paragraph 6a</a:t>
          </a:r>
          <a:endParaRPr lang="en-BE"/>
        </a:p>
      </dgm:t>
    </dgm:pt>
    <dgm:pt modelId="{6B818A19-71BA-4538-9749-965A75EE10BE}" type="parTrans" cxnId="{19B2AE44-E6F2-4705-B6C9-279693304273}">
      <dgm:prSet/>
      <dgm:spPr/>
      <dgm:t>
        <a:bodyPr/>
        <a:lstStyle/>
        <a:p>
          <a:pPr algn="ctr"/>
          <a:endParaRPr lang="en-BE"/>
        </a:p>
      </dgm:t>
    </dgm:pt>
    <dgm:pt modelId="{44DA0562-62A3-4E3E-9619-8B8E3059877B}" type="sibTrans" cxnId="{19B2AE44-E6F2-4705-B6C9-279693304273}">
      <dgm:prSet/>
      <dgm:spPr/>
      <dgm:t>
        <a:bodyPr/>
        <a:lstStyle/>
        <a:p>
          <a:pPr algn="ctr"/>
          <a:endParaRPr lang="en-BE"/>
        </a:p>
      </dgm:t>
    </dgm:pt>
    <dgm:pt modelId="{F446ABF4-5E18-433F-8BAA-6DF138E810F9}">
      <dgm:prSet phldrT="[Text]"/>
      <dgm:spPr/>
      <dgm:t>
        <a:bodyPr/>
        <a:lstStyle/>
        <a:p>
          <a:pPr algn="ctr"/>
          <a:r>
            <a:rPr lang="en-US" b="1"/>
            <a:t>17 October 2028 </a:t>
          </a:r>
          <a:r>
            <a:rPr lang="en-US"/>
            <a:t>For detergents, waxes, polishes, air care products unless these products contain microbeads for fertilising products for agricultural and horticultural uses</a:t>
          </a:r>
          <a:endParaRPr lang="en-BE"/>
        </a:p>
      </dgm:t>
    </dgm:pt>
    <dgm:pt modelId="{ED336230-DAC2-4B30-AD7C-E4595E1E7B64}" type="parTrans" cxnId="{E0D2D44B-F6BF-422A-A4D4-308B6F4FE349}">
      <dgm:prSet/>
      <dgm:spPr/>
      <dgm:t>
        <a:bodyPr/>
        <a:lstStyle/>
        <a:p>
          <a:pPr algn="ctr"/>
          <a:endParaRPr lang="en-BE"/>
        </a:p>
      </dgm:t>
    </dgm:pt>
    <dgm:pt modelId="{A1BDCFB2-D9FE-4E16-89D5-B46BF16D255F}" type="sibTrans" cxnId="{E0D2D44B-F6BF-422A-A4D4-308B6F4FE349}">
      <dgm:prSet/>
      <dgm:spPr/>
      <dgm:t>
        <a:bodyPr/>
        <a:lstStyle/>
        <a:p>
          <a:pPr algn="ctr"/>
          <a:endParaRPr lang="en-BE"/>
        </a:p>
      </dgm:t>
    </dgm:pt>
    <dgm:pt modelId="{EE41CE43-6141-4B23-A4C8-0EA1CAFCB6CD}" type="pres">
      <dgm:prSet presAssocID="{97069069-3D8C-494C-BB98-540847A17E78}" presName="Name0" presStyleCnt="0">
        <dgm:presLayoutVars>
          <dgm:dir/>
          <dgm:resizeHandles val="exact"/>
        </dgm:presLayoutVars>
      </dgm:prSet>
      <dgm:spPr/>
    </dgm:pt>
    <dgm:pt modelId="{51134F5D-358D-476B-B9E1-4F456D3D31A9}" type="pres">
      <dgm:prSet presAssocID="{97069069-3D8C-494C-BB98-540847A17E78}" presName="arrow" presStyleLbl="bgShp" presStyleIdx="0" presStyleCnt="1"/>
      <dgm:spPr/>
    </dgm:pt>
    <dgm:pt modelId="{96F668B0-E121-4C4A-AFBD-28C142E41A1F}" type="pres">
      <dgm:prSet presAssocID="{97069069-3D8C-494C-BB98-540847A17E78}" presName="points" presStyleCnt="0"/>
      <dgm:spPr/>
    </dgm:pt>
    <dgm:pt modelId="{BFEE86B7-E47F-4517-A759-755296756234}" type="pres">
      <dgm:prSet presAssocID="{01E33500-BB49-446D-AE1B-ADBCC14C3A5F}" presName="compositeA" presStyleCnt="0"/>
      <dgm:spPr/>
    </dgm:pt>
    <dgm:pt modelId="{889B3C2D-EFC3-4D72-A18E-1BBAC7017FF7}" type="pres">
      <dgm:prSet presAssocID="{01E33500-BB49-446D-AE1B-ADBCC14C3A5F}" presName="textA" presStyleLbl="revTx" presStyleIdx="0" presStyleCnt="5">
        <dgm:presLayoutVars>
          <dgm:bulletEnabled val="1"/>
        </dgm:presLayoutVars>
      </dgm:prSet>
      <dgm:spPr/>
    </dgm:pt>
    <dgm:pt modelId="{8F5EA647-0708-4BBF-B63C-41F38E24EDFA}" type="pres">
      <dgm:prSet presAssocID="{01E33500-BB49-446D-AE1B-ADBCC14C3A5F}" presName="circleA" presStyleLbl="node1" presStyleIdx="0" presStyleCnt="5"/>
      <dgm:spPr/>
    </dgm:pt>
    <dgm:pt modelId="{CAF53608-7C3C-4DB9-A4C9-B1732AE4530E}" type="pres">
      <dgm:prSet presAssocID="{01E33500-BB49-446D-AE1B-ADBCC14C3A5F}" presName="spaceA" presStyleCnt="0"/>
      <dgm:spPr/>
    </dgm:pt>
    <dgm:pt modelId="{00A493A6-E25E-483C-8322-1ED2779F0461}" type="pres">
      <dgm:prSet presAssocID="{DE6A5D32-7E8A-4107-B596-0E2C76EED220}" presName="space" presStyleCnt="0"/>
      <dgm:spPr/>
    </dgm:pt>
    <dgm:pt modelId="{E6DFC8CA-B8F3-476E-A7E9-9D2CCD59BC77}" type="pres">
      <dgm:prSet presAssocID="{F446ABF4-5E18-433F-8BAA-6DF138E810F9}" presName="compositeB" presStyleCnt="0"/>
      <dgm:spPr/>
    </dgm:pt>
    <dgm:pt modelId="{F329CEFE-D40D-45CC-91A0-27DE9322CB7C}" type="pres">
      <dgm:prSet presAssocID="{F446ABF4-5E18-433F-8BAA-6DF138E810F9}" presName="textB" presStyleLbl="revTx" presStyleIdx="1" presStyleCnt="5">
        <dgm:presLayoutVars>
          <dgm:bulletEnabled val="1"/>
        </dgm:presLayoutVars>
      </dgm:prSet>
      <dgm:spPr/>
    </dgm:pt>
    <dgm:pt modelId="{E60C5769-4DD6-4374-A48E-C186DA9135EC}" type="pres">
      <dgm:prSet presAssocID="{F446ABF4-5E18-433F-8BAA-6DF138E810F9}" presName="circleB" presStyleLbl="node1" presStyleIdx="1" presStyleCnt="5"/>
      <dgm:spPr/>
    </dgm:pt>
    <dgm:pt modelId="{CF3AD1B0-3AFB-40EB-AAA0-53BA221D2E69}" type="pres">
      <dgm:prSet presAssocID="{F446ABF4-5E18-433F-8BAA-6DF138E810F9}" presName="spaceB" presStyleCnt="0"/>
      <dgm:spPr/>
    </dgm:pt>
    <dgm:pt modelId="{4CB68AD0-44F6-4FF8-988C-EDE0BFC34B40}" type="pres">
      <dgm:prSet presAssocID="{A1BDCFB2-D9FE-4E16-89D5-B46BF16D255F}" presName="space" presStyleCnt="0"/>
      <dgm:spPr/>
    </dgm:pt>
    <dgm:pt modelId="{50773E4C-5F69-4E6D-A295-C93A56329FCF}" type="pres">
      <dgm:prSet presAssocID="{A4C49312-DEF0-4306-B7EE-14634C742808}" presName="compositeA" presStyleCnt="0"/>
      <dgm:spPr/>
    </dgm:pt>
    <dgm:pt modelId="{58CC14A0-288E-4BFF-98D6-F0B04DFB38ED}" type="pres">
      <dgm:prSet presAssocID="{A4C49312-DEF0-4306-B7EE-14634C742808}" presName="textA" presStyleLbl="revTx" presStyleIdx="2" presStyleCnt="5">
        <dgm:presLayoutVars>
          <dgm:bulletEnabled val="1"/>
        </dgm:presLayoutVars>
      </dgm:prSet>
      <dgm:spPr/>
    </dgm:pt>
    <dgm:pt modelId="{657F10C4-103D-4B92-9834-954CC425E229}" type="pres">
      <dgm:prSet presAssocID="{A4C49312-DEF0-4306-B7EE-14634C742808}" presName="circleA" presStyleLbl="node1" presStyleIdx="2" presStyleCnt="5"/>
      <dgm:spPr/>
    </dgm:pt>
    <dgm:pt modelId="{E7891D35-5A1C-4FA4-AEC7-3D3737FEC2A4}" type="pres">
      <dgm:prSet presAssocID="{A4C49312-DEF0-4306-B7EE-14634C742808}" presName="spaceA" presStyleCnt="0"/>
      <dgm:spPr/>
    </dgm:pt>
    <dgm:pt modelId="{59B433B0-4920-4160-81D4-1F37D550DC1B}" type="pres">
      <dgm:prSet presAssocID="{44DA0562-62A3-4E3E-9619-8B8E3059877B}" presName="space" presStyleCnt="0"/>
      <dgm:spPr/>
    </dgm:pt>
    <dgm:pt modelId="{A0CFC0F2-9CAB-44CA-93C7-3664C13855D0}" type="pres">
      <dgm:prSet presAssocID="{0A23A782-9B5B-4EE7-A500-4FBB0CB255B1}" presName="compositeB" presStyleCnt="0"/>
      <dgm:spPr/>
    </dgm:pt>
    <dgm:pt modelId="{9EAAAA14-09B7-4B2F-9115-4C1854171629}" type="pres">
      <dgm:prSet presAssocID="{0A23A782-9B5B-4EE7-A500-4FBB0CB255B1}" presName="textB" presStyleLbl="revTx" presStyleIdx="3" presStyleCnt="5">
        <dgm:presLayoutVars>
          <dgm:bulletEnabled val="1"/>
        </dgm:presLayoutVars>
      </dgm:prSet>
      <dgm:spPr/>
    </dgm:pt>
    <dgm:pt modelId="{F81FEDB8-F2E9-4771-945C-D5DB521CCBF3}" type="pres">
      <dgm:prSet presAssocID="{0A23A782-9B5B-4EE7-A500-4FBB0CB255B1}" presName="circleB" presStyleLbl="node1" presStyleIdx="3" presStyleCnt="5"/>
      <dgm:spPr/>
    </dgm:pt>
    <dgm:pt modelId="{8B2036B5-6E50-4B2C-B6A3-F21BBBECEBC6}" type="pres">
      <dgm:prSet presAssocID="{0A23A782-9B5B-4EE7-A500-4FBB0CB255B1}" presName="spaceB" presStyleCnt="0"/>
      <dgm:spPr/>
    </dgm:pt>
    <dgm:pt modelId="{51DF2E5D-648C-4751-8D63-419788D85D86}" type="pres">
      <dgm:prSet presAssocID="{32F49E07-60D4-4BD9-9DA6-1165882EB0B2}" presName="space" presStyleCnt="0"/>
      <dgm:spPr/>
    </dgm:pt>
    <dgm:pt modelId="{8755D759-64A7-4D33-A250-E400C3577B17}" type="pres">
      <dgm:prSet presAssocID="{60B60586-FB7F-4CFE-AAC0-3A0EA1905FCE}" presName="compositeA" presStyleCnt="0"/>
      <dgm:spPr/>
    </dgm:pt>
    <dgm:pt modelId="{138387BA-58F5-4596-9801-409A55D8F040}" type="pres">
      <dgm:prSet presAssocID="{60B60586-FB7F-4CFE-AAC0-3A0EA1905FCE}" presName="textA" presStyleLbl="revTx" presStyleIdx="4" presStyleCnt="5">
        <dgm:presLayoutVars>
          <dgm:bulletEnabled val="1"/>
        </dgm:presLayoutVars>
      </dgm:prSet>
      <dgm:spPr/>
    </dgm:pt>
    <dgm:pt modelId="{A0E1EEFB-C330-49F1-BC95-E4BB369CE10C}" type="pres">
      <dgm:prSet presAssocID="{60B60586-FB7F-4CFE-AAC0-3A0EA1905FCE}" presName="circleA" presStyleLbl="node1" presStyleIdx="4" presStyleCnt="5"/>
      <dgm:spPr/>
    </dgm:pt>
    <dgm:pt modelId="{A6558348-2038-4665-A9E7-5940B6A9627A}" type="pres">
      <dgm:prSet presAssocID="{60B60586-FB7F-4CFE-AAC0-3A0EA1905FCE}" presName="spaceA" presStyleCnt="0"/>
      <dgm:spPr/>
    </dgm:pt>
  </dgm:ptLst>
  <dgm:cxnLst>
    <dgm:cxn modelId="{A767DF0F-BA22-4512-86C0-114DD9AEDCFF}" srcId="{97069069-3D8C-494C-BB98-540847A17E78}" destId="{01E33500-BB49-446D-AE1B-ADBCC14C3A5F}" srcOrd="0" destOrd="0" parTransId="{4E714EF5-7591-46A9-9C7E-C8AFF4F0C1F2}" sibTransId="{DE6A5D32-7E8A-4107-B596-0E2C76EED220}"/>
    <dgm:cxn modelId="{DF8F2943-7FDD-49CE-B619-732D4994B4EA}" srcId="{97069069-3D8C-494C-BB98-540847A17E78}" destId="{60B60586-FB7F-4CFE-AAC0-3A0EA1905FCE}" srcOrd="4" destOrd="0" parTransId="{A3503730-BB4B-443C-8B43-AD5BDBC310AA}" sibTransId="{E3BE60F5-98F8-42AD-BE22-3EB4C10328BF}"/>
    <dgm:cxn modelId="{19B2AE44-E6F2-4705-B6C9-279693304273}" srcId="{97069069-3D8C-494C-BB98-540847A17E78}" destId="{A4C49312-DEF0-4306-B7EE-14634C742808}" srcOrd="2" destOrd="0" parTransId="{6B818A19-71BA-4538-9749-965A75EE10BE}" sibTransId="{44DA0562-62A3-4E3E-9619-8B8E3059877B}"/>
    <dgm:cxn modelId="{E0D2D44B-F6BF-422A-A4D4-308B6F4FE349}" srcId="{97069069-3D8C-494C-BB98-540847A17E78}" destId="{F446ABF4-5E18-433F-8BAA-6DF138E810F9}" srcOrd="1" destOrd="0" parTransId="{ED336230-DAC2-4B30-AD7C-E4595E1E7B64}" sibTransId="{A1BDCFB2-D9FE-4E16-89D5-B46BF16D255F}"/>
    <dgm:cxn modelId="{5318024D-7032-416A-B294-2EE3F249F958}" type="presOf" srcId="{F446ABF4-5E18-433F-8BAA-6DF138E810F9}" destId="{F329CEFE-D40D-45CC-91A0-27DE9322CB7C}" srcOrd="0" destOrd="0" presId="urn:microsoft.com/office/officeart/2005/8/layout/hProcess11"/>
    <dgm:cxn modelId="{6DA80E4F-94BB-4EC0-9AA2-BAFE4F76E0BC}" type="presOf" srcId="{97069069-3D8C-494C-BB98-540847A17E78}" destId="{EE41CE43-6141-4B23-A4C8-0EA1CAFCB6CD}" srcOrd="0" destOrd="0" presId="urn:microsoft.com/office/officeart/2005/8/layout/hProcess11"/>
    <dgm:cxn modelId="{2122D771-B404-4E2A-A63D-8BE478781518}" type="presOf" srcId="{A4C49312-DEF0-4306-B7EE-14634C742808}" destId="{58CC14A0-288E-4BFF-98D6-F0B04DFB38ED}" srcOrd="0" destOrd="0" presId="urn:microsoft.com/office/officeart/2005/8/layout/hProcess11"/>
    <dgm:cxn modelId="{3812F478-C290-42B3-B9B5-1D56C8225273}" srcId="{97069069-3D8C-494C-BB98-540847A17E78}" destId="{0A23A782-9B5B-4EE7-A500-4FBB0CB255B1}" srcOrd="3" destOrd="0" parTransId="{1DDDBDD5-E216-470B-BB97-6A940BC8B6B7}" sibTransId="{32F49E07-60D4-4BD9-9DA6-1165882EB0B2}"/>
    <dgm:cxn modelId="{5C3E648C-AA4B-4ADF-9B97-097B76524F3E}" type="presOf" srcId="{60B60586-FB7F-4CFE-AAC0-3A0EA1905FCE}" destId="{138387BA-58F5-4596-9801-409A55D8F040}" srcOrd="0" destOrd="0" presId="urn:microsoft.com/office/officeart/2005/8/layout/hProcess11"/>
    <dgm:cxn modelId="{8E6F4FA4-F6AE-4EC1-AC14-513CA8F2292F}" type="presOf" srcId="{01E33500-BB49-446D-AE1B-ADBCC14C3A5F}" destId="{889B3C2D-EFC3-4D72-A18E-1BBAC7017FF7}" srcOrd="0" destOrd="0" presId="urn:microsoft.com/office/officeart/2005/8/layout/hProcess11"/>
    <dgm:cxn modelId="{CEA063FE-9C3B-43A7-AF94-D15DC832211A}" type="presOf" srcId="{0A23A782-9B5B-4EE7-A500-4FBB0CB255B1}" destId="{9EAAAA14-09B7-4B2F-9115-4C1854171629}" srcOrd="0" destOrd="0" presId="urn:microsoft.com/office/officeart/2005/8/layout/hProcess11"/>
    <dgm:cxn modelId="{D067F2E4-74A9-4EFD-99F4-D4A0CCE48D79}" type="presParOf" srcId="{EE41CE43-6141-4B23-A4C8-0EA1CAFCB6CD}" destId="{51134F5D-358D-476B-B9E1-4F456D3D31A9}" srcOrd="0" destOrd="0" presId="urn:microsoft.com/office/officeart/2005/8/layout/hProcess11"/>
    <dgm:cxn modelId="{3EA3BC52-510D-43A8-B56A-19D827830274}" type="presParOf" srcId="{EE41CE43-6141-4B23-A4C8-0EA1CAFCB6CD}" destId="{96F668B0-E121-4C4A-AFBD-28C142E41A1F}" srcOrd="1" destOrd="0" presId="urn:microsoft.com/office/officeart/2005/8/layout/hProcess11"/>
    <dgm:cxn modelId="{4B31A048-4321-49FA-83D6-C01E86F53CE1}" type="presParOf" srcId="{96F668B0-E121-4C4A-AFBD-28C142E41A1F}" destId="{BFEE86B7-E47F-4517-A759-755296756234}" srcOrd="0" destOrd="0" presId="urn:microsoft.com/office/officeart/2005/8/layout/hProcess11"/>
    <dgm:cxn modelId="{E567791C-A271-4FAA-BBA3-DB02F9BF6945}" type="presParOf" srcId="{BFEE86B7-E47F-4517-A759-755296756234}" destId="{889B3C2D-EFC3-4D72-A18E-1BBAC7017FF7}" srcOrd="0" destOrd="0" presId="urn:microsoft.com/office/officeart/2005/8/layout/hProcess11"/>
    <dgm:cxn modelId="{DDABDD24-5983-4AB5-9013-59F9EF716227}" type="presParOf" srcId="{BFEE86B7-E47F-4517-A759-755296756234}" destId="{8F5EA647-0708-4BBF-B63C-41F38E24EDFA}" srcOrd="1" destOrd="0" presId="urn:microsoft.com/office/officeart/2005/8/layout/hProcess11"/>
    <dgm:cxn modelId="{DC87E979-F21F-4C8D-AA17-D045D4BB7B84}" type="presParOf" srcId="{BFEE86B7-E47F-4517-A759-755296756234}" destId="{CAF53608-7C3C-4DB9-A4C9-B1732AE4530E}" srcOrd="2" destOrd="0" presId="urn:microsoft.com/office/officeart/2005/8/layout/hProcess11"/>
    <dgm:cxn modelId="{6C735CAC-9A8B-42DB-9645-272B6BD1F5D4}" type="presParOf" srcId="{96F668B0-E121-4C4A-AFBD-28C142E41A1F}" destId="{00A493A6-E25E-483C-8322-1ED2779F0461}" srcOrd="1" destOrd="0" presId="urn:microsoft.com/office/officeart/2005/8/layout/hProcess11"/>
    <dgm:cxn modelId="{37530C36-0C27-4F8D-8F1A-9B20DD3ADE5D}" type="presParOf" srcId="{96F668B0-E121-4C4A-AFBD-28C142E41A1F}" destId="{E6DFC8CA-B8F3-476E-A7E9-9D2CCD59BC77}" srcOrd="2" destOrd="0" presId="urn:microsoft.com/office/officeart/2005/8/layout/hProcess11"/>
    <dgm:cxn modelId="{0B12F722-D92A-468A-B248-E6EFEAB63A30}" type="presParOf" srcId="{E6DFC8CA-B8F3-476E-A7E9-9D2CCD59BC77}" destId="{F329CEFE-D40D-45CC-91A0-27DE9322CB7C}" srcOrd="0" destOrd="0" presId="urn:microsoft.com/office/officeart/2005/8/layout/hProcess11"/>
    <dgm:cxn modelId="{F575FBAF-EEDA-498C-BF5A-39562271377C}" type="presParOf" srcId="{E6DFC8CA-B8F3-476E-A7E9-9D2CCD59BC77}" destId="{E60C5769-4DD6-4374-A48E-C186DA9135EC}" srcOrd="1" destOrd="0" presId="urn:microsoft.com/office/officeart/2005/8/layout/hProcess11"/>
    <dgm:cxn modelId="{0412349F-537A-4E30-9BBA-F45BA3FCAAA0}" type="presParOf" srcId="{E6DFC8CA-B8F3-476E-A7E9-9D2CCD59BC77}" destId="{CF3AD1B0-3AFB-40EB-AAA0-53BA221D2E69}" srcOrd="2" destOrd="0" presId="urn:microsoft.com/office/officeart/2005/8/layout/hProcess11"/>
    <dgm:cxn modelId="{B3E87DD4-D99D-4779-85A8-C31D02DD29F0}" type="presParOf" srcId="{96F668B0-E121-4C4A-AFBD-28C142E41A1F}" destId="{4CB68AD0-44F6-4FF8-988C-EDE0BFC34B40}" srcOrd="3" destOrd="0" presId="urn:microsoft.com/office/officeart/2005/8/layout/hProcess11"/>
    <dgm:cxn modelId="{23D2C918-7BB7-4BDB-8128-4F8CF3D55CBB}" type="presParOf" srcId="{96F668B0-E121-4C4A-AFBD-28C142E41A1F}" destId="{50773E4C-5F69-4E6D-A295-C93A56329FCF}" srcOrd="4" destOrd="0" presId="urn:microsoft.com/office/officeart/2005/8/layout/hProcess11"/>
    <dgm:cxn modelId="{62305BC7-9EF4-41EB-B8E5-27DF3D8BD6B5}" type="presParOf" srcId="{50773E4C-5F69-4E6D-A295-C93A56329FCF}" destId="{58CC14A0-288E-4BFF-98D6-F0B04DFB38ED}" srcOrd="0" destOrd="0" presId="urn:microsoft.com/office/officeart/2005/8/layout/hProcess11"/>
    <dgm:cxn modelId="{BBD8BB41-C930-4B1D-B595-B6A03D891CEF}" type="presParOf" srcId="{50773E4C-5F69-4E6D-A295-C93A56329FCF}" destId="{657F10C4-103D-4B92-9834-954CC425E229}" srcOrd="1" destOrd="0" presId="urn:microsoft.com/office/officeart/2005/8/layout/hProcess11"/>
    <dgm:cxn modelId="{58187220-779A-42C1-8A5F-B74BD51D683C}" type="presParOf" srcId="{50773E4C-5F69-4E6D-A295-C93A56329FCF}" destId="{E7891D35-5A1C-4FA4-AEC7-3D3737FEC2A4}" srcOrd="2" destOrd="0" presId="urn:microsoft.com/office/officeart/2005/8/layout/hProcess11"/>
    <dgm:cxn modelId="{300FFC8C-8914-4055-82CC-3E87537E9DED}" type="presParOf" srcId="{96F668B0-E121-4C4A-AFBD-28C142E41A1F}" destId="{59B433B0-4920-4160-81D4-1F37D550DC1B}" srcOrd="5" destOrd="0" presId="urn:microsoft.com/office/officeart/2005/8/layout/hProcess11"/>
    <dgm:cxn modelId="{DCE302AD-F1E8-42FC-91CB-DB8F40009573}" type="presParOf" srcId="{96F668B0-E121-4C4A-AFBD-28C142E41A1F}" destId="{A0CFC0F2-9CAB-44CA-93C7-3664C13855D0}" srcOrd="6" destOrd="0" presId="urn:microsoft.com/office/officeart/2005/8/layout/hProcess11"/>
    <dgm:cxn modelId="{085DFB4E-7900-45EF-ACBC-16ED06B0FE90}" type="presParOf" srcId="{A0CFC0F2-9CAB-44CA-93C7-3664C13855D0}" destId="{9EAAAA14-09B7-4B2F-9115-4C1854171629}" srcOrd="0" destOrd="0" presId="urn:microsoft.com/office/officeart/2005/8/layout/hProcess11"/>
    <dgm:cxn modelId="{C3D660E9-BF90-49E0-9ACA-F01E4F4ABAE0}" type="presParOf" srcId="{A0CFC0F2-9CAB-44CA-93C7-3664C13855D0}" destId="{F81FEDB8-F2E9-4771-945C-D5DB521CCBF3}" srcOrd="1" destOrd="0" presId="urn:microsoft.com/office/officeart/2005/8/layout/hProcess11"/>
    <dgm:cxn modelId="{2416362B-B79B-4436-8E29-FA8B258F4393}" type="presParOf" srcId="{A0CFC0F2-9CAB-44CA-93C7-3664C13855D0}" destId="{8B2036B5-6E50-4B2C-B6A3-F21BBBECEBC6}" srcOrd="2" destOrd="0" presId="urn:microsoft.com/office/officeart/2005/8/layout/hProcess11"/>
    <dgm:cxn modelId="{3EA2BECC-043E-40B7-B1D8-0AB157E38BB3}" type="presParOf" srcId="{96F668B0-E121-4C4A-AFBD-28C142E41A1F}" destId="{51DF2E5D-648C-4751-8D63-419788D85D86}" srcOrd="7" destOrd="0" presId="urn:microsoft.com/office/officeart/2005/8/layout/hProcess11"/>
    <dgm:cxn modelId="{D598946E-E5F6-455D-A3EA-F9E2ECF149A0}" type="presParOf" srcId="{96F668B0-E121-4C4A-AFBD-28C142E41A1F}" destId="{8755D759-64A7-4D33-A250-E400C3577B17}" srcOrd="8" destOrd="0" presId="urn:microsoft.com/office/officeart/2005/8/layout/hProcess11"/>
    <dgm:cxn modelId="{758FE3B9-68C5-4166-9219-E2CDE91E4C7C}" type="presParOf" srcId="{8755D759-64A7-4D33-A250-E400C3577B17}" destId="{138387BA-58F5-4596-9801-409A55D8F040}" srcOrd="0" destOrd="0" presId="urn:microsoft.com/office/officeart/2005/8/layout/hProcess11"/>
    <dgm:cxn modelId="{390EDED0-2182-4635-8285-9B4685FF2BDB}" type="presParOf" srcId="{8755D759-64A7-4D33-A250-E400C3577B17}" destId="{A0E1EEFB-C330-49F1-BC95-E4BB369CE10C}" srcOrd="1" destOrd="0" presId="urn:microsoft.com/office/officeart/2005/8/layout/hProcess11"/>
    <dgm:cxn modelId="{6942021E-81F9-44A6-8860-F7C81B614688}" type="presParOf" srcId="{8755D759-64A7-4D33-A250-E400C3577B17}" destId="{A6558348-2038-4665-A9E7-5940B6A9627A}" srcOrd="2" destOrd="0" presId="urn:microsoft.com/office/officeart/2005/8/layout/hProcess1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6F16EB-CE5C-401B-8A84-9AE628A878A6}">
      <dsp:nvSpPr>
        <dsp:cNvPr id="0" name=""/>
        <dsp:cNvSpPr/>
      </dsp:nvSpPr>
      <dsp:spPr>
        <a:xfrm flipV="1">
          <a:off x="363196" y="2230235"/>
          <a:ext cx="7140059" cy="71307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4FBCB36-DD89-4D4F-AC5E-414150F2A959}">
      <dsp:nvSpPr>
        <dsp:cNvPr id="0" name=""/>
        <dsp:cNvSpPr/>
      </dsp:nvSpPr>
      <dsp:spPr>
        <a:xfrm>
          <a:off x="313865" y="869605"/>
          <a:ext cx="2509022" cy="1317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113792" rIns="113792" bIns="113792" numCol="1" spcCol="1270" anchor="b" anchorCtr="0">
          <a:noAutofit/>
        </a:bodyPr>
        <a:lstStyle/>
        <a:p>
          <a:pPr marL="0" lvl="0" indent="0" algn="ctr" defTabSz="711200">
            <a:lnSpc>
              <a:spcPct val="90000"/>
            </a:lnSpc>
            <a:spcBef>
              <a:spcPct val="0"/>
            </a:spcBef>
            <a:spcAft>
              <a:spcPct val="35000"/>
            </a:spcAft>
            <a:buNone/>
          </a:pPr>
          <a:r>
            <a:rPr lang="en-US" sz="1600" b="1" i="0" kern="1200" baseline="0">
              <a:latin typeface="Calibri" panose="020F0502020204030204" pitchFamily="34" charset="0"/>
            </a:rPr>
            <a:t>Starting from </a:t>
          </a:r>
        </a:p>
        <a:p>
          <a:pPr marL="0" lvl="0" indent="0" algn="ctr" defTabSz="711200">
            <a:lnSpc>
              <a:spcPct val="90000"/>
            </a:lnSpc>
            <a:spcBef>
              <a:spcPct val="0"/>
            </a:spcBef>
            <a:spcAft>
              <a:spcPct val="35000"/>
            </a:spcAft>
            <a:buNone/>
          </a:pPr>
          <a:r>
            <a:rPr lang="en-US" sz="1600" b="1" i="0" kern="1200" baseline="0">
              <a:latin typeface="Calibri" panose="020F0502020204030204" pitchFamily="34" charset="0"/>
            </a:rPr>
            <a:t>17 October 2025</a:t>
          </a:r>
        </a:p>
        <a:p>
          <a:pPr marL="0" lvl="0" indent="0" algn="ctr" defTabSz="711200">
            <a:lnSpc>
              <a:spcPct val="90000"/>
            </a:lnSpc>
            <a:spcBef>
              <a:spcPct val="0"/>
            </a:spcBef>
            <a:spcAft>
              <a:spcPct val="35000"/>
            </a:spcAft>
            <a:buNone/>
          </a:pPr>
          <a:r>
            <a:rPr lang="en-US" sz="1600" b="1" i="0" kern="1200" baseline="0">
              <a:latin typeface="Calibri" panose="020F0502020204030204" pitchFamily="34" charset="0"/>
            </a:rPr>
            <a:t> </a:t>
          </a:r>
          <a:r>
            <a:rPr lang="en-US" sz="1100" b="0" i="0" kern="1200" baseline="0">
              <a:latin typeface="Calibri" panose="020F0502020204030204" pitchFamily="34" charset="0"/>
            </a:rPr>
            <a:t>Suppliers of SPM referred to in paragraph 4a shall provide the following information: instructions for use and disposal explaining to industrial downstream users; the information on quantity; generic information on the identity of the polymers contained in the substance or mixture </a:t>
          </a:r>
          <a:endParaRPr lang="en-BE" sz="1100" b="0" i="0" kern="1200" baseline="0">
            <a:latin typeface="Calibri" panose="020F0502020204030204" pitchFamily="34" charset="0"/>
          </a:endParaRPr>
        </a:p>
      </dsp:txBody>
      <dsp:txXfrm>
        <a:off x="313865" y="869605"/>
        <a:ext cx="2509022" cy="1317316"/>
      </dsp:txXfrm>
    </dsp:sp>
    <dsp:sp modelId="{10C90922-899D-4F03-B074-1F112509D6C5}">
      <dsp:nvSpPr>
        <dsp:cNvPr id="0" name=""/>
        <dsp:cNvSpPr/>
      </dsp:nvSpPr>
      <dsp:spPr>
        <a:xfrm>
          <a:off x="453307" y="4646181"/>
          <a:ext cx="442839" cy="249668"/>
        </a:xfrm>
        <a:prstGeom prst="ellipse">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2AA343-0AAD-47CD-A1F9-EE9730FCCC6D}">
      <dsp:nvSpPr>
        <dsp:cNvPr id="0" name=""/>
        <dsp:cNvSpPr/>
      </dsp:nvSpPr>
      <dsp:spPr>
        <a:xfrm>
          <a:off x="3036352" y="0"/>
          <a:ext cx="2306347" cy="20811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0" lvl="0" indent="0" algn="ctr" defTabSz="711200">
            <a:lnSpc>
              <a:spcPct val="90000"/>
            </a:lnSpc>
            <a:spcBef>
              <a:spcPct val="0"/>
            </a:spcBef>
            <a:spcAft>
              <a:spcPct val="35000"/>
            </a:spcAft>
            <a:buNone/>
          </a:pPr>
          <a:r>
            <a:rPr lang="en-US" sz="1600" b="1" i="0" kern="1200" baseline="0">
              <a:latin typeface="Calibri" panose="020F0502020204030204" pitchFamily="34" charset="0"/>
            </a:rPr>
            <a:t>Starting from </a:t>
          </a:r>
        </a:p>
        <a:p>
          <a:pPr marL="0" lvl="0" indent="0" algn="ctr" defTabSz="711200">
            <a:lnSpc>
              <a:spcPct val="90000"/>
            </a:lnSpc>
            <a:spcBef>
              <a:spcPct val="0"/>
            </a:spcBef>
            <a:spcAft>
              <a:spcPct val="35000"/>
            </a:spcAft>
            <a:buNone/>
          </a:pPr>
          <a:r>
            <a:rPr lang="en-US" sz="1600" b="1" i="0" kern="1200" baseline="0">
              <a:latin typeface="Calibri" panose="020F0502020204030204" pitchFamily="34" charset="0"/>
            </a:rPr>
            <a:t>17 October 2026</a:t>
          </a:r>
        </a:p>
        <a:p>
          <a:pPr marL="0" lvl="0" indent="0" algn="ctr" defTabSz="711200">
            <a:lnSpc>
              <a:spcPct val="90000"/>
            </a:lnSpc>
            <a:spcBef>
              <a:spcPct val="0"/>
            </a:spcBef>
            <a:spcAft>
              <a:spcPct val="35000"/>
            </a:spcAft>
            <a:buNone/>
          </a:pPr>
          <a:r>
            <a:rPr lang="en-US" sz="1100" b="0" i="0" kern="1200" baseline="0">
              <a:latin typeface="Calibri" panose="020F0502020204030204" pitchFamily="34" charset="0"/>
            </a:rPr>
            <a:t>The suppliers of products containing SPM referred to in paragraph 4e shall provide instructions for use and disposal explaining to professional users and the general public how to prevent releases of synthetic polymer microparticles</a:t>
          </a:r>
          <a:endParaRPr lang="en-BE" sz="1100" b="0" i="0" kern="1200" baseline="0">
            <a:latin typeface="Calibri" panose="020F0502020204030204" pitchFamily="34" charset="0"/>
          </a:endParaRPr>
        </a:p>
      </dsp:txBody>
      <dsp:txXfrm>
        <a:off x="3036352" y="0"/>
        <a:ext cx="2306347" cy="2081108"/>
      </dsp:txXfrm>
    </dsp:sp>
    <dsp:sp modelId="{5A6EDF4F-EA6F-487C-9969-2AB5E75142E9}">
      <dsp:nvSpPr>
        <dsp:cNvPr id="0" name=""/>
        <dsp:cNvSpPr/>
      </dsp:nvSpPr>
      <dsp:spPr>
        <a:xfrm>
          <a:off x="415502" y="4406265"/>
          <a:ext cx="489585" cy="489585"/>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DB446EF3-6091-467D-9F84-36450FD53681}">
      <dsp:nvSpPr>
        <dsp:cNvPr id="0" name=""/>
        <dsp:cNvSpPr/>
      </dsp:nvSpPr>
      <dsp:spPr>
        <a:xfrm>
          <a:off x="5400509" y="890413"/>
          <a:ext cx="2633122" cy="69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113792" rIns="113792" bIns="113792" numCol="1" spcCol="1270" anchor="b" anchorCtr="0">
          <a:noAutofit/>
        </a:bodyPr>
        <a:lstStyle/>
        <a:p>
          <a:pPr marL="0" lvl="0" indent="0" algn="ctr" defTabSz="711200">
            <a:lnSpc>
              <a:spcPct val="90000"/>
            </a:lnSpc>
            <a:spcBef>
              <a:spcPct val="0"/>
            </a:spcBef>
            <a:spcAft>
              <a:spcPct val="35000"/>
            </a:spcAft>
            <a:buNone/>
          </a:pPr>
          <a:r>
            <a:rPr lang="en-US" sz="1600" b="1" i="0" kern="1200" baseline="0">
              <a:latin typeface="Calibri" panose="020F0502020204030204" pitchFamily="34" charset="0"/>
            </a:rPr>
            <a:t>Starting from</a:t>
          </a:r>
        </a:p>
        <a:p>
          <a:pPr marL="0" lvl="0" indent="0" algn="ctr" defTabSz="711200">
            <a:lnSpc>
              <a:spcPct val="90000"/>
            </a:lnSpc>
            <a:spcBef>
              <a:spcPct val="0"/>
            </a:spcBef>
            <a:spcAft>
              <a:spcPct val="35000"/>
            </a:spcAft>
            <a:buNone/>
          </a:pPr>
          <a:r>
            <a:rPr lang="en-US" sz="1600" b="1" i="0" kern="1200" baseline="0">
              <a:latin typeface="Calibri" panose="020F0502020204030204" pitchFamily="34" charset="0"/>
            </a:rPr>
            <a:t>17 October 2031 </a:t>
          </a:r>
        </a:p>
        <a:p>
          <a:pPr marL="0" lvl="0" indent="0" algn="ctr" defTabSz="711200">
            <a:lnSpc>
              <a:spcPct val="90000"/>
            </a:lnSpc>
            <a:spcBef>
              <a:spcPct val="0"/>
            </a:spcBef>
            <a:spcAft>
              <a:spcPct val="35000"/>
            </a:spcAft>
            <a:buNone/>
          </a:pPr>
          <a:r>
            <a:rPr lang="en-US" sz="1100" b="0" i="0" kern="1200" baseline="0">
              <a:latin typeface="Calibri" panose="020F0502020204030204" pitchFamily="34" charset="0"/>
              <a:ea typeface="Calibri" panose="020F0502020204030204" pitchFamily="34" charset="0"/>
              <a:cs typeface="Calibri" panose="020F0502020204030204" pitchFamily="34" charset="0"/>
            </a:rPr>
            <a:t>From 17 October 2031 until 16 October 2035 suppliers of products (paragraph 6c) containing SPM shall provide the statement ''This product contains microplastics''</a:t>
          </a:r>
          <a:endParaRPr lang="en-BE" sz="1100" b="0" i="0" kern="1200" baseline="0">
            <a:latin typeface="Calibri" panose="020F0502020204030204" pitchFamily="34" charset="0"/>
            <a:ea typeface="Calibri" panose="020F0502020204030204" pitchFamily="34" charset="0"/>
            <a:cs typeface="Calibri" panose="020F0502020204030204" pitchFamily="34" charset="0"/>
          </a:endParaRPr>
        </a:p>
      </dsp:txBody>
      <dsp:txXfrm>
        <a:off x="5400509" y="890413"/>
        <a:ext cx="2633122" cy="697345"/>
      </dsp:txXfrm>
    </dsp:sp>
    <dsp:sp modelId="{1F0B6239-D3AD-4077-9307-56089945CED8}">
      <dsp:nvSpPr>
        <dsp:cNvPr id="0" name=""/>
        <dsp:cNvSpPr/>
      </dsp:nvSpPr>
      <dsp:spPr>
        <a:xfrm>
          <a:off x="6411771" y="2390988"/>
          <a:ext cx="413596" cy="39230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134F5D-358D-476B-B9E1-4F456D3D31A9}">
      <dsp:nvSpPr>
        <dsp:cNvPr id="0" name=""/>
        <dsp:cNvSpPr/>
      </dsp:nvSpPr>
      <dsp:spPr>
        <a:xfrm>
          <a:off x="0" y="1114424"/>
          <a:ext cx="6943725" cy="148590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889B3C2D-EFC3-4D72-A18E-1BBAC7017FF7}">
      <dsp:nvSpPr>
        <dsp:cNvPr id="0" name=""/>
        <dsp:cNvSpPr/>
      </dsp:nvSpPr>
      <dsp:spPr>
        <a:xfrm>
          <a:off x="2746" y="0"/>
          <a:ext cx="1200742" cy="1485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marL="0" lvl="0" indent="0" algn="ctr" defTabSz="355600">
            <a:lnSpc>
              <a:spcPct val="90000"/>
            </a:lnSpc>
            <a:spcBef>
              <a:spcPct val="0"/>
            </a:spcBef>
            <a:spcAft>
              <a:spcPct val="35000"/>
            </a:spcAft>
            <a:buNone/>
          </a:pPr>
          <a:r>
            <a:rPr lang="en-US" sz="800" b="1" kern="1200"/>
            <a:t>17 October 2027 </a:t>
          </a:r>
          <a:r>
            <a:rPr lang="en-US" sz="800" kern="1200"/>
            <a:t>For Rinse-off products unless they contain SPM for use as an abrasive, i.e. namely exfoliate, polish or clean  (''microbeads'') Paragraph 6b</a:t>
          </a:r>
          <a:endParaRPr lang="en-BE" sz="800" kern="1200"/>
        </a:p>
      </dsp:txBody>
      <dsp:txXfrm>
        <a:off x="2746" y="0"/>
        <a:ext cx="1200742" cy="1485900"/>
      </dsp:txXfrm>
    </dsp:sp>
    <dsp:sp modelId="{8F5EA647-0708-4BBF-B63C-41F38E24EDFA}">
      <dsp:nvSpPr>
        <dsp:cNvPr id="0" name=""/>
        <dsp:cNvSpPr/>
      </dsp:nvSpPr>
      <dsp:spPr>
        <a:xfrm>
          <a:off x="417379" y="1671637"/>
          <a:ext cx="371475" cy="37147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329CEFE-D40D-45CC-91A0-27DE9322CB7C}">
      <dsp:nvSpPr>
        <dsp:cNvPr id="0" name=""/>
        <dsp:cNvSpPr/>
      </dsp:nvSpPr>
      <dsp:spPr>
        <a:xfrm>
          <a:off x="1263525" y="2228849"/>
          <a:ext cx="1200742" cy="1485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US" sz="800" b="1" kern="1200"/>
            <a:t>17 October 2028 </a:t>
          </a:r>
          <a:r>
            <a:rPr lang="en-US" sz="800" kern="1200"/>
            <a:t>For detergents, waxes, polishes, air care products unless these products contain microbeads for fertilising products for agricultural and horticultural uses</a:t>
          </a:r>
          <a:endParaRPr lang="en-BE" sz="800" kern="1200"/>
        </a:p>
      </dsp:txBody>
      <dsp:txXfrm>
        <a:off x="1263525" y="2228849"/>
        <a:ext cx="1200742" cy="1485900"/>
      </dsp:txXfrm>
    </dsp:sp>
    <dsp:sp modelId="{E60C5769-4DD6-4374-A48E-C186DA9135EC}">
      <dsp:nvSpPr>
        <dsp:cNvPr id="0" name=""/>
        <dsp:cNvSpPr/>
      </dsp:nvSpPr>
      <dsp:spPr>
        <a:xfrm>
          <a:off x="1678159" y="1671637"/>
          <a:ext cx="371475" cy="37147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58CC14A0-288E-4BFF-98D6-F0B04DFB38ED}">
      <dsp:nvSpPr>
        <dsp:cNvPr id="0" name=""/>
        <dsp:cNvSpPr/>
      </dsp:nvSpPr>
      <dsp:spPr>
        <a:xfrm>
          <a:off x="2524305" y="0"/>
          <a:ext cx="1200742" cy="1485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marL="0" lvl="0" indent="0" algn="ctr" defTabSz="355600">
            <a:lnSpc>
              <a:spcPct val="90000"/>
            </a:lnSpc>
            <a:spcBef>
              <a:spcPct val="0"/>
            </a:spcBef>
            <a:spcAft>
              <a:spcPct val="35000"/>
            </a:spcAft>
            <a:buNone/>
          </a:pPr>
          <a:r>
            <a:rPr lang="en-US" sz="800" b="1" kern="1200"/>
            <a:t>17 October 2029 </a:t>
          </a:r>
          <a:r>
            <a:rPr lang="en-US" sz="800" kern="1200"/>
            <a:t>For SPM used in encapsulation of fragrances, leave-on products (intended to stay in prolonged contact with skin, the hair or the mucous membranes, medical devicesnot containing microspheres Paragraph 6a</a:t>
          </a:r>
          <a:endParaRPr lang="en-BE" sz="800" kern="1200"/>
        </a:p>
      </dsp:txBody>
      <dsp:txXfrm>
        <a:off x="2524305" y="0"/>
        <a:ext cx="1200742" cy="1485900"/>
      </dsp:txXfrm>
    </dsp:sp>
    <dsp:sp modelId="{657F10C4-103D-4B92-9834-954CC425E229}">
      <dsp:nvSpPr>
        <dsp:cNvPr id="0" name=""/>
        <dsp:cNvSpPr/>
      </dsp:nvSpPr>
      <dsp:spPr>
        <a:xfrm>
          <a:off x="2938938" y="1671637"/>
          <a:ext cx="371475" cy="37147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EAAAA14-09B7-4B2F-9115-4C1854171629}">
      <dsp:nvSpPr>
        <dsp:cNvPr id="0" name=""/>
        <dsp:cNvSpPr/>
      </dsp:nvSpPr>
      <dsp:spPr>
        <a:xfrm>
          <a:off x="3785084" y="2228849"/>
          <a:ext cx="1200742" cy="1485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US" sz="800" b="1" kern="1200"/>
            <a:t>17 October 2031 </a:t>
          </a:r>
          <a:r>
            <a:rPr lang="en-US" sz="800" kern="1200"/>
            <a:t>For plant protection products, biocidal products, and seeds treated with those products</a:t>
          </a:r>
          <a:endParaRPr lang="en-BE" sz="800" kern="1200"/>
        </a:p>
      </dsp:txBody>
      <dsp:txXfrm>
        <a:off x="3785084" y="2228849"/>
        <a:ext cx="1200742" cy="1485900"/>
      </dsp:txXfrm>
    </dsp:sp>
    <dsp:sp modelId="{F81FEDB8-F2E9-4771-945C-D5DB521CCBF3}">
      <dsp:nvSpPr>
        <dsp:cNvPr id="0" name=""/>
        <dsp:cNvSpPr/>
      </dsp:nvSpPr>
      <dsp:spPr>
        <a:xfrm>
          <a:off x="4199718" y="1671637"/>
          <a:ext cx="371475" cy="37147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38387BA-58F5-4596-9801-409A55D8F040}">
      <dsp:nvSpPr>
        <dsp:cNvPr id="0" name=""/>
        <dsp:cNvSpPr/>
      </dsp:nvSpPr>
      <dsp:spPr>
        <a:xfrm>
          <a:off x="5045863" y="0"/>
          <a:ext cx="1200742" cy="14859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marL="0" lvl="0" indent="0" algn="ctr" defTabSz="355600">
            <a:lnSpc>
              <a:spcPct val="90000"/>
            </a:lnSpc>
            <a:spcBef>
              <a:spcPct val="0"/>
            </a:spcBef>
            <a:spcAft>
              <a:spcPct val="35000"/>
            </a:spcAft>
            <a:buNone/>
          </a:pPr>
          <a:r>
            <a:rPr lang="en-US" sz="800" b="1" kern="1200"/>
            <a:t>17 October 2035 </a:t>
          </a:r>
          <a:r>
            <a:rPr lang="en-US" sz="800" kern="1200"/>
            <a:t>For lip products, nail products unless these products contain microbeads</a:t>
          </a:r>
          <a:endParaRPr lang="en-BE" sz="800" kern="1200"/>
        </a:p>
      </dsp:txBody>
      <dsp:txXfrm>
        <a:off x="5045863" y="0"/>
        <a:ext cx="1200742" cy="1485900"/>
      </dsp:txXfrm>
    </dsp:sp>
    <dsp:sp modelId="{A0E1EEFB-C330-49F1-BC95-E4BB369CE10C}">
      <dsp:nvSpPr>
        <dsp:cNvPr id="0" name=""/>
        <dsp:cNvSpPr/>
      </dsp:nvSpPr>
      <dsp:spPr>
        <a:xfrm>
          <a:off x="5460497" y="1671637"/>
          <a:ext cx="371475" cy="37147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 Horizontal - Accredited" ma:contentTypeID="0x010100CBA00C31641D44D0B7778E08C566D85F030046D0C456C0DC1444AE08A4E5F38035C0" ma:contentTypeVersion="15" ma:contentTypeDescription="CEFIC - Document - Horizontal - Accredited" ma:contentTypeScope="" ma:versionID="ccdda08bbfd81987eaa2112704ce912f">
  <xsd:schema xmlns:xsd="http://www.w3.org/2001/XMLSchema" xmlns:xs="http://www.w3.org/2001/XMLSchema" xmlns:p="http://schemas.microsoft.com/office/2006/metadata/properties" xmlns:ns2="846e6462-113b-49a4-99f6-59cc160d7bb7" xmlns:ns3="063f955d-52cd-40b2-80f5-70171ea2be06" xmlns:ns4="efad64ae-f6df-4795-8cd4-0d5f474e762b" targetNamespace="http://schemas.microsoft.com/office/2006/metadata/properties" ma:root="true" ma:fieldsID="972b06e6e873c237fbda7591da849dae" ns2:_="" ns3:_="" ns4:_="">
    <xsd:import namespace="846e6462-113b-49a4-99f6-59cc160d7bb7"/>
    <xsd:import namespace="063f955d-52cd-40b2-80f5-70171ea2be06"/>
    <xsd:import namespace="efad64ae-f6df-4795-8cd4-0d5f474e762b"/>
    <xsd:element name="properties">
      <xsd:complexType>
        <xsd:sequence>
          <xsd:element name="documentManagement">
            <xsd:complexType>
              <xsd:all>
                <xsd:element ref="ns2:nc78952408e3422791080c99644f6b1a" minOccurs="0"/>
                <xsd:element ref="ns3:TaxCatchAll" minOccurs="0"/>
                <xsd:element ref="ns3:TaxCatchAllLabel" minOccurs="0"/>
                <xsd:element ref="ns2:g34eac979de14de8aa93f07beff18163" minOccurs="0"/>
                <xsd:element ref="ns2:l40e3e70b2414278b33a9b8a4a1d41b5" minOccurs="0"/>
                <xsd:element ref="ns2:CEFIC_RetentionPeriod" minOccurs="0"/>
                <xsd:element ref="ns2:b08d243af3064ab486ac28b46c8c3461" minOccurs="0"/>
                <xsd:element ref="ns2:k966dd7074b443bfb3cfb6a02676547f" minOccurs="0"/>
                <xsd:element ref="ns2:m4edcea054b54ac0a01fd4b02fa30b69" minOccurs="0"/>
                <xsd:element ref="ns2:k9252d9797824297a694f85e80353817"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e6462-113b-49a4-99f6-59cc160d7bb7" elementFormDefault="qualified">
    <xsd:import namespace="http://schemas.microsoft.com/office/2006/documentManagement/types"/>
    <xsd:import namespace="http://schemas.microsoft.com/office/infopath/2007/PartnerControls"/>
    <xsd:element name="nc78952408e3422791080c99644f6b1a" ma:index="8" nillable="true" ma:taxonomy="true" ma:internalName="nc78952408e3422791080c99644f6b1a" ma:taxonomyFieldName="Document_x0020_Type" ma:displayName="Document Type" ma:readOnly="false" ma:default="1;#Business documents|3c05f1a1-b89b-4b6b-8c97-e471b8cf36ed" ma:fieldId="{7c789524-08e3-4227-9108-0c99644f6b1a}" ma:sspId="51ab7c41-b059-4fba-bc0c-4efa77139169" ma:termSetId="1c528dd5-19c6-414a-bde2-618ef6c4caaf" ma:anchorId="00000000-0000-0000-0000-000000000000" ma:open="false" ma:isKeyword="false">
      <xsd:complexType>
        <xsd:sequence>
          <xsd:element ref="pc:Terms" minOccurs="0" maxOccurs="1"/>
        </xsd:sequence>
      </xsd:complexType>
    </xsd:element>
    <xsd:element name="g34eac979de14de8aa93f07beff18163" ma:index="12" nillable="true" ma:taxonomy="true" ma:internalName="g34eac979de14de8aa93f07beff18163" ma:taxonomyFieldName="CEFIC_Sensitivity" ma:displayName="Sensitivity" ma:default="" ma:fieldId="{034eac97-9de1-4de8-aa93-f07beff18163}" ma:sspId="51ab7c41-b059-4fba-bc0c-4efa77139169" ma:termSetId="dfff65d1-4836-482c-9cd5-4b273d4b2a06" ma:anchorId="00000000-0000-0000-0000-000000000000" ma:open="false" ma:isKeyword="false">
      <xsd:complexType>
        <xsd:sequence>
          <xsd:element ref="pc:Terms" minOccurs="0" maxOccurs="1"/>
        </xsd:sequence>
      </xsd:complexType>
    </xsd:element>
    <xsd:element name="l40e3e70b2414278b33a9b8a4a1d41b5" ma:index="14" nillable="true" ma:taxonomy="true" ma:internalName="l40e3e70b2414278b33a9b8a4a1d41b5" ma:taxonomyFieldName="CEFIC_TargetAudience" ma:displayName="Target Audience" ma:default="" ma:fieldId="{540e3e70-b241-4278-b33a-9b8a4a1d41b5}" ma:taxonomyMulti="true" ma:sspId="51ab7c41-b059-4fba-bc0c-4efa77139169" ma:termSetId="aaba625d-62de-48ee-b1d3-4eed10614796" ma:anchorId="00000000-0000-0000-0000-000000000000" ma:open="false" ma:isKeyword="false">
      <xsd:complexType>
        <xsd:sequence>
          <xsd:element ref="pc:Terms" minOccurs="0" maxOccurs="1"/>
        </xsd:sequence>
      </xsd:complexType>
    </xsd:element>
    <xsd:element name="CEFIC_RetentionPeriod" ma:index="16" nillable="true" ma:displayName="Retention Period" ma:format="DateOnly" ma:internalName="CEFIC_RetentionPeriod">
      <xsd:simpleType>
        <xsd:restriction base="dms:DateTime"/>
      </xsd:simpleType>
    </xsd:element>
    <xsd:element name="b08d243af3064ab486ac28b46c8c3461" ma:index="17" nillable="true" ma:taxonomy="true" ma:internalName="b08d243af3064ab486ac28b46c8c3461" ma:taxonomyFieldName="CEFIC_HA_Context" ma:displayName="Context" ma:default="" ma:fieldId="{b08d243a-f306-4ab4-86ac-28b46c8c3461}" ma:taxonomyMulti="true" ma:sspId="51ab7c41-b059-4fba-bc0c-4efa77139169" ma:termSetId="db003a50-a20a-4dda-8d82-b267ee3d5ec5" ma:anchorId="00000000-0000-0000-0000-000000000000" ma:open="false" ma:isKeyword="false">
      <xsd:complexType>
        <xsd:sequence>
          <xsd:element ref="pc:Terms" minOccurs="0" maxOccurs="1"/>
        </xsd:sequence>
      </xsd:complexType>
    </xsd:element>
    <xsd:element name="k966dd7074b443bfb3cfb6a02676547f" ma:index="19" nillable="true" ma:taxonomy="true" ma:internalName="k966dd7074b443bfb3cfb6a02676547f" ma:taxonomyFieldName="CEFIC_HA_Keywords" ma:displayName="Keywords" ma:default="" ma:fieldId="{4966dd70-74b4-43bf-b3cf-b6a02676547f}" ma:taxonomyMulti="true" ma:sspId="51ab7c41-b059-4fba-bc0c-4efa77139169" ma:termSetId="ff1cf06d-99b6-426f-9274-3a44300b4d39" ma:anchorId="00000000-0000-0000-0000-000000000000" ma:open="false" ma:isKeyword="false">
      <xsd:complexType>
        <xsd:sequence>
          <xsd:element ref="pc:Terms" minOccurs="0" maxOccurs="1"/>
        </xsd:sequence>
      </xsd:complexType>
    </xsd:element>
    <xsd:element name="m4edcea054b54ac0a01fd4b02fa30b69" ma:index="21" nillable="true" ma:taxonomy="true" ma:internalName="m4edcea054b54ac0a01fd4b02fa30b69" ma:taxonomyFieldName="CEFIC_HA_DocumentStatus" ma:displayName="Document Status" ma:readOnly="false" ma:default="7;#Draft|d9acfb56-e205-4757-8b5a-bdfd379abed3" ma:fieldId="{64edcea0-54b5-4ac0-a01f-d4b02fa30b69}" ma:sspId="51ab7c41-b059-4fba-bc0c-4efa77139169" ma:termSetId="57fbcacf-a93e-46eb-b3dd-15ee939e82d0" ma:anchorId="00000000-0000-0000-0000-000000000000" ma:open="false" ma:isKeyword="false">
      <xsd:complexType>
        <xsd:sequence>
          <xsd:element ref="pc:Terms" minOccurs="0" maxOccurs="1"/>
        </xsd:sequence>
      </xsd:complexType>
    </xsd:element>
    <xsd:element name="k9252d9797824297a694f85e80353817" ma:index="23" nillable="true" ma:taxonomy="true" ma:internalName="k9252d9797824297a694f85e80353817" ma:taxonomyFieldName="CEFIC_HA_ApprovalProcess" ma:displayName="Approval Process" ma:readOnly="false" ma:default="8;#No|c7117226-50a8-4405-9379-c156a801175c" ma:fieldId="{49252d97-9782-4297-a694-f85e80353817}" ma:sspId="51ab7c41-b059-4fba-bc0c-4efa77139169" ma:termSetId="a700df2a-48b5-41aa-ab6d-59a03fe788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f955d-52cd-40b2-80f5-70171ea2be0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a3206c6-0268-45ff-bcba-845d58a30351}" ma:internalName="TaxCatchAll" ma:showField="CatchAllData" ma:web="846e6462-113b-49a4-99f6-59cc160d7b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3206c6-0268-45ff-bcba-845d58a30351}" ma:internalName="TaxCatchAllLabel" ma:readOnly="true" ma:showField="CatchAllDataLabel" ma:web="846e6462-113b-49a4-99f6-59cc160d7b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ad64ae-f6df-4795-8cd4-0d5f474e762b"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63f955d-52cd-40b2-80f5-70171ea2be06">
      <Value>8</Value>
      <Value>1</Value>
      <Value>7</Value>
    </TaxCatchAll>
    <g34eac979de14de8aa93f07beff18163 xmlns="846e6462-113b-49a4-99f6-59cc160d7bb7">
      <Terms xmlns="http://schemas.microsoft.com/office/infopath/2007/PartnerControls"/>
    </g34eac979de14de8aa93f07beff18163>
    <b08d243af3064ab486ac28b46c8c3461 xmlns="846e6462-113b-49a4-99f6-59cc160d7bb7">
      <Terms xmlns="http://schemas.microsoft.com/office/infopath/2007/PartnerControls"/>
    </b08d243af3064ab486ac28b46c8c3461>
    <CEFIC_RetentionPeriod xmlns="846e6462-113b-49a4-99f6-59cc160d7bb7" xsi:nil="true"/>
    <m4edcea054b54ac0a01fd4b02fa30b69 xmlns="846e6462-113b-49a4-99f6-59cc160d7bb7">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d9acfb56-e205-4757-8b5a-bdfd379abed3</TermId>
        </TermInfo>
      </Terms>
    </m4edcea054b54ac0a01fd4b02fa30b69>
    <k966dd7074b443bfb3cfb6a02676547f xmlns="846e6462-113b-49a4-99f6-59cc160d7bb7">
      <Terms xmlns="http://schemas.microsoft.com/office/infopath/2007/PartnerControls"/>
    </k966dd7074b443bfb3cfb6a02676547f>
    <l40e3e70b2414278b33a9b8a4a1d41b5 xmlns="846e6462-113b-49a4-99f6-59cc160d7bb7">
      <Terms xmlns="http://schemas.microsoft.com/office/infopath/2007/PartnerControls"/>
    </l40e3e70b2414278b33a9b8a4a1d41b5>
    <nc78952408e3422791080c99644f6b1a xmlns="846e6462-113b-49a4-99f6-59cc160d7bb7">
      <Terms xmlns="http://schemas.microsoft.com/office/infopath/2007/PartnerControls">
        <TermInfo xmlns="http://schemas.microsoft.com/office/infopath/2007/PartnerControls">
          <TermName xmlns="http://schemas.microsoft.com/office/infopath/2007/PartnerControls">Business documents</TermName>
          <TermId xmlns="http://schemas.microsoft.com/office/infopath/2007/PartnerControls">3c05f1a1-b89b-4b6b-8c97-e471b8cf36ed</TermId>
        </TermInfo>
      </Terms>
    </nc78952408e3422791080c99644f6b1a>
    <k9252d9797824297a694f85e80353817 xmlns="846e6462-113b-49a4-99f6-59cc160d7bb7">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c7117226-50a8-4405-9379-c156a801175c</TermId>
        </TermInfo>
      </Terms>
    </k9252d9797824297a694f85e80353817>
  </documentManagement>
</p:properties>
</file>

<file path=customXml/itemProps1.xml><?xml version="1.0" encoding="utf-8"?>
<ds:datastoreItem xmlns:ds="http://schemas.openxmlformats.org/officeDocument/2006/customXml" ds:itemID="{590AE105-DC04-41F9-B36A-7D8CDDAAA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e6462-113b-49a4-99f6-59cc160d7bb7"/>
    <ds:schemaRef ds:uri="063f955d-52cd-40b2-80f5-70171ea2be06"/>
    <ds:schemaRef ds:uri="efad64ae-f6df-4795-8cd4-0d5f474e7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4C8C1-EB88-48A7-B41A-9636D24F7F58}">
  <ds:schemaRefs>
    <ds:schemaRef ds:uri="http://schemas.microsoft.com/sharepoint/v3/contenttype/forms"/>
  </ds:schemaRefs>
</ds:datastoreItem>
</file>

<file path=customXml/itemProps3.xml><?xml version="1.0" encoding="utf-8"?>
<ds:datastoreItem xmlns:ds="http://schemas.openxmlformats.org/officeDocument/2006/customXml" ds:itemID="{4A2BEBAB-EFDC-4BF1-9088-3C1C4849F054}">
  <ds:schemaRefs>
    <ds:schemaRef ds:uri="http://schemas.openxmlformats.org/officeDocument/2006/bibliography"/>
  </ds:schemaRefs>
</ds:datastoreItem>
</file>

<file path=customXml/itemProps4.xml><?xml version="1.0" encoding="utf-8"?>
<ds:datastoreItem xmlns:ds="http://schemas.openxmlformats.org/officeDocument/2006/customXml" ds:itemID="{A6692C0D-E5D2-47B7-B666-E9C46BB0479F}">
  <ds:schemaRefs>
    <ds:schemaRef ds:uri="http://schemas.microsoft.com/office/2006/metadata/properties"/>
    <ds:schemaRef ds:uri="http://schemas.microsoft.com/office/infopath/2007/PartnerControls"/>
    <ds:schemaRef ds:uri="063f955d-52cd-40b2-80f5-70171ea2be06"/>
    <ds:schemaRef ds:uri="846e6462-113b-49a4-99f6-59cc160d7bb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10817</Words>
  <Characters>61659</Characters>
  <Application>Microsoft Office Word</Application>
  <DocSecurity>4</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FILIPPINI Francesca</dc:creator>
  <cp:keywords/>
  <dc:description/>
  <cp:lastModifiedBy>Kärt Kasak</cp:lastModifiedBy>
  <cp:revision>2</cp:revision>
  <cp:lastPrinted>2024-06-28T10:43:00Z</cp:lastPrinted>
  <dcterms:created xsi:type="dcterms:W3CDTF">2024-07-09T15:07:00Z</dcterms:created>
  <dcterms:modified xsi:type="dcterms:W3CDTF">2024-07-09T15:07:00Z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0x010100CBA00C31641D44D0B7778E08C566D85F030046D0C456C0DC1444AE08A4E5F38035C0</vt:lpwstr>
  </property>
  <property fmtid="{D5CDD505-2E9C-101B-9397-08002B2CF9AE}" pid="3" name="CEFIC_HA_DocumentStatus">
    <vt:lpwstr>7;#Draft|d9acfb56-e205-4757-8b5a-bdfd379abed3</vt:lpwstr>
  </property>
  <property fmtid="{D5CDD505-2E9C-101B-9397-08002B2CF9AE}" pid="4" name="CEFIC_Sensitivity">
    <vt:lpwstr/>
  </property>
  <property fmtid="{D5CDD505-2E9C-101B-9397-08002B2CF9AE}" pid="5" name="CEFIC_HA_Keywords">
    <vt:lpwstr/>
  </property>
  <property fmtid="{D5CDD505-2E9C-101B-9397-08002B2CF9AE}" pid="6" name="CEFIC_TargetAudience">
    <vt:lpwstr/>
  </property>
  <property fmtid="{D5CDD505-2E9C-101B-9397-08002B2CF9AE}" pid="7" name="CEFIC_HA_ApprovalProcess">
    <vt:lpwstr>8;#No|c7117226-50a8-4405-9379-c156a801175c</vt:lpwstr>
  </property>
  <property fmtid="{D5CDD505-2E9C-101B-9397-08002B2CF9AE}" pid="8" name="Document Type">
    <vt:lpwstr>1;#Business documents|3c05f1a1-b89b-4b6b-8c97-e471b8cf36ed</vt:lpwstr>
  </property>
  <property fmtid="{D5CDD505-2E9C-101B-9397-08002B2CF9AE}" pid="9" name="CEFIC_HA_Context">
    <vt:lpwstr/>
  </property>
  <property fmtid="{D5CDD505-2E9C-101B-9397-08002B2CF9AE}" pid="10" name="Order">
    <vt:r8>100</vt:r8>
  </property>
  <property fmtid="{D5CDD505-2E9C-101B-9397-08002B2CF9AE}" pid="11" name="Document_status">
    <vt:lpwstr>7;#Being worked on|61239119-fb6b-4477-99a9-0d9e8dd1a49e</vt:lpwstr>
  </property>
  <property fmtid="{D5CDD505-2E9C-101B-9397-08002B2CF9AE}" pid="12" name="Confidentiality">
    <vt:lpwstr>8;#3 - Internal use only|444dad51-745a-4285-abc9-4365fac0ec25</vt:lpwstr>
  </property>
  <property fmtid="{D5CDD505-2E9C-101B-9397-08002B2CF9AE}" pid="13" name="Document_Type">
    <vt:lpwstr>9;#NA|985ce182-55de-4937-95b7-506adedf733b</vt:lpwstr>
  </property>
  <property fmtid="{D5CDD505-2E9C-101B-9397-08002B2CF9AE}" pid="14" name="GDPR">
    <vt:lpwstr>10;#NA|3fbde490-865b-454f-b890-2db0972ec210</vt:lpwstr>
  </property>
  <property fmtid="{D5CDD505-2E9C-101B-9397-08002B2CF9AE}" pid="15" name="AI_Normalisation_status">
    <vt:lpwstr/>
  </property>
  <property fmtid="{D5CDD505-2E9C-101B-9397-08002B2CF9AE}" pid="16" name="AI_AIDB_status_MM">
    <vt:lpwstr/>
  </property>
  <property fmtid="{D5CDD505-2E9C-101B-9397-08002B2CF9AE}" pid="17" name="MSIP_Label_06530cf4-8573-4c29-a912-bbcdac835909_Enabled">
    <vt:lpwstr>true</vt:lpwstr>
  </property>
  <property fmtid="{D5CDD505-2E9C-101B-9397-08002B2CF9AE}" pid="18" name="MSIP_Label_06530cf4-8573-4c29-a912-bbcdac835909_Method">
    <vt:lpwstr>Standard</vt:lpwstr>
  </property>
  <property fmtid="{D5CDD505-2E9C-101B-9397-08002B2CF9AE}" pid="19" name="MSIP_Label_06530cf4-8573-4c29-a912-bbcdac835909_Name">
    <vt:lpwstr>06530cf4-8573-4c29-a912-bbcdac835909</vt:lpwstr>
  </property>
  <property fmtid="{D5CDD505-2E9C-101B-9397-08002B2CF9AE}" pid="20" name="MSIP_Label_06530cf4-8573-4c29-a912-bbcdac835909_SiteId">
    <vt:lpwstr>ecaa386b-c8df-4ce0-ad01-740cbdb5ba55</vt:lpwstr>
  </property>
  <property fmtid="{D5CDD505-2E9C-101B-9397-08002B2CF9AE}" pid="21" name="MSIP_Label_06530cf4-8573-4c29-a912-bbcdac835909_ContentBits">
    <vt:lpwstr>2</vt:lpwstr>
  </property>
  <property fmtid="{D5CDD505-2E9C-101B-9397-08002B2CF9AE}" pid="22" name="MSIP_Label_2ff753fd-faf2-4608-9b59-553f003adcdf_Enabled">
    <vt:lpwstr>true</vt:lpwstr>
  </property>
  <property fmtid="{D5CDD505-2E9C-101B-9397-08002B2CF9AE}" pid="23" name="MSIP_Label_2ff753fd-faf2-4608-9b59-553f003adcdf_SetDate">
    <vt:lpwstr>2023-04-18T19:07:05Z</vt:lpwstr>
  </property>
  <property fmtid="{D5CDD505-2E9C-101B-9397-08002B2CF9AE}" pid="24" name="MSIP_Label_2ff753fd-faf2-4608-9b59-553f003adcdf_Method">
    <vt:lpwstr>Privileged</vt:lpwstr>
  </property>
  <property fmtid="{D5CDD505-2E9C-101B-9397-08002B2CF9AE}" pid="25" name="MSIP_Label_2ff753fd-faf2-4608-9b59-553f003adcdf_Name">
    <vt:lpwstr>2ff753fd-faf2-4608-9b59-553f003adcdf</vt:lpwstr>
  </property>
  <property fmtid="{D5CDD505-2E9C-101B-9397-08002B2CF9AE}" pid="26" name="MSIP_Label_2ff753fd-faf2-4608-9b59-553f003adcdf_SiteId">
    <vt:lpwstr>49618402-6ea3-441d-957d-7df8773fee54</vt:lpwstr>
  </property>
  <property fmtid="{D5CDD505-2E9C-101B-9397-08002B2CF9AE}" pid="27" name="MSIP_Label_2ff753fd-faf2-4608-9b59-553f003adcdf_ActionId">
    <vt:lpwstr>c49b48a9-c2c1-4981-8e8d-51a4edc4f689</vt:lpwstr>
  </property>
  <property fmtid="{D5CDD505-2E9C-101B-9397-08002B2CF9AE}" pid="28" name="MSIP_Label_2ff753fd-faf2-4608-9b59-553f003adcdf_ContentBits">
    <vt:lpwstr>0</vt:lpwstr>
  </property>
  <property fmtid="{D5CDD505-2E9C-101B-9397-08002B2CF9AE}" pid="29" name="MSIP_Label_06530cf4-8573-4c29-a912-bbcdac835909_SetDate">
    <vt:lpwstr>2023-04-19T13:17:03Z</vt:lpwstr>
  </property>
  <property fmtid="{D5CDD505-2E9C-101B-9397-08002B2CF9AE}" pid="30" name="MSIP_Label_06530cf4-8573-4c29-a912-bbcdac835909_ActionId">
    <vt:lpwstr>91243d2d-3c3c-430e-9035-6268af6216ab</vt:lpwstr>
  </property>
  <property fmtid="{D5CDD505-2E9C-101B-9397-08002B2CF9AE}" pid="31" name="MSIP_Label_a31278c8-9e0c-4164-90a5-45ac4b30bdbb_Enabled">
    <vt:lpwstr>true</vt:lpwstr>
  </property>
  <property fmtid="{D5CDD505-2E9C-101B-9397-08002B2CF9AE}" pid="32" name="MSIP_Label_a31278c8-9e0c-4164-90a5-45ac4b30bdbb_SetDate">
    <vt:lpwstr>2024-05-23T13:02:47Z</vt:lpwstr>
  </property>
  <property fmtid="{D5CDD505-2E9C-101B-9397-08002B2CF9AE}" pid="33" name="MSIP_Label_a31278c8-9e0c-4164-90a5-45ac4b30bdbb_Method">
    <vt:lpwstr>Standard</vt:lpwstr>
  </property>
  <property fmtid="{D5CDD505-2E9C-101B-9397-08002B2CF9AE}" pid="34" name="MSIP_Label_a31278c8-9e0c-4164-90a5-45ac4b30bdbb_Name">
    <vt:lpwstr>Public</vt:lpwstr>
  </property>
  <property fmtid="{D5CDD505-2E9C-101B-9397-08002B2CF9AE}" pid="35" name="MSIP_Label_a31278c8-9e0c-4164-90a5-45ac4b30bdbb_SiteId">
    <vt:lpwstr>2aa31c1f-01c3-45fb-ac5d-93315bf8649e</vt:lpwstr>
  </property>
  <property fmtid="{D5CDD505-2E9C-101B-9397-08002B2CF9AE}" pid="36" name="MSIP_Label_a31278c8-9e0c-4164-90a5-45ac4b30bdbb_ActionId">
    <vt:lpwstr>de60d266-90cf-4b9f-a502-2743a1373491</vt:lpwstr>
  </property>
  <property fmtid="{D5CDD505-2E9C-101B-9397-08002B2CF9AE}" pid="37" name="MSIP_Label_a31278c8-9e0c-4164-90a5-45ac4b30bdbb_ContentBits">
    <vt:lpwstr>0</vt:lpwstr>
  </property>
</Properties>
</file>