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2367" w14:textId="11922EF7" w:rsidR="00477C2E" w:rsidRPr="00D77AA0" w:rsidRDefault="00477C2E" w:rsidP="00880EFC">
      <w:pPr>
        <w:jc w:val="both"/>
        <w:rPr>
          <w:sz w:val="32"/>
          <w:szCs w:val="32"/>
          <w:lang w:val="et-EE"/>
        </w:rPr>
      </w:pPr>
      <w:r w:rsidRPr="00D77AA0">
        <w:rPr>
          <w:sz w:val="32"/>
          <w:szCs w:val="32"/>
          <w:lang w:val="et-EE"/>
        </w:rPr>
        <w:t>EKTL vastus Sotsiaalministeeriumi tagasisidele etanooli teemal</w:t>
      </w:r>
    </w:p>
    <w:p w14:paraId="68BC6865" w14:textId="77777777" w:rsidR="00477C2E" w:rsidRPr="00477C2E" w:rsidRDefault="00477C2E" w:rsidP="00880EFC">
      <w:pPr>
        <w:jc w:val="both"/>
        <w:rPr>
          <w:lang w:val="et-EE"/>
        </w:rPr>
      </w:pPr>
    </w:p>
    <w:p w14:paraId="25E253D3" w14:textId="77777777" w:rsidR="00775EB1" w:rsidRPr="00775EB1" w:rsidRDefault="00775EB1" w:rsidP="00880EFC">
      <w:pPr>
        <w:jc w:val="both"/>
        <w:rPr>
          <w:lang w:val="et-EE"/>
        </w:rPr>
      </w:pPr>
      <w:r w:rsidRPr="00775EB1">
        <w:rPr>
          <w:lang w:val="et-EE"/>
        </w:rPr>
        <w:t>Täname Teid 2. mail saadetud vastuse eest, milles kinnitate, et juhul kui etanoolile puudub samaväärne toimiv alternatiiv, tuleks selle kasutamist desinfitseerimisvahendite koostises jätkuvalt lubada. Hindame kõrgelt seisukohta, mis toetab etanooli biotsiidset kasutust.</w:t>
      </w:r>
    </w:p>
    <w:p w14:paraId="76B69F6A" w14:textId="77777777" w:rsidR="00775EB1" w:rsidRPr="00775EB1" w:rsidRDefault="00775EB1" w:rsidP="00880EFC">
      <w:pPr>
        <w:jc w:val="both"/>
        <w:rPr>
          <w:lang w:val="et-EE"/>
        </w:rPr>
      </w:pPr>
      <w:r w:rsidRPr="00775EB1">
        <w:rPr>
          <w:lang w:val="et-EE"/>
        </w:rPr>
        <w:t>Samas peame kahetsusega märkima, et ülejäänud osas jätab Teie vastus paljud keemiatööstuse peamised küsimused ja murekohad käsitlemata. Lisaks jääb mulje, et KMR 1 klassifikatsiooniga kaasnevaid võimalikke tagajärgi on oluliselt alahinnatud ja pehmendatud.</w:t>
      </w:r>
    </w:p>
    <w:p w14:paraId="65B362FC" w14:textId="3014A72D" w:rsidR="00775EB1" w:rsidRPr="00D867D3" w:rsidRDefault="00775EB1" w:rsidP="00880EFC">
      <w:pPr>
        <w:pStyle w:val="ListParagraph"/>
        <w:numPr>
          <w:ilvl w:val="0"/>
          <w:numId w:val="2"/>
        </w:numPr>
        <w:jc w:val="both"/>
        <w:rPr>
          <w:lang w:val="et-EE"/>
        </w:rPr>
      </w:pPr>
      <w:r w:rsidRPr="00775EB1">
        <w:rPr>
          <w:lang w:val="et-EE"/>
        </w:rPr>
        <w:t>Tõstate õigesti esile, et EKTL on oma pöördumises palunud Eesti pädeval asutusel – Terviseametil – mitte toetada Biotsiidikomitee</w:t>
      </w:r>
      <w:r w:rsidR="0036765C">
        <w:rPr>
          <w:lang w:val="et-EE"/>
        </w:rPr>
        <w:t xml:space="preserve"> (BPC)</w:t>
      </w:r>
      <w:r w:rsidRPr="00775EB1">
        <w:rPr>
          <w:lang w:val="et-EE"/>
        </w:rPr>
        <w:t xml:space="preserve"> töögrupi ettepanekut klassifitseerida etanool ümber KMR 1-kategooria aineks.</w:t>
      </w:r>
      <w:r w:rsidR="00D867D3">
        <w:rPr>
          <w:lang w:val="et-EE"/>
        </w:rPr>
        <w:t xml:space="preserve"> </w:t>
      </w:r>
      <w:r w:rsidRPr="00D867D3">
        <w:rPr>
          <w:b/>
          <w:bCs/>
          <w:lang w:val="et-EE"/>
        </w:rPr>
        <w:t>Kahjuks ei sisaldu Teie vastuses selget seisukohta riigi tasandil selles küsimuses.</w:t>
      </w:r>
    </w:p>
    <w:p w14:paraId="4AAB0FEB" w14:textId="77777777" w:rsidR="00775EB1" w:rsidRDefault="00775EB1" w:rsidP="00880EFC">
      <w:pPr>
        <w:pStyle w:val="ListParagraph"/>
        <w:jc w:val="both"/>
        <w:rPr>
          <w:lang w:val="et-EE"/>
        </w:rPr>
      </w:pPr>
    </w:p>
    <w:p w14:paraId="1DB3F789" w14:textId="1ECDFB9C" w:rsidR="00094D4B" w:rsidRDefault="00094D4B" w:rsidP="00880EFC">
      <w:pPr>
        <w:pStyle w:val="ListParagraph"/>
        <w:jc w:val="both"/>
        <w:rPr>
          <w:lang w:val="et-EE"/>
        </w:rPr>
      </w:pPr>
      <w:r>
        <w:rPr>
          <w:lang w:val="et-EE"/>
        </w:rPr>
        <w:t xml:space="preserve">Oleme korduvalt juhtinud tähelepanu, et etanooli ümberklassifitseerimine KMR 1 aineks praeguse </w:t>
      </w:r>
      <w:r w:rsidR="002F3065">
        <w:rPr>
          <w:lang w:val="et-EE"/>
        </w:rPr>
        <w:t>biotsiidimääruse</w:t>
      </w:r>
      <w:r>
        <w:rPr>
          <w:lang w:val="et-EE"/>
        </w:rPr>
        <w:t xml:space="preserve"> protsessi raames ei ole põhjendatud:</w:t>
      </w:r>
    </w:p>
    <w:p w14:paraId="029C9AF6" w14:textId="77777777" w:rsidR="00094D4B" w:rsidRDefault="00094D4B" w:rsidP="00880EFC">
      <w:pPr>
        <w:pStyle w:val="ListParagraph"/>
        <w:numPr>
          <w:ilvl w:val="0"/>
          <w:numId w:val="3"/>
        </w:numPr>
        <w:jc w:val="both"/>
        <w:rPr>
          <w:lang w:val="et-EE"/>
        </w:rPr>
      </w:pPr>
      <w:r w:rsidRPr="00094D4B">
        <w:rPr>
          <w:lang w:val="et-EE"/>
        </w:rPr>
        <w:t>Ainult ECHA riskihindamiskomitee (RAC) on pädev ja omab nõuetekohaseid eksperte, et otsustada etanooli klassifitseerimise üle CLP-määruse alusel.</w:t>
      </w:r>
    </w:p>
    <w:p w14:paraId="5D0BBFE5" w14:textId="0DFFE6BB" w:rsidR="00094D4B" w:rsidRDefault="00094D4B" w:rsidP="00880EFC">
      <w:pPr>
        <w:pStyle w:val="ListParagraph"/>
        <w:numPr>
          <w:ilvl w:val="0"/>
          <w:numId w:val="3"/>
        </w:numPr>
        <w:jc w:val="both"/>
        <w:rPr>
          <w:lang w:val="et-EE"/>
        </w:rPr>
      </w:pPr>
      <w:r w:rsidRPr="00094D4B">
        <w:rPr>
          <w:lang w:val="et-EE"/>
        </w:rPr>
        <w:t xml:space="preserve">2013. aastal jõuti järeldusele, et </w:t>
      </w:r>
      <w:r w:rsidR="00E82C6C">
        <w:rPr>
          <w:lang w:val="et-EE"/>
        </w:rPr>
        <w:t>hindava</w:t>
      </w:r>
      <w:r w:rsidRPr="00094D4B">
        <w:rPr>
          <w:lang w:val="et-EE"/>
        </w:rPr>
        <w:t xml:space="preserve"> asutuse hindamisaruanne (CAR) sisaldab ebapiisavalt teavet etanooli kantserogeensete, mutageensete ja reproduktiivtoksiliste omaduste kohta otsuse tegemiseks. Kuna toimikut ega CAR-i ei ole alates 2013. aastast </w:t>
      </w:r>
      <w:r>
        <w:rPr>
          <w:lang w:val="et-EE"/>
        </w:rPr>
        <w:t>KMR</w:t>
      </w:r>
      <w:r w:rsidRPr="00094D4B">
        <w:rPr>
          <w:lang w:val="et-EE"/>
        </w:rPr>
        <w:t xml:space="preserve"> omaduste osas oluliselt ajakohastatud, oleks teaduslikult vale täna teistsugust järeldust teha ning selle kohta ei</w:t>
      </w:r>
      <w:r w:rsidR="009306C4">
        <w:rPr>
          <w:lang w:val="et-EE"/>
        </w:rPr>
        <w:t xml:space="preserve"> ole</w:t>
      </w:r>
      <w:r w:rsidRPr="00094D4B">
        <w:rPr>
          <w:lang w:val="et-EE"/>
        </w:rPr>
        <w:t xml:space="preserve"> esitatud ka mingit selgitust ega põhjendust.</w:t>
      </w:r>
      <w:r>
        <w:rPr>
          <w:lang w:val="et-EE"/>
        </w:rPr>
        <w:t xml:space="preserve"> </w:t>
      </w:r>
    </w:p>
    <w:p w14:paraId="2A06B694" w14:textId="69D083F4" w:rsidR="009306C4" w:rsidRDefault="009306C4" w:rsidP="00880EFC">
      <w:pPr>
        <w:pStyle w:val="ListParagraph"/>
        <w:numPr>
          <w:ilvl w:val="0"/>
          <w:numId w:val="3"/>
        </w:numPr>
        <w:jc w:val="both"/>
        <w:rPr>
          <w:lang w:val="et-EE"/>
        </w:rPr>
      </w:pPr>
      <w:r w:rsidRPr="009306C4">
        <w:rPr>
          <w:lang w:val="et-EE"/>
        </w:rPr>
        <w:t xml:space="preserve">Inimtervise töörühm ei suutnud otsustada, kas etanool vastab 1. kategooria A- või B-klassi kantserogeense ja reproduktiivtoksilise aine kriteeriumidele, ega suutnud teha otsust mutageense toime kohta. See asjaolu iseenesest näitab etanooli </w:t>
      </w:r>
      <w:r>
        <w:rPr>
          <w:lang w:val="et-EE"/>
        </w:rPr>
        <w:t>K</w:t>
      </w:r>
      <w:r w:rsidRPr="009306C4">
        <w:rPr>
          <w:lang w:val="et-EE"/>
        </w:rPr>
        <w:t>MR-</w:t>
      </w:r>
      <w:r>
        <w:rPr>
          <w:lang w:val="et-EE"/>
        </w:rPr>
        <w:t>omaduste</w:t>
      </w:r>
      <w:r w:rsidRPr="009306C4">
        <w:rPr>
          <w:lang w:val="et-EE"/>
        </w:rPr>
        <w:t xml:space="preserve"> osas ebaselgust. Samuti on </w:t>
      </w:r>
      <w:r w:rsidR="00775EB1">
        <w:rPr>
          <w:lang w:val="et-EE"/>
        </w:rPr>
        <w:t>etanooli kasutamist esindav tööstuse konsortsium (</w:t>
      </w:r>
      <w:r w:rsidR="00416FA4">
        <w:rPr>
          <w:lang w:val="et-EE"/>
        </w:rPr>
        <w:t>Alcco</w:t>
      </w:r>
      <w:r w:rsidR="000D1012">
        <w:rPr>
          <w:lang w:val="et-EE"/>
        </w:rPr>
        <w:t>hol TaskForce</w:t>
      </w:r>
      <w:r w:rsidR="00775EB1">
        <w:rPr>
          <w:lang w:val="et-EE"/>
        </w:rPr>
        <w:t>)</w:t>
      </w:r>
      <w:r w:rsidR="000D1012">
        <w:rPr>
          <w:lang w:val="et-EE"/>
        </w:rPr>
        <w:t xml:space="preserve"> </w:t>
      </w:r>
      <w:r w:rsidR="00775EB1">
        <w:rPr>
          <w:lang w:val="et-EE"/>
        </w:rPr>
        <w:t>seisukohal</w:t>
      </w:r>
      <w:r w:rsidRPr="009306C4">
        <w:rPr>
          <w:lang w:val="et-EE"/>
        </w:rPr>
        <w:t>, et</w:t>
      </w:r>
      <w:r>
        <w:rPr>
          <w:lang w:val="et-EE"/>
        </w:rPr>
        <w:t xml:space="preserve"> biotsiidikomitee inimtervise</w:t>
      </w:r>
      <w:r w:rsidRPr="009306C4">
        <w:rPr>
          <w:lang w:val="et-EE"/>
        </w:rPr>
        <w:t xml:space="preserve"> töörühmas osales otsustusprotsessis väga vähe eksperte, mis rõhutab etanooli </w:t>
      </w:r>
      <w:r>
        <w:rPr>
          <w:lang w:val="et-EE"/>
        </w:rPr>
        <w:t>K</w:t>
      </w:r>
      <w:r w:rsidRPr="009306C4">
        <w:rPr>
          <w:lang w:val="et-EE"/>
        </w:rPr>
        <w:t>MR-omaduste osas ebaselgust.</w:t>
      </w:r>
    </w:p>
    <w:p w14:paraId="485202D2" w14:textId="6206424F" w:rsidR="00233D39" w:rsidRDefault="00233D39" w:rsidP="00880EFC">
      <w:pPr>
        <w:pStyle w:val="ListParagraph"/>
        <w:numPr>
          <w:ilvl w:val="0"/>
          <w:numId w:val="3"/>
        </w:numPr>
        <w:jc w:val="both"/>
        <w:rPr>
          <w:lang w:val="et-EE"/>
        </w:rPr>
      </w:pPr>
      <w:r w:rsidRPr="00233D39">
        <w:rPr>
          <w:lang w:val="et-EE"/>
        </w:rPr>
        <w:t xml:space="preserve">Arvestades olemasolevate </w:t>
      </w:r>
      <w:r>
        <w:rPr>
          <w:lang w:val="et-EE"/>
        </w:rPr>
        <w:t>K</w:t>
      </w:r>
      <w:r w:rsidRPr="00233D39">
        <w:rPr>
          <w:lang w:val="et-EE"/>
        </w:rPr>
        <w:t xml:space="preserve">MR-andmete ebatäpsust, oleks BPC-l ennatlik ja teaduslikult/juriidiliselt ebakorrektne ennetada RAC-i otsuste tegemist, eriti arvestades vastuoluliste tulemuste reaalset ohtu ja segadust, mida see </w:t>
      </w:r>
      <w:r w:rsidRPr="00233D39">
        <w:rPr>
          <w:lang w:val="et-EE"/>
        </w:rPr>
        <w:lastRenderedPageBreak/>
        <w:t xml:space="preserve">tekitaks kõigile turuosalistele ja ametiasutustele. </w:t>
      </w:r>
      <w:r>
        <w:rPr>
          <w:lang w:val="et-EE"/>
        </w:rPr>
        <w:t>Lisaks</w:t>
      </w:r>
      <w:r w:rsidRPr="00233D39">
        <w:rPr>
          <w:lang w:val="et-EE"/>
        </w:rPr>
        <w:t xml:space="preserve"> oleks see vastuolus ka Euroopa Komisjoni algatatud OSOA</w:t>
      </w:r>
      <w:r>
        <w:rPr>
          <w:lang w:val="et-EE"/>
        </w:rPr>
        <w:t xml:space="preserve"> (üks aine, üks hindamine)</w:t>
      </w:r>
      <w:r w:rsidRPr="00233D39">
        <w:rPr>
          <w:lang w:val="et-EE"/>
        </w:rPr>
        <w:t xml:space="preserve"> reformiga.</w:t>
      </w:r>
    </w:p>
    <w:p w14:paraId="0FB4C93C" w14:textId="79667B2B" w:rsidR="00233D39" w:rsidRDefault="00233D39" w:rsidP="00880EFC">
      <w:pPr>
        <w:pStyle w:val="ListParagraph"/>
        <w:numPr>
          <w:ilvl w:val="0"/>
          <w:numId w:val="3"/>
        </w:numPr>
        <w:jc w:val="both"/>
        <w:rPr>
          <w:lang w:val="et-EE"/>
        </w:rPr>
      </w:pPr>
      <w:r w:rsidRPr="00233D39">
        <w:rPr>
          <w:lang w:val="et-EE"/>
        </w:rPr>
        <w:t xml:space="preserve">Ettepanek klassifitseerida etanool (mitte ainult </w:t>
      </w:r>
      <w:r w:rsidR="002B0A9C">
        <w:rPr>
          <w:lang w:val="et-EE"/>
        </w:rPr>
        <w:t>KMR</w:t>
      </w:r>
      <w:r w:rsidRPr="00233D39">
        <w:rPr>
          <w:lang w:val="et-EE"/>
        </w:rPr>
        <w:t xml:space="preserve"> toime, vaid ka muude </w:t>
      </w:r>
      <w:r w:rsidR="00206E26">
        <w:rPr>
          <w:lang w:val="et-EE"/>
        </w:rPr>
        <w:t>ohtude</w:t>
      </w:r>
      <w:r w:rsidRPr="00233D39">
        <w:rPr>
          <w:lang w:val="et-EE"/>
        </w:rPr>
        <w:t xml:space="preserve">, näiteks imetamise kaudu avalduva toime ja sihtelundi mürgisuse </w:t>
      </w:r>
      <w:r w:rsidR="008219C7">
        <w:rPr>
          <w:lang w:val="et-EE"/>
        </w:rPr>
        <w:t>osas</w:t>
      </w:r>
      <w:r w:rsidRPr="00233D39">
        <w:rPr>
          <w:lang w:val="et-EE"/>
        </w:rPr>
        <w:t>) 1. kategooria kantserogeenseks ja reproduktiivtoksiliseks aineks põhineb peamiselt inimeste suukaudse kuritarvitamise andmetel, mis ei ole biotsiidide kasutamise puhul asjakohased. Etanooli kasutamisel biotsiidina</w:t>
      </w:r>
      <w:r w:rsidR="0011407D">
        <w:rPr>
          <w:lang w:val="et-EE"/>
        </w:rPr>
        <w:t xml:space="preserve">, kus kokkupuude esineb </w:t>
      </w:r>
      <w:r w:rsidRPr="00233D39">
        <w:rPr>
          <w:lang w:val="et-EE"/>
        </w:rPr>
        <w:t xml:space="preserve">sissehingamise </w:t>
      </w:r>
      <w:r w:rsidR="00EF6737">
        <w:rPr>
          <w:lang w:val="et-EE"/>
        </w:rPr>
        <w:t xml:space="preserve">ja </w:t>
      </w:r>
      <w:r w:rsidRPr="00233D39">
        <w:rPr>
          <w:lang w:val="et-EE"/>
        </w:rPr>
        <w:t>naha</w:t>
      </w:r>
      <w:r w:rsidR="00EF6737">
        <w:rPr>
          <w:lang w:val="et-EE"/>
        </w:rPr>
        <w:t xml:space="preserve"> </w:t>
      </w:r>
      <w:r w:rsidRPr="00233D39">
        <w:rPr>
          <w:lang w:val="et-EE"/>
        </w:rPr>
        <w:t>kaud</w:t>
      </w:r>
      <w:r w:rsidR="00EF6737">
        <w:rPr>
          <w:lang w:val="et-EE"/>
        </w:rPr>
        <w:t>u, ei ilmne mitte</w:t>
      </w:r>
      <w:r w:rsidRPr="00233D39">
        <w:rPr>
          <w:lang w:val="et-EE"/>
        </w:rPr>
        <w:t xml:space="preserve"> mingeid ohte. Selle</w:t>
      </w:r>
      <w:r w:rsidR="006074BD">
        <w:rPr>
          <w:lang w:val="et-EE"/>
        </w:rPr>
        <w:t>s kontekstis</w:t>
      </w:r>
      <w:r w:rsidRPr="00233D39">
        <w:rPr>
          <w:lang w:val="et-EE"/>
        </w:rPr>
        <w:t xml:space="preserve"> peab klassifitseerimine põhinema </w:t>
      </w:r>
      <w:r w:rsidR="00B8548E">
        <w:rPr>
          <w:lang w:val="et-EE"/>
        </w:rPr>
        <w:t>aine kujul</w:t>
      </w:r>
      <w:r w:rsidRPr="00233D39">
        <w:rPr>
          <w:lang w:val="et-EE"/>
        </w:rPr>
        <w:t>/füüsikalisel olekul, milles etanooli "</w:t>
      </w:r>
      <w:r w:rsidR="00C41FA0">
        <w:rPr>
          <w:lang w:val="et-EE"/>
        </w:rPr>
        <w:t>mõistlike eelduste</w:t>
      </w:r>
      <w:r w:rsidRPr="00233D39">
        <w:rPr>
          <w:lang w:val="et-EE"/>
        </w:rPr>
        <w:t xml:space="preserve"> </w:t>
      </w:r>
      <w:r w:rsidR="008A2167">
        <w:rPr>
          <w:lang w:val="et-EE"/>
        </w:rPr>
        <w:t>kohaselt kasutama hakatakse</w:t>
      </w:r>
      <w:r w:rsidRPr="00233D39">
        <w:rPr>
          <w:lang w:val="et-EE"/>
        </w:rPr>
        <w:t>" (CLP-määruse artikkel 5), mis ei hõlma alkoholi kuritarvitamist. Samamoodi on 2024. aasta CLP-juhendkriteeriumides sätestatud, et andmed "tahtliku kokkupuute (st kuritarvitamise) kohta ei anna tõenäoliselt piisavalt usaldusväärseid tõendeid klassifitseerimise toetamiseks ilma muude tõenditeta".</w:t>
      </w:r>
    </w:p>
    <w:p w14:paraId="2F869756" w14:textId="77777777" w:rsidR="00287522" w:rsidRDefault="00287522" w:rsidP="00880EFC">
      <w:pPr>
        <w:pStyle w:val="ListParagraph"/>
        <w:jc w:val="both"/>
        <w:rPr>
          <w:lang w:val="et-EE"/>
        </w:rPr>
      </w:pPr>
    </w:p>
    <w:p w14:paraId="1A0C7C9E" w14:textId="77777777" w:rsidR="00170E91" w:rsidRDefault="00287522" w:rsidP="00880EFC">
      <w:pPr>
        <w:pStyle w:val="ListParagraph"/>
        <w:numPr>
          <w:ilvl w:val="0"/>
          <w:numId w:val="2"/>
        </w:numPr>
        <w:jc w:val="both"/>
        <w:rPr>
          <w:b/>
          <w:bCs/>
          <w:lang w:val="et-EE"/>
        </w:rPr>
      </w:pPr>
      <w:r>
        <w:rPr>
          <w:lang w:val="et-EE"/>
        </w:rPr>
        <w:t xml:space="preserve">Tõstate õigesti esile, et etanooli on teatud tingimustel võimalik desinfitseerimisvahendites edasi kasutada ka siis, kui see saab KMR 1 klassifikatsiooni, aga </w:t>
      </w:r>
      <w:r w:rsidRPr="00344CD5">
        <w:rPr>
          <w:b/>
          <w:bCs/>
          <w:lang w:val="et-EE"/>
        </w:rPr>
        <w:t>jätate mainimata kõik kaskaadefektina kaasnevad</w:t>
      </w:r>
      <w:r w:rsidR="00817408" w:rsidRPr="00344CD5">
        <w:rPr>
          <w:b/>
          <w:bCs/>
          <w:lang w:val="et-EE"/>
        </w:rPr>
        <w:t xml:space="preserve"> äärmiselt</w:t>
      </w:r>
      <w:r w:rsidRPr="00344CD5">
        <w:rPr>
          <w:b/>
          <w:bCs/>
          <w:lang w:val="et-EE"/>
        </w:rPr>
        <w:t xml:space="preserve"> negatiivsed tagajärjed. </w:t>
      </w:r>
    </w:p>
    <w:p w14:paraId="11628C7C" w14:textId="77777777" w:rsidR="00170E91" w:rsidRDefault="00170E91" w:rsidP="00880EFC">
      <w:pPr>
        <w:pStyle w:val="ListParagraph"/>
        <w:jc w:val="both"/>
        <w:rPr>
          <w:b/>
          <w:bCs/>
          <w:lang w:val="et-EE"/>
        </w:rPr>
      </w:pPr>
    </w:p>
    <w:p w14:paraId="1FD0F079" w14:textId="6C158A2B" w:rsidR="00504051" w:rsidRPr="00170E91" w:rsidRDefault="00504051" w:rsidP="00880EFC">
      <w:pPr>
        <w:pStyle w:val="ListParagraph"/>
        <w:jc w:val="both"/>
        <w:rPr>
          <w:b/>
          <w:bCs/>
          <w:lang w:val="et-EE"/>
        </w:rPr>
      </w:pPr>
      <w:r w:rsidRPr="0030085C">
        <w:t xml:space="preserve">Kui </w:t>
      </w:r>
      <w:proofErr w:type="spellStart"/>
      <w:r w:rsidRPr="0030085C">
        <w:t>etanool</w:t>
      </w:r>
      <w:proofErr w:type="spellEnd"/>
      <w:r w:rsidRPr="0030085C">
        <w:t xml:space="preserve"> </w:t>
      </w:r>
      <w:proofErr w:type="spellStart"/>
      <w:r w:rsidRPr="0030085C">
        <w:t>kvalifitseerub</w:t>
      </w:r>
      <w:proofErr w:type="spellEnd"/>
      <w:r w:rsidRPr="0030085C">
        <w:t xml:space="preserve"> </w:t>
      </w:r>
      <w:proofErr w:type="spellStart"/>
      <w:r w:rsidRPr="0030085C">
        <w:t>biotsiidimääruse</w:t>
      </w:r>
      <w:proofErr w:type="spellEnd"/>
      <w:r w:rsidRPr="0030085C">
        <w:t xml:space="preserve"> (BPR) </w:t>
      </w:r>
      <w:proofErr w:type="spellStart"/>
      <w:r w:rsidRPr="0030085C">
        <w:t>alusel</w:t>
      </w:r>
      <w:proofErr w:type="spellEnd"/>
      <w:r w:rsidRPr="0030085C">
        <w:t xml:space="preserve"> </w:t>
      </w:r>
      <w:proofErr w:type="spellStart"/>
      <w:r w:rsidRPr="0030085C">
        <w:t>välistamis</w:t>
      </w:r>
      <w:proofErr w:type="spellEnd"/>
      <w:r w:rsidRPr="0030085C">
        <w:t xml:space="preserve">- </w:t>
      </w:r>
      <w:proofErr w:type="spellStart"/>
      <w:r w:rsidRPr="0030085C">
        <w:t>või</w:t>
      </w:r>
      <w:proofErr w:type="spellEnd"/>
      <w:r w:rsidRPr="0030085C">
        <w:t xml:space="preserve"> </w:t>
      </w:r>
      <w:proofErr w:type="spellStart"/>
      <w:r w:rsidRPr="0030085C">
        <w:t>asendamiskriteeriumitele</w:t>
      </w:r>
      <w:proofErr w:type="spellEnd"/>
      <w:r w:rsidRPr="0030085C">
        <w:t xml:space="preserve"> </w:t>
      </w:r>
      <w:proofErr w:type="spellStart"/>
      <w:r w:rsidRPr="0030085C">
        <w:t>vastavaks</w:t>
      </w:r>
      <w:proofErr w:type="spellEnd"/>
      <w:r w:rsidRPr="0030085C">
        <w:t xml:space="preserve"> </w:t>
      </w:r>
      <w:proofErr w:type="spellStart"/>
      <w:r w:rsidRPr="0030085C">
        <w:t>aineks</w:t>
      </w:r>
      <w:proofErr w:type="spellEnd"/>
      <w:r>
        <w:t xml:space="preserve"> (</w:t>
      </w:r>
      <w:proofErr w:type="spellStart"/>
      <w:r>
        <w:t>st</w:t>
      </w:r>
      <w:proofErr w:type="spellEnd"/>
      <w:r>
        <w:t xml:space="preserve"> </w:t>
      </w:r>
      <w:proofErr w:type="spellStart"/>
      <w:r>
        <w:t>saab</w:t>
      </w:r>
      <w:proofErr w:type="spellEnd"/>
      <w:r>
        <w:t xml:space="preserve"> KMR 1 </w:t>
      </w:r>
      <w:proofErr w:type="spellStart"/>
      <w:r>
        <w:t>klassifikatsiooni</w:t>
      </w:r>
      <w:proofErr w:type="spellEnd"/>
      <w:r>
        <w:t>)</w:t>
      </w:r>
      <w:r w:rsidRPr="0030085C">
        <w:t xml:space="preserve">, </w:t>
      </w:r>
      <w:proofErr w:type="spellStart"/>
      <w:r w:rsidRPr="0030085C">
        <w:t>toob</w:t>
      </w:r>
      <w:proofErr w:type="spellEnd"/>
      <w:r w:rsidRPr="0030085C">
        <w:t xml:space="preserve"> see </w:t>
      </w:r>
      <w:proofErr w:type="spellStart"/>
      <w:r w:rsidRPr="0030085C">
        <w:t>kaasa</w:t>
      </w:r>
      <w:proofErr w:type="spellEnd"/>
      <w:r>
        <w:t xml:space="preserve"> </w:t>
      </w:r>
      <w:proofErr w:type="spellStart"/>
      <w:r>
        <w:t>ainult</w:t>
      </w:r>
      <w:proofErr w:type="spellEnd"/>
      <w:r w:rsidRPr="0030085C">
        <w:t xml:space="preserve"> </w:t>
      </w:r>
      <w:proofErr w:type="spellStart"/>
      <w:r w:rsidRPr="0030085C">
        <w:t>piiratud</w:t>
      </w:r>
      <w:proofErr w:type="spellEnd"/>
      <w:r w:rsidRPr="0030085C">
        <w:t xml:space="preserve"> ja </w:t>
      </w:r>
      <w:proofErr w:type="spellStart"/>
      <w:r w:rsidRPr="0030085C">
        <w:t>kasutuspõhised</w:t>
      </w:r>
      <w:proofErr w:type="spellEnd"/>
      <w:r w:rsidRPr="0030085C">
        <w:t xml:space="preserve"> </w:t>
      </w:r>
      <w:proofErr w:type="spellStart"/>
      <w:r w:rsidRPr="0030085C">
        <w:t>heakskiidud</w:t>
      </w:r>
      <w:proofErr w:type="spellEnd"/>
      <w:r w:rsidRPr="0030085C">
        <w:t xml:space="preserve"> </w:t>
      </w:r>
      <w:proofErr w:type="spellStart"/>
      <w:r w:rsidRPr="0030085C">
        <w:t>koos</w:t>
      </w:r>
      <w:proofErr w:type="spellEnd"/>
      <w:r w:rsidRPr="0030085C">
        <w:t xml:space="preserve"> </w:t>
      </w:r>
      <w:proofErr w:type="spellStart"/>
      <w:r w:rsidRPr="0030085C">
        <w:t>rangete</w:t>
      </w:r>
      <w:proofErr w:type="spellEnd"/>
      <w:r w:rsidRPr="0030085C">
        <w:t xml:space="preserve"> </w:t>
      </w:r>
      <w:proofErr w:type="spellStart"/>
      <w:r w:rsidRPr="0030085C">
        <w:t>riskimaandamismeetmetega</w:t>
      </w:r>
      <w:proofErr w:type="spellEnd"/>
      <w:r w:rsidRPr="0030085C">
        <w:t xml:space="preserve">, mis </w:t>
      </w:r>
      <w:proofErr w:type="spellStart"/>
      <w:r w:rsidRPr="0030085C">
        <w:t>tekitavad</w:t>
      </w:r>
      <w:proofErr w:type="spellEnd"/>
      <w:r w:rsidRPr="0030085C">
        <w:t xml:space="preserve"> </w:t>
      </w:r>
      <w:proofErr w:type="spellStart"/>
      <w:r w:rsidRPr="0030085C">
        <w:t>regulatiivset</w:t>
      </w:r>
      <w:proofErr w:type="spellEnd"/>
      <w:r w:rsidRPr="0030085C">
        <w:t xml:space="preserve"> </w:t>
      </w:r>
      <w:proofErr w:type="spellStart"/>
      <w:r w:rsidRPr="0030085C">
        <w:t>survet</w:t>
      </w:r>
      <w:proofErr w:type="spellEnd"/>
      <w:r w:rsidRPr="0030085C">
        <w:t xml:space="preserve"> </w:t>
      </w:r>
      <w:proofErr w:type="spellStart"/>
      <w:r w:rsidRPr="0030085C">
        <w:t>ning</w:t>
      </w:r>
      <w:proofErr w:type="spellEnd"/>
      <w:r w:rsidRPr="0030085C">
        <w:t xml:space="preserve"> </w:t>
      </w:r>
      <w:proofErr w:type="spellStart"/>
      <w:r w:rsidRPr="0030085C">
        <w:t>häirivad</w:t>
      </w:r>
      <w:proofErr w:type="spellEnd"/>
      <w:r w:rsidRPr="0030085C">
        <w:t xml:space="preserve"> </w:t>
      </w:r>
      <w:proofErr w:type="spellStart"/>
      <w:r w:rsidRPr="0030085C">
        <w:t>tootmist</w:t>
      </w:r>
      <w:proofErr w:type="spellEnd"/>
      <w:r w:rsidRPr="0030085C">
        <w:t xml:space="preserve"> ja </w:t>
      </w:r>
      <w:proofErr w:type="spellStart"/>
      <w:r w:rsidRPr="0030085C">
        <w:t>turul</w:t>
      </w:r>
      <w:proofErr w:type="spellEnd"/>
      <w:r w:rsidRPr="0030085C">
        <w:t xml:space="preserve"> </w:t>
      </w:r>
      <w:proofErr w:type="spellStart"/>
      <w:r w:rsidRPr="0030085C">
        <w:t>kättesaadavust</w:t>
      </w:r>
      <w:proofErr w:type="spellEnd"/>
      <w:r w:rsidRPr="0030085C">
        <w:t>.</w:t>
      </w:r>
    </w:p>
    <w:p w14:paraId="5ED85A5C" w14:textId="1B6D806B" w:rsidR="006843FE" w:rsidRPr="00170E91" w:rsidRDefault="004C7AEA" w:rsidP="00880EFC">
      <w:pPr>
        <w:pStyle w:val="ListParagraph"/>
        <w:numPr>
          <w:ilvl w:val="0"/>
          <w:numId w:val="3"/>
        </w:numPr>
        <w:jc w:val="both"/>
        <w:rPr>
          <w:lang w:val="et-EE"/>
        </w:rPr>
      </w:pPr>
      <w:r w:rsidRPr="00170E91">
        <w:rPr>
          <w:lang w:val="et-EE"/>
        </w:rPr>
        <w:t>Tööstuslike ja professionaalsete e</w:t>
      </w:r>
      <w:r w:rsidR="00E25507" w:rsidRPr="00170E91">
        <w:rPr>
          <w:lang w:val="et-EE"/>
        </w:rPr>
        <w:t xml:space="preserve">tanooli sisaldavate biotsiidide suhtes </w:t>
      </w:r>
      <w:r w:rsidRPr="00170E91">
        <w:rPr>
          <w:lang w:val="et-EE"/>
        </w:rPr>
        <w:t xml:space="preserve">tuleks </w:t>
      </w:r>
      <w:r w:rsidR="00E25507" w:rsidRPr="00170E91">
        <w:rPr>
          <w:lang w:val="et-EE"/>
        </w:rPr>
        <w:t>kohalda</w:t>
      </w:r>
      <w:r w:rsidRPr="00170E91">
        <w:rPr>
          <w:lang w:val="et-EE"/>
        </w:rPr>
        <w:t>da</w:t>
      </w:r>
      <w:r w:rsidR="00E25507" w:rsidRPr="00170E91">
        <w:rPr>
          <w:lang w:val="et-EE"/>
        </w:rPr>
        <w:t xml:space="preserve"> võrdlevat hindamist (st ne</w:t>
      </w:r>
      <w:r w:rsidR="006843FE" w:rsidRPr="00170E91">
        <w:rPr>
          <w:lang w:val="et-EE"/>
        </w:rPr>
        <w:t>id püütaks</w:t>
      </w:r>
      <w:r w:rsidR="00E25507" w:rsidRPr="00170E91">
        <w:rPr>
          <w:lang w:val="et-EE"/>
        </w:rPr>
        <w:t xml:space="preserve"> eemalda</w:t>
      </w:r>
      <w:r w:rsidR="006843FE" w:rsidRPr="00170E91">
        <w:rPr>
          <w:lang w:val="et-EE"/>
        </w:rPr>
        <w:t>da</w:t>
      </w:r>
      <w:r w:rsidR="00E25507" w:rsidRPr="00170E91">
        <w:rPr>
          <w:lang w:val="et-EE"/>
        </w:rPr>
        <w:t xml:space="preserve"> või asenda</w:t>
      </w:r>
      <w:r w:rsidR="006843FE" w:rsidRPr="00170E91">
        <w:rPr>
          <w:lang w:val="et-EE"/>
        </w:rPr>
        <w:t>da</w:t>
      </w:r>
      <w:r w:rsidR="00E25507" w:rsidRPr="00170E91">
        <w:rPr>
          <w:lang w:val="et-EE"/>
        </w:rPr>
        <w:t>)</w:t>
      </w:r>
      <w:r w:rsidR="0030744D" w:rsidRPr="00170E91">
        <w:rPr>
          <w:lang w:val="et-EE"/>
        </w:rPr>
        <w:t>. Kui alternatiivide puudumise tõttu sellised tooted siiski saaksid heaks</w:t>
      </w:r>
      <w:r w:rsidR="00FE5029" w:rsidRPr="00170E91">
        <w:rPr>
          <w:lang w:val="et-EE"/>
        </w:rPr>
        <w:t>kiidu, siis oleks see maksimaalselt poole lühemaks perioodiks kui tavapäraselt (st 5 aastaks)</w:t>
      </w:r>
      <w:r w:rsidR="00DA4BB4" w:rsidRPr="00170E91">
        <w:rPr>
          <w:lang w:val="et-EE"/>
        </w:rPr>
        <w:t xml:space="preserve">. </w:t>
      </w:r>
    </w:p>
    <w:p w14:paraId="272445DB" w14:textId="1CEAFC53" w:rsidR="0030085C" w:rsidRDefault="00DA4BB4" w:rsidP="00880EFC">
      <w:pPr>
        <w:pStyle w:val="ListParagraph"/>
        <w:numPr>
          <w:ilvl w:val="0"/>
          <w:numId w:val="3"/>
        </w:numPr>
        <w:jc w:val="both"/>
        <w:rPr>
          <w:lang w:val="et-EE"/>
        </w:rPr>
      </w:pPr>
      <w:r>
        <w:rPr>
          <w:lang w:val="et-EE"/>
        </w:rPr>
        <w:t>Selliste toode</w:t>
      </w:r>
      <w:r w:rsidR="00F04368">
        <w:rPr>
          <w:lang w:val="et-EE"/>
        </w:rPr>
        <w:t xml:space="preserve">te </w:t>
      </w:r>
      <w:r w:rsidR="00E25507" w:rsidRPr="00E25507">
        <w:rPr>
          <w:lang w:val="et-EE"/>
        </w:rPr>
        <w:t>kasutamine üldsuse</w:t>
      </w:r>
      <w:r w:rsidR="00F04368">
        <w:rPr>
          <w:lang w:val="et-EE"/>
        </w:rPr>
        <w:t xml:space="preserve"> (tavatarbija)</w:t>
      </w:r>
      <w:r w:rsidR="00E25507" w:rsidRPr="00E25507">
        <w:rPr>
          <w:lang w:val="et-EE"/>
        </w:rPr>
        <w:t xml:space="preserve"> jaoks ei oleks </w:t>
      </w:r>
      <w:r w:rsidR="00A83F50">
        <w:rPr>
          <w:lang w:val="et-EE"/>
        </w:rPr>
        <w:t xml:space="preserve">aga </w:t>
      </w:r>
      <w:r w:rsidR="00E25507" w:rsidRPr="00E25507">
        <w:rPr>
          <w:lang w:val="et-EE"/>
        </w:rPr>
        <w:t>enam</w:t>
      </w:r>
      <w:r w:rsidR="00A83F50">
        <w:rPr>
          <w:lang w:val="et-EE"/>
        </w:rPr>
        <w:t xml:space="preserve"> üldse</w:t>
      </w:r>
      <w:r w:rsidR="00E25507" w:rsidRPr="00E25507">
        <w:rPr>
          <w:lang w:val="et-EE"/>
        </w:rPr>
        <w:t xml:space="preserve"> võimalik. Tööstus</w:t>
      </w:r>
      <w:r w:rsidR="00A83F50">
        <w:rPr>
          <w:lang w:val="et-EE"/>
        </w:rPr>
        <w:t>e</w:t>
      </w:r>
      <w:r w:rsidR="00E25507" w:rsidRPr="00E25507">
        <w:rPr>
          <w:lang w:val="et-EE"/>
        </w:rPr>
        <w:t xml:space="preserve"> läbiviidud alternatiivide </w:t>
      </w:r>
      <w:r w:rsidR="00E77639">
        <w:rPr>
          <w:lang w:val="et-EE"/>
        </w:rPr>
        <w:t>hindamine (AoA)</w:t>
      </w:r>
      <w:r w:rsidR="00E25507" w:rsidRPr="00E25507">
        <w:rPr>
          <w:lang w:val="et-EE"/>
        </w:rPr>
        <w:t xml:space="preserve"> näitab, et see mõjutaks paljusid etanooli biotsiid</w:t>
      </w:r>
      <w:r w:rsidR="00507F8F">
        <w:rPr>
          <w:lang w:val="et-EE"/>
        </w:rPr>
        <w:t>seid</w:t>
      </w:r>
      <w:r w:rsidR="00E25507" w:rsidRPr="00E25507">
        <w:rPr>
          <w:lang w:val="et-EE"/>
        </w:rPr>
        <w:t xml:space="preserve"> kasutusviise, millele praegu alternatiiv</w:t>
      </w:r>
      <w:r w:rsidR="007B2F9B">
        <w:rPr>
          <w:lang w:val="et-EE"/>
        </w:rPr>
        <w:t>id puuduvad</w:t>
      </w:r>
      <w:r w:rsidR="00E25507" w:rsidRPr="00E25507">
        <w:rPr>
          <w:lang w:val="et-EE"/>
        </w:rPr>
        <w:t>.</w:t>
      </w:r>
      <w:r w:rsidR="00E77639">
        <w:rPr>
          <w:lang w:val="et-EE"/>
        </w:rPr>
        <w:t xml:space="preserve"> (Juhime lisaks tähelepanu, et EKTL vastas ECHA poolt </w:t>
      </w:r>
      <w:r w:rsidR="00E77639">
        <w:rPr>
          <w:lang w:val="et-EE"/>
        </w:rPr>
        <w:lastRenderedPageBreak/>
        <w:t xml:space="preserve">algatatud </w:t>
      </w:r>
      <w:r w:rsidR="00611506">
        <w:rPr>
          <w:lang w:val="et-EE"/>
        </w:rPr>
        <w:t xml:space="preserve">avalikule konsultatsioonile etanooli alternatiivide hindamiseks </w:t>
      </w:r>
      <w:r w:rsidR="00894EDB">
        <w:rPr>
          <w:lang w:val="et-EE"/>
        </w:rPr>
        <w:t>–</w:t>
      </w:r>
      <w:r w:rsidR="00611506">
        <w:rPr>
          <w:lang w:val="et-EE"/>
        </w:rPr>
        <w:t xml:space="preserve"> </w:t>
      </w:r>
      <w:r w:rsidR="00894EDB">
        <w:rPr>
          <w:lang w:val="et-EE"/>
        </w:rPr>
        <w:t xml:space="preserve">meie </w:t>
      </w:r>
      <w:r w:rsidR="007408AE">
        <w:rPr>
          <w:lang w:val="et-EE"/>
        </w:rPr>
        <w:t xml:space="preserve">põhjalik </w:t>
      </w:r>
      <w:r w:rsidR="00894EDB">
        <w:rPr>
          <w:lang w:val="et-EE"/>
        </w:rPr>
        <w:t xml:space="preserve">vastus on </w:t>
      </w:r>
      <w:r w:rsidR="007408AE">
        <w:rPr>
          <w:lang w:val="et-EE"/>
        </w:rPr>
        <w:t>lisatud käesolevale kirjale)</w:t>
      </w:r>
    </w:p>
    <w:p w14:paraId="3EA5F08E" w14:textId="314CFC9C" w:rsidR="0030085C" w:rsidRDefault="0030085C" w:rsidP="00880EFC">
      <w:pPr>
        <w:pStyle w:val="ListParagraph"/>
        <w:numPr>
          <w:ilvl w:val="0"/>
          <w:numId w:val="3"/>
        </w:numPr>
        <w:jc w:val="both"/>
      </w:pPr>
      <w:proofErr w:type="spellStart"/>
      <w:r>
        <w:t>Alternatiivide</w:t>
      </w:r>
      <w:proofErr w:type="spellEnd"/>
      <w:r>
        <w:t xml:space="preserve"> </w:t>
      </w:r>
      <w:proofErr w:type="spellStart"/>
      <w:r>
        <w:t>hindamine</w:t>
      </w:r>
      <w:proofErr w:type="spellEnd"/>
      <w:r>
        <w:t xml:space="preserve"> </w:t>
      </w:r>
      <w:r w:rsidRPr="0030085C">
        <w:t>(</w:t>
      </w:r>
      <w:proofErr w:type="spellStart"/>
      <w:r w:rsidRPr="0030085C">
        <w:t>AoA</w:t>
      </w:r>
      <w:proofErr w:type="spellEnd"/>
      <w:r w:rsidRPr="0030085C">
        <w:t xml:space="preserve">) </w:t>
      </w:r>
      <w:proofErr w:type="spellStart"/>
      <w:r w:rsidRPr="0030085C">
        <w:t>näitab</w:t>
      </w:r>
      <w:proofErr w:type="spellEnd"/>
      <w:r w:rsidRPr="0030085C">
        <w:t xml:space="preserve">, et </w:t>
      </w:r>
      <w:proofErr w:type="spellStart"/>
      <w:r w:rsidRPr="0030085C">
        <w:t>etanooli</w:t>
      </w:r>
      <w:proofErr w:type="spellEnd"/>
      <w:r w:rsidRPr="0030085C">
        <w:t xml:space="preserve"> </w:t>
      </w:r>
      <w:proofErr w:type="spellStart"/>
      <w:r w:rsidRPr="0030085C">
        <w:t>klassifitseerimisel</w:t>
      </w:r>
      <w:proofErr w:type="spellEnd"/>
      <w:r w:rsidRPr="0030085C">
        <w:t xml:space="preserve"> </w:t>
      </w:r>
      <w:r w:rsidR="00374E92">
        <w:t>K</w:t>
      </w:r>
      <w:r w:rsidRPr="0030085C">
        <w:t>MR-</w:t>
      </w:r>
      <w:proofErr w:type="spellStart"/>
      <w:r w:rsidRPr="0030085C">
        <w:t>ainena</w:t>
      </w:r>
      <w:proofErr w:type="spellEnd"/>
      <w:r w:rsidRPr="0030085C">
        <w:t xml:space="preserve"> </w:t>
      </w:r>
      <w:proofErr w:type="spellStart"/>
      <w:r w:rsidRPr="0030085C">
        <w:t>ei</w:t>
      </w:r>
      <w:proofErr w:type="spellEnd"/>
      <w:r w:rsidRPr="0030085C">
        <w:t xml:space="preserve"> ole </w:t>
      </w:r>
      <w:proofErr w:type="spellStart"/>
      <w:r w:rsidRPr="0030085C">
        <w:t>tõendatud</w:t>
      </w:r>
      <w:proofErr w:type="spellEnd"/>
      <w:r w:rsidRPr="0030085C">
        <w:t xml:space="preserve"> </w:t>
      </w:r>
      <w:proofErr w:type="spellStart"/>
      <w:r w:rsidRPr="0030085C">
        <w:t>kasu</w:t>
      </w:r>
      <w:proofErr w:type="spellEnd"/>
      <w:r w:rsidRPr="0030085C">
        <w:t xml:space="preserve"> </w:t>
      </w:r>
      <w:proofErr w:type="spellStart"/>
      <w:r w:rsidRPr="0030085C">
        <w:t>inimtervisele</w:t>
      </w:r>
      <w:proofErr w:type="spellEnd"/>
      <w:r w:rsidRPr="0030085C">
        <w:t>,</w:t>
      </w:r>
      <w:r w:rsidR="00727C04">
        <w:t xml:space="preserve"> </w:t>
      </w:r>
      <w:proofErr w:type="spellStart"/>
      <w:r w:rsidR="00727C04">
        <w:t>samas</w:t>
      </w:r>
      <w:proofErr w:type="spellEnd"/>
      <w:r w:rsidRPr="0030085C">
        <w:t xml:space="preserve"> </w:t>
      </w:r>
      <w:proofErr w:type="spellStart"/>
      <w:r w:rsidRPr="0030085C">
        <w:t>avaldaks</w:t>
      </w:r>
      <w:proofErr w:type="spellEnd"/>
      <w:r w:rsidRPr="0030085C">
        <w:t xml:space="preserve"> </w:t>
      </w:r>
      <w:proofErr w:type="spellStart"/>
      <w:r w:rsidRPr="0030085C">
        <w:t>selline</w:t>
      </w:r>
      <w:proofErr w:type="spellEnd"/>
      <w:r w:rsidRPr="0030085C">
        <w:t xml:space="preserve"> </w:t>
      </w:r>
      <w:proofErr w:type="spellStart"/>
      <w:r w:rsidRPr="0030085C">
        <w:t>klassifitseerimine</w:t>
      </w:r>
      <w:proofErr w:type="spellEnd"/>
      <w:r w:rsidRPr="0030085C">
        <w:t xml:space="preserve"> (</w:t>
      </w:r>
      <w:proofErr w:type="spellStart"/>
      <w:r w:rsidRPr="0030085C">
        <w:t>kui</w:t>
      </w:r>
      <w:proofErr w:type="spellEnd"/>
      <w:r w:rsidRPr="0030085C">
        <w:t xml:space="preserve"> see </w:t>
      </w:r>
      <w:proofErr w:type="spellStart"/>
      <w:r w:rsidRPr="0030085C">
        <w:t>vastu</w:t>
      </w:r>
      <w:proofErr w:type="spellEnd"/>
      <w:r w:rsidRPr="0030085C">
        <w:t xml:space="preserve"> </w:t>
      </w:r>
      <w:proofErr w:type="spellStart"/>
      <w:r w:rsidRPr="0030085C">
        <w:t>võetakse</w:t>
      </w:r>
      <w:proofErr w:type="spellEnd"/>
      <w:r w:rsidRPr="0030085C">
        <w:t xml:space="preserve">) </w:t>
      </w:r>
      <w:proofErr w:type="spellStart"/>
      <w:r w:rsidRPr="0030085C">
        <w:t>tõsiselt</w:t>
      </w:r>
      <w:proofErr w:type="spellEnd"/>
      <w:r w:rsidRPr="0030085C">
        <w:t xml:space="preserve"> </w:t>
      </w:r>
      <w:proofErr w:type="spellStart"/>
      <w:r w:rsidRPr="0030085C">
        <w:t>negatiivset</w:t>
      </w:r>
      <w:proofErr w:type="spellEnd"/>
      <w:r w:rsidRPr="0030085C">
        <w:t xml:space="preserve"> </w:t>
      </w:r>
      <w:proofErr w:type="spellStart"/>
      <w:r w:rsidRPr="0030085C">
        <w:t>mõju</w:t>
      </w:r>
      <w:proofErr w:type="spellEnd"/>
      <w:r w:rsidRPr="0030085C">
        <w:t xml:space="preserve"> </w:t>
      </w:r>
      <w:proofErr w:type="spellStart"/>
      <w:r w:rsidRPr="0030085C">
        <w:t>rahvatervisele</w:t>
      </w:r>
      <w:proofErr w:type="spellEnd"/>
      <w:r w:rsidRPr="0030085C">
        <w:t xml:space="preserve">. </w:t>
      </w:r>
      <w:proofErr w:type="spellStart"/>
      <w:r w:rsidRPr="0030085C">
        <w:t>Etanoolipõhised</w:t>
      </w:r>
      <w:proofErr w:type="spellEnd"/>
      <w:r w:rsidRPr="0030085C">
        <w:t xml:space="preserve"> </w:t>
      </w:r>
      <w:proofErr w:type="spellStart"/>
      <w:r w:rsidRPr="0030085C">
        <w:t>desinfektsioonivahendid</w:t>
      </w:r>
      <w:proofErr w:type="spellEnd"/>
      <w:r w:rsidRPr="0030085C">
        <w:t xml:space="preserve"> on </w:t>
      </w:r>
      <w:proofErr w:type="spellStart"/>
      <w:r w:rsidRPr="0030085C">
        <w:t>nakkuste</w:t>
      </w:r>
      <w:proofErr w:type="spellEnd"/>
      <w:r w:rsidRPr="0030085C">
        <w:t xml:space="preserve"> </w:t>
      </w:r>
      <w:proofErr w:type="spellStart"/>
      <w:r w:rsidRPr="0030085C">
        <w:t>tõrjes</w:t>
      </w:r>
      <w:proofErr w:type="spellEnd"/>
      <w:r w:rsidRPr="0030085C">
        <w:t xml:space="preserve"> </w:t>
      </w:r>
      <w:proofErr w:type="spellStart"/>
      <w:r w:rsidRPr="0030085C">
        <w:t>hädavajalikud</w:t>
      </w:r>
      <w:proofErr w:type="spellEnd"/>
      <w:r w:rsidRPr="0030085C">
        <w:t xml:space="preserve">, kuna need on </w:t>
      </w:r>
      <w:proofErr w:type="spellStart"/>
      <w:r w:rsidRPr="0030085C">
        <w:t>ainsad</w:t>
      </w:r>
      <w:proofErr w:type="spellEnd"/>
      <w:r w:rsidRPr="0030085C">
        <w:t xml:space="preserve">, mis </w:t>
      </w:r>
      <w:proofErr w:type="spellStart"/>
      <w:r w:rsidRPr="0030085C">
        <w:t>suudavad</w:t>
      </w:r>
      <w:proofErr w:type="spellEnd"/>
      <w:r w:rsidRPr="0030085C">
        <w:t xml:space="preserve"> </w:t>
      </w:r>
      <w:proofErr w:type="spellStart"/>
      <w:r w:rsidRPr="0030085C">
        <w:t>usaldusväärselt</w:t>
      </w:r>
      <w:proofErr w:type="spellEnd"/>
      <w:r w:rsidRPr="0030085C">
        <w:t xml:space="preserve"> </w:t>
      </w:r>
      <w:proofErr w:type="spellStart"/>
      <w:r w:rsidRPr="0030085C">
        <w:t>inaktiveerida</w:t>
      </w:r>
      <w:proofErr w:type="spellEnd"/>
      <w:r w:rsidRPr="0030085C">
        <w:t xml:space="preserve"> </w:t>
      </w:r>
      <w:proofErr w:type="spellStart"/>
      <w:r w:rsidRPr="0030085C">
        <w:t>ümbrise</w:t>
      </w:r>
      <w:r w:rsidR="00434984">
        <w:t>t</w:t>
      </w:r>
      <w:r w:rsidRPr="0030085C">
        <w:t>a</w:t>
      </w:r>
      <w:proofErr w:type="spellEnd"/>
      <w:r w:rsidRPr="0030085C">
        <w:t xml:space="preserve"> </w:t>
      </w:r>
      <w:proofErr w:type="spellStart"/>
      <w:r w:rsidRPr="0030085C">
        <w:t>viiruseid</w:t>
      </w:r>
      <w:proofErr w:type="spellEnd"/>
      <w:r w:rsidRPr="0030085C">
        <w:t xml:space="preserve"> </w:t>
      </w:r>
      <w:proofErr w:type="spellStart"/>
      <w:r w:rsidRPr="0030085C">
        <w:t>ning</w:t>
      </w:r>
      <w:proofErr w:type="spellEnd"/>
      <w:r w:rsidRPr="0030085C">
        <w:t xml:space="preserve"> on </w:t>
      </w:r>
      <w:proofErr w:type="spellStart"/>
      <w:r w:rsidRPr="0030085C">
        <w:t>samas</w:t>
      </w:r>
      <w:proofErr w:type="spellEnd"/>
      <w:r w:rsidRPr="0030085C">
        <w:t xml:space="preserve"> </w:t>
      </w:r>
      <w:proofErr w:type="spellStart"/>
      <w:r w:rsidRPr="0030085C">
        <w:t>odavad</w:t>
      </w:r>
      <w:proofErr w:type="spellEnd"/>
      <w:r w:rsidRPr="0030085C">
        <w:t xml:space="preserve">, </w:t>
      </w:r>
      <w:proofErr w:type="spellStart"/>
      <w:r w:rsidR="00BF6903">
        <w:t>laialdaselt</w:t>
      </w:r>
      <w:proofErr w:type="spellEnd"/>
      <w:r w:rsidRPr="0030085C">
        <w:t xml:space="preserve"> </w:t>
      </w:r>
      <w:proofErr w:type="spellStart"/>
      <w:r w:rsidRPr="0030085C">
        <w:t>kättesaadavad</w:t>
      </w:r>
      <w:proofErr w:type="spellEnd"/>
      <w:r w:rsidRPr="0030085C">
        <w:t xml:space="preserve"> ja </w:t>
      </w:r>
      <w:proofErr w:type="spellStart"/>
      <w:r w:rsidRPr="0030085C">
        <w:t>lihtsad</w:t>
      </w:r>
      <w:proofErr w:type="spellEnd"/>
      <w:r w:rsidRPr="0030085C">
        <w:t xml:space="preserve"> </w:t>
      </w:r>
      <w:proofErr w:type="spellStart"/>
      <w:r w:rsidRPr="0030085C">
        <w:t>kasutada</w:t>
      </w:r>
      <w:proofErr w:type="spellEnd"/>
      <w:r w:rsidRPr="0030085C">
        <w:t xml:space="preserve">. </w:t>
      </w:r>
    </w:p>
    <w:p w14:paraId="31015557" w14:textId="114D6822" w:rsidR="007C6DD5" w:rsidRDefault="00DA781B" w:rsidP="00880EFC">
      <w:pPr>
        <w:pStyle w:val="ListParagraph"/>
        <w:numPr>
          <w:ilvl w:val="0"/>
          <w:numId w:val="3"/>
        </w:numPr>
        <w:jc w:val="both"/>
      </w:pPr>
      <w:proofErr w:type="spellStart"/>
      <w:r w:rsidRPr="00DA781B">
        <w:t>Tööstuse</w:t>
      </w:r>
      <w:proofErr w:type="spellEnd"/>
      <w:r w:rsidRPr="00DA781B">
        <w:t xml:space="preserve"> </w:t>
      </w:r>
      <w:proofErr w:type="spellStart"/>
      <w:r w:rsidR="00B03DC1">
        <w:t>läbiviidud</w:t>
      </w:r>
      <w:proofErr w:type="spellEnd"/>
      <w:r w:rsidR="00B03DC1">
        <w:t xml:space="preserve"> </w:t>
      </w:r>
      <w:proofErr w:type="spellStart"/>
      <w:r w:rsidR="00B03DC1">
        <w:t>alternatiivide</w:t>
      </w:r>
      <w:proofErr w:type="spellEnd"/>
      <w:r w:rsidR="00B03DC1">
        <w:t xml:space="preserve"> </w:t>
      </w:r>
      <w:proofErr w:type="spellStart"/>
      <w:r w:rsidR="00B03DC1">
        <w:t>hindamine</w:t>
      </w:r>
      <w:proofErr w:type="spellEnd"/>
      <w:r w:rsidRPr="00DA781B">
        <w:t xml:space="preserve"> (</w:t>
      </w:r>
      <w:proofErr w:type="spellStart"/>
      <w:r w:rsidRPr="00DA781B">
        <w:t>AoA</w:t>
      </w:r>
      <w:proofErr w:type="spellEnd"/>
      <w:r w:rsidRPr="00DA781B">
        <w:t xml:space="preserve">) </w:t>
      </w:r>
      <w:proofErr w:type="spellStart"/>
      <w:r w:rsidRPr="00DA781B">
        <w:t>toob</w:t>
      </w:r>
      <w:proofErr w:type="spellEnd"/>
      <w:r w:rsidRPr="00DA781B">
        <w:t xml:space="preserve"> </w:t>
      </w:r>
      <w:proofErr w:type="spellStart"/>
      <w:r w:rsidRPr="00DA781B">
        <w:t>täiendavalt</w:t>
      </w:r>
      <w:proofErr w:type="spellEnd"/>
      <w:r w:rsidRPr="00DA781B">
        <w:t xml:space="preserve"> </w:t>
      </w:r>
      <w:proofErr w:type="spellStart"/>
      <w:r w:rsidRPr="00DA781B">
        <w:t>esile</w:t>
      </w:r>
      <w:proofErr w:type="spellEnd"/>
      <w:r w:rsidRPr="00DA781B">
        <w:t xml:space="preserve">, et </w:t>
      </w:r>
      <w:proofErr w:type="spellStart"/>
      <w:r w:rsidRPr="00DA781B">
        <w:t>etanooli</w:t>
      </w:r>
      <w:proofErr w:type="spellEnd"/>
      <w:r w:rsidRPr="00DA781B">
        <w:t xml:space="preserve"> </w:t>
      </w:r>
      <w:proofErr w:type="spellStart"/>
      <w:r w:rsidRPr="00DA781B">
        <w:t>kavandatav</w:t>
      </w:r>
      <w:proofErr w:type="spellEnd"/>
      <w:r w:rsidRPr="00DA781B">
        <w:t xml:space="preserve"> </w:t>
      </w:r>
      <w:proofErr w:type="spellStart"/>
      <w:r w:rsidRPr="00DA781B">
        <w:t>klassifitseerim</w:t>
      </w:r>
      <w:r w:rsidR="0091172A">
        <w:t>ine</w:t>
      </w:r>
      <w:proofErr w:type="spellEnd"/>
      <w:r w:rsidR="0091172A">
        <w:t xml:space="preserve"> KMR 1 </w:t>
      </w:r>
      <w:proofErr w:type="spellStart"/>
      <w:r w:rsidR="0091172A">
        <w:t>aineks</w:t>
      </w:r>
      <w:proofErr w:type="spellEnd"/>
      <w:r w:rsidRPr="00DA781B">
        <w:t xml:space="preserve"> </w:t>
      </w:r>
      <w:proofErr w:type="spellStart"/>
      <w:r w:rsidRPr="00DA781B">
        <w:t>võib</w:t>
      </w:r>
      <w:proofErr w:type="spellEnd"/>
      <w:r w:rsidRPr="00DA781B">
        <w:t xml:space="preserve"> </w:t>
      </w:r>
      <w:proofErr w:type="spellStart"/>
      <w:r w:rsidRPr="00DA781B">
        <w:t>kaasa</w:t>
      </w:r>
      <w:proofErr w:type="spellEnd"/>
      <w:r w:rsidRPr="00DA781B">
        <w:t xml:space="preserve"> </w:t>
      </w:r>
      <w:proofErr w:type="spellStart"/>
      <w:r w:rsidRPr="00DA781B">
        <w:t>tuua</w:t>
      </w:r>
      <w:proofErr w:type="spellEnd"/>
      <w:r w:rsidRPr="00DA781B">
        <w:t xml:space="preserve"> </w:t>
      </w:r>
      <w:proofErr w:type="spellStart"/>
      <w:r w:rsidRPr="00DA781B">
        <w:t>tõsiseid</w:t>
      </w:r>
      <w:proofErr w:type="spellEnd"/>
      <w:r w:rsidRPr="00DA781B">
        <w:t xml:space="preserve"> </w:t>
      </w:r>
      <w:proofErr w:type="spellStart"/>
      <w:r w:rsidRPr="00DA781B">
        <w:t>majanduslikke</w:t>
      </w:r>
      <w:proofErr w:type="spellEnd"/>
      <w:r w:rsidRPr="00DA781B">
        <w:t xml:space="preserve">, </w:t>
      </w:r>
      <w:proofErr w:type="spellStart"/>
      <w:r w:rsidRPr="00DA781B">
        <w:t>sotsiaalseid</w:t>
      </w:r>
      <w:proofErr w:type="spellEnd"/>
      <w:r w:rsidRPr="00DA781B">
        <w:t xml:space="preserve"> ja </w:t>
      </w:r>
      <w:proofErr w:type="spellStart"/>
      <w:r w:rsidRPr="00DA781B">
        <w:t>tervisemõjusid</w:t>
      </w:r>
      <w:proofErr w:type="spellEnd"/>
      <w:r w:rsidRPr="00DA781B">
        <w:t xml:space="preserve"> — </w:t>
      </w:r>
      <w:proofErr w:type="spellStart"/>
      <w:r w:rsidRPr="00DA781B">
        <w:t>nii</w:t>
      </w:r>
      <w:proofErr w:type="spellEnd"/>
      <w:r w:rsidRPr="00DA781B">
        <w:t xml:space="preserve"> </w:t>
      </w:r>
      <w:proofErr w:type="spellStart"/>
      <w:r w:rsidRPr="00DA781B">
        <w:t>biotsiidsete</w:t>
      </w:r>
      <w:proofErr w:type="spellEnd"/>
      <w:r w:rsidRPr="00DA781B">
        <w:t xml:space="preserve"> </w:t>
      </w:r>
      <w:proofErr w:type="spellStart"/>
      <w:r w:rsidRPr="00DA781B">
        <w:t>kasutuste</w:t>
      </w:r>
      <w:proofErr w:type="spellEnd"/>
      <w:r w:rsidRPr="00DA781B">
        <w:t xml:space="preserve"> </w:t>
      </w:r>
      <w:proofErr w:type="spellStart"/>
      <w:r w:rsidRPr="00DA781B">
        <w:t>puhul</w:t>
      </w:r>
      <w:proofErr w:type="spellEnd"/>
      <w:r w:rsidRPr="00DA781B">
        <w:t xml:space="preserve"> </w:t>
      </w:r>
      <w:proofErr w:type="spellStart"/>
      <w:r w:rsidRPr="00372265">
        <w:rPr>
          <w:b/>
          <w:bCs/>
        </w:rPr>
        <w:t>kui</w:t>
      </w:r>
      <w:proofErr w:type="spellEnd"/>
      <w:r w:rsidRPr="00372265">
        <w:rPr>
          <w:b/>
          <w:bCs/>
        </w:rPr>
        <w:t xml:space="preserve"> ka </w:t>
      </w:r>
      <w:proofErr w:type="spellStart"/>
      <w:r w:rsidRPr="00372265">
        <w:rPr>
          <w:b/>
          <w:bCs/>
        </w:rPr>
        <w:t>muudes</w:t>
      </w:r>
      <w:proofErr w:type="spellEnd"/>
      <w:r w:rsidRPr="00372265">
        <w:rPr>
          <w:b/>
          <w:bCs/>
        </w:rPr>
        <w:t xml:space="preserve"> </w:t>
      </w:r>
      <w:proofErr w:type="spellStart"/>
      <w:r w:rsidRPr="00372265">
        <w:rPr>
          <w:b/>
          <w:bCs/>
        </w:rPr>
        <w:t>valdkondades</w:t>
      </w:r>
      <w:proofErr w:type="spellEnd"/>
      <w:r w:rsidRPr="00DA781B">
        <w:t xml:space="preserve"> (</w:t>
      </w:r>
      <w:proofErr w:type="spellStart"/>
      <w:r w:rsidRPr="00DA781B">
        <w:t>sh</w:t>
      </w:r>
      <w:proofErr w:type="spellEnd"/>
      <w:r w:rsidRPr="00DA781B">
        <w:t xml:space="preserve"> </w:t>
      </w:r>
      <w:proofErr w:type="spellStart"/>
      <w:r w:rsidRPr="00DA781B">
        <w:t>farmaatsia</w:t>
      </w:r>
      <w:proofErr w:type="spellEnd"/>
      <w:r w:rsidRPr="00DA781B">
        <w:t xml:space="preserve">, </w:t>
      </w:r>
      <w:proofErr w:type="spellStart"/>
      <w:r w:rsidRPr="00DA781B">
        <w:t>meditsiiniseadmed</w:t>
      </w:r>
      <w:proofErr w:type="spellEnd"/>
      <w:r w:rsidRPr="00DA781B">
        <w:t xml:space="preserve">, </w:t>
      </w:r>
      <w:proofErr w:type="spellStart"/>
      <w:r w:rsidRPr="00DA781B">
        <w:t>toiduained</w:t>
      </w:r>
      <w:proofErr w:type="spellEnd"/>
      <w:r w:rsidRPr="00DA781B">
        <w:t xml:space="preserve">, </w:t>
      </w:r>
      <w:proofErr w:type="spellStart"/>
      <w:r w:rsidRPr="00DA781B">
        <w:t>pesuvahendid</w:t>
      </w:r>
      <w:proofErr w:type="spellEnd"/>
      <w:r w:rsidRPr="00DA781B">
        <w:t xml:space="preserve">, </w:t>
      </w:r>
      <w:proofErr w:type="spellStart"/>
      <w:r w:rsidRPr="00DA781B">
        <w:t>kosmeetika</w:t>
      </w:r>
      <w:proofErr w:type="spellEnd"/>
      <w:r w:rsidRPr="00DA781B">
        <w:t xml:space="preserve">, </w:t>
      </w:r>
      <w:proofErr w:type="spellStart"/>
      <w:r w:rsidRPr="00DA781B">
        <w:t>tööstuslikud</w:t>
      </w:r>
      <w:proofErr w:type="spellEnd"/>
      <w:r w:rsidRPr="00DA781B">
        <w:t xml:space="preserve"> </w:t>
      </w:r>
      <w:proofErr w:type="spellStart"/>
      <w:r w:rsidRPr="00DA781B">
        <w:t>rakendused</w:t>
      </w:r>
      <w:proofErr w:type="spellEnd"/>
      <w:r w:rsidRPr="00DA781B">
        <w:t xml:space="preserve"> ja </w:t>
      </w:r>
      <w:proofErr w:type="spellStart"/>
      <w:r w:rsidRPr="00DA781B">
        <w:t>kütused</w:t>
      </w:r>
      <w:proofErr w:type="spellEnd"/>
      <w:r w:rsidRPr="00DA781B">
        <w:t xml:space="preserve">). </w:t>
      </w:r>
      <w:proofErr w:type="spellStart"/>
      <w:r w:rsidR="007C6DD5">
        <w:t>Tuleb</w:t>
      </w:r>
      <w:proofErr w:type="spellEnd"/>
      <w:r w:rsidR="007C6DD5">
        <w:t xml:space="preserve"> </w:t>
      </w:r>
      <w:proofErr w:type="spellStart"/>
      <w:r w:rsidR="007C6DD5">
        <w:t>arvestada</w:t>
      </w:r>
      <w:proofErr w:type="spellEnd"/>
      <w:r w:rsidR="007C6DD5">
        <w:t xml:space="preserve">, et </w:t>
      </w:r>
      <w:proofErr w:type="spellStart"/>
      <w:r w:rsidR="007C6DD5">
        <w:t>kogu</w:t>
      </w:r>
      <w:proofErr w:type="spellEnd"/>
      <w:r w:rsidR="007C6DD5">
        <w:t xml:space="preserve"> </w:t>
      </w:r>
      <w:proofErr w:type="spellStart"/>
      <w:r w:rsidR="007C6DD5">
        <w:t>muu</w:t>
      </w:r>
      <w:proofErr w:type="spellEnd"/>
      <w:r w:rsidR="007C6DD5" w:rsidRPr="009E7F83">
        <w:t xml:space="preserve"> </w:t>
      </w:r>
      <w:proofErr w:type="spellStart"/>
      <w:r w:rsidR="007C6DD5" w:rsidRPr="009E7F83">
        <w:t>tööstus</w:t>
      </w:r>
      <w:proofErr w:type="spellEnd"/>
      <w:r w:rsidR="007C6DD5" w:rsidRPr="009E7F83">
        <w:t xml:space="preserve"> </w:t>
      </w:r>
      <w:r w:rsidR="007C6DD5">
        <w:t xml:space="preserve">on </w:t>
      </w:r>
      <w:proofErr w:type="spellStart"/>
      <w:r w:rsidR="007C6DD5">
        <w:t>kohustatud</w:t>
      </w:r>
      <w:proofErr w:type="spellEnd"/>
      <w:r w:rsidR="007C6DD5">
        <w:t xml:space="preserve"> </w:t>
      </w:r>
      <w:proofErr w:type="spellStart"/>
      <w:r w:rsidR="007C6DD5">
        <w:t>oma</w:t>
      </w:r>
      <w:proofErr w:type="spellEnd"/>
      <w:r w:rsidR="007C6DD5" w:rsidRPr="009E7F83">
        <w:t xml:space="preserve"> </w:t>
      </w:r>
      <w:proofErr w:type="spellStart"/>
      <w:r w:rsidR="007C6DD5" w:rsidRPr="009E7F83">
        <w:t>etanoolipõhiseid</w:t>
      </w:r>
      <w:proofErr w:type="spellEnd"/>
      <w:r w:rsidR="007C6DD5" w:rsidRPr="009E7F83">
        <w:t xml:space="preserve"> </w:t>
      </w:r>
      <w:proofErr w:type="spellStart"/>
      <w:r w:rsidR="007C6DD5" w:rsidRPr="009E7F83">
        <w:t>tooteid</w:t>
      </w:r>
      <w:proofErr w:type="spellEnd"/>
      <w:r w:rsidR="007C6DD5" w:rsidRPr="009E7F83">
        <w:t xml:space="preserve"> </w:t>
      </w:r>
      <w:proofErr w:type="spellStart"/>
      <w:r w:rsidR="007C6DD5" w:rsidRPr="009E7F83">
        <w:t>ise</w:t>
      </w:r>
      <w:r w:rsidR="00E071CB">
        <w:t>-</w:t>
      </w:r>
      <w:r w:rsidR="007C6DD5" w:rsidRPr="009E7F83">
        <w:t>klassifitseerima</w:t>
      </w:r>
      <w:proofErr w:type="spellEnd"/>
      <w:r w:rsidR="007C6DD5" w:rsidRPr="009E7F83">
        <w:t xml:space="preserve">, ka </w:t>
      </w:r>
      <w:proofErr w:type="spellStart"/>
      <w:r w:rsidR="007C6DD5" w:rsidRPr="009E7F83">
        <w:t>väljaspool</w:t>
      </w:r>
      <w:proofErr w:type="spellEnd"/>
      <w:r w:rsidR="007C6DD5" w:rsidRPr="009E7F83">
        <w:t xml:space="preserve"> </w:t>
      </w:r>
      <w:proofErr w:type="spellStart"/>
      <w:r w:rsidR="007C6DD5" w:rsidRPr="009E7F83">
        <w:t>biotsiidide</w:t>
      </w:r>
      <w:proofErr w:type="spellEnd"/>
      <w:r w:rsidR="007C6DD5" w:rsidRPr="009E7F83">
        <w:t xml:space="preserve"> </w:t>
      </w:r>
      <w:proofErr w:type="spellStart"/>
      <w:r w:rsidR="007C6DD5" w:rsidRPr="009E7F83">
        <w:t>valdkonda</w:t>
      </w:r>
      <w:proofErr w:type="spellEnd"/>
      <w:r w:rsidR="007C6DD5">
        <w:t xml:space="preserve">. </w:t>
      </w:r>
      <w:proofErr w:type="spellStart"/>
      <w:r w:rsidR="007C6DD5">
        <w:t>Se</w:t>
      </w:r>
      <w:r w:rsidR="007C6DD5" w:rsidRPr="009E7F83">
        <w:t>llel</w:t>
      </w:r>
      <w:proofErr w:type="spellEnd"/>
      <w:r w:rsidR="007C6DD5" w:rsidRPr="009E7F83">
        <w:t xml:space="preserve"> </w:t>
      </w:r>
      <w:proofErr w:type="spellStart"/>
      <w:r w:rsidR="007C6DD5" w:rsidRPr="009E7F83">
        <w:t>oleks</w:t>
      </w:r>
      <w:proofErr w:type="spellEnd"/>
      <w:r w:rsidR="007C6DD5" w:rsidRPr="009E7F83">
        <w:t xml:space="preserve"> </w:t>
      </w:r>
      <w:proofErr w:type="spellStart"/>
      <w:r w:rsidR="007C6DD5" w:rsidRPr="009E7F83">
        <w:t>paljudes</w:t>
      </w:r>
      <w:proofErr w:type="spellEnd"/>
      <w:r w:rsidR="007C6DD5" w:rsidRPr="009E7F83">
        <w:t xml:space="preserve"> </w:t>
      </w:r>
      <w:proofErr w:type="spellStart"/>
      <w:r w:rsidR="007C6DD5" w:rsidRPr="009E7F83">
        <w:t>sektorites</w:t>
      </w:r>
      <w:proofErr w:type="spellEnd"/>
      <w:r w:rsidR="007C6DD5" w:rsidRPr="009E7F83">
        <w:t xml:space="preserve"> </w:t>
      </w:r>
      <w:proofErr w:type="spellStart"/>
      <w:r w:rsidR="007C6DD5" w:rsidRPr="009E7F83">
        <w:t>äärmiselt</w:t>
      </w:r>
      <w:proofErr w:type="spellEnd"/>
      <w:r w:rsidR="007C6DD5" w:rsidRPr="009E7F83">
        <w:t xml:space="preserve"> </w:t>
      </w:r>
      <w:proofErr w:type="spellStart"/>
      <w:r w:rsidR="007C6DD5" w:rsidRPr="009E7F83">
        <w:t>ebaproportsionaalselt</w:t>
      </w:r>
      <w:proofErr w:type="spellEnd"/>
      <w:r w:rsidR="007C6DD5" w:rsidRPr="009E7F83">
        <w:t xml:space="preserve"> </w:t>
      </w:r>
      <w:proofErr w:type="spellStart"/>
      <w:r w:rsidR="007C6DD5" w:rsidRPr="009E7F83">
        <w:t>suur</w:t>
      </w:r>
      <w:proofErr w:type="spellEnd"/>
      <w:r w:rsidR="007C6DD5" w:rsidRPr="009E7F83">
        <w:t xml:space="preserve"> </w:t>
      </w:r>
      <w:proofErr w:type="spellStart"/>
      <w:r w:rsidR="007C6DD5" w:rsidRPr="009E7F83">
        <w:t>mõju</w:t>
      </w:r>
      <w:proofErr w:type="spellEnd"/>
      <w:r w:rsidR="007C6DD5">
        <w:t xml:space="preserve">, </w:t>
      </w:r>
      <w:proofErr w:type="spellStart"/>
      <w:r w:rsidR="007C6DD5">
        <w:t>kuivõrd</w:t>
      </w:r>
      <w:proofErr w:type="spellEnd"/>
      <w:r w:rsidR="007C6DD5">
        <w:t xml:space="preserve"> </w:t>
      </w:r>
      <w:proofErr w:type="spellStart"/>
      <w:r w:rsidR="007C6DD5">
        <w:t>ise-klassifitseerimise</w:t>
      </w:r>
      <w:proofErr w:type="spellEnd"/>
      <w:r w:rsidR="007C6DD5">
        <w:t xml:space="preserve"> </w:t>
      </w:r>
      <w:proofErr w:type="spellStart"/>
      <w:r w:rsidR="007C6DD5">
        <w:t>protsessis</w:t>
      </w:r>
      <w:proofErr w:type="spellEnd"/>
      <w:r w:rsidR="007C6DD5">
        <w:t xml:space="preserve"> </w:t>
      </w:r>
      <w:proofErr w:type="spellStart"/>
      <w:r w:rsidR="007C6DD5">
        <w:t>tuleks</w:t>
      </w:r>
      <w:proofErr w:type="spellEnd"/>
      <w:r w:rsidR="007C6DD5">
        <w:t xml:space="preserve"> </w:t>
      </w:r>
      <w:proofErr w:type="spellStart"/>
      <w:r w:rsidR="007C6DD5">
        <w:t>arvesse</w:t>
      </w:r>
      <w:proofErr w:type="spellEnd"/>
      <w:r w:rsidR="007C6DD5">
        <w:t xml:space="preserve"> </w:t>
      </w:r>
      <w:proofErr w:type="spellStart"/>
      <w:r w:rsidR="007C6DD5">
        <w:t>võtta</w:t>
      </w:r>
      <w:proofErr w:type="spellEnd"/>
      <w:r w:rsidR="007C6DD5">
        <w:t xml:space="preserve"> </w:t>
      </w:r>
      <w:proofErr w:type="spellStart"/>
      <w:r w:rsidR="007C6DD5">
        <w:t>biotsiidikomitee</w:t>
      </w:r>
      <w:proofErr w:type="spellEnd"/>
      <w:r w:rsidR="007C6DD5">
        <w:t xml:space="preserve"> </w:t>
      </w:r>
      <w:proofErr w:type="spellStart"/>
      <w:r w:rsidR="007C6DD5">
        <w:t>arvamust</w:t>
      </w:r>
      <w:proofErr w:type="spellEnd"/>
      <w:r w:rsidR="007C6DD5">
        <w:t xml:space="preserve"> ja </w:t>
      </w:r>
      <w:proofErr w:type="spellStart"/>
      <w:r w:rsidR="007C6DD5">
        <w:t>sellele</w:t>
      </w:r>
      <w:proofErr w:type="spellEnd"/>
      <w:r w:rsidR="007C6DD5">
        <w:t xml:space="preserve"> </w:t>
      </w:r>
      <w:proofErr w:type="spellStart"/>
      <w:r w:rsidR="007C6DD5">
        <w:t>järgnevat</w:t>
      </w:r>
      <w:proofErr w:type="spellEnd"/>
      <w:r w:rsidR="007C6DD5">
        <w:t xml:space="preserve"> </w:t>
      </w:r>
      <w:proofErr w:type="spellStart"/>
      <w:r w:rsidR="007C6DD5">
        <w:t>Komisjoni</w:t>
      </w:r>
      <w:proofErr w:type="spellEnd"/>
      <w:r w:rsidR="007C6DD5">
        <w:t xml:space="preserve"> </w:t>
      </w:r>
      <w:proofErr w:type="spellStart"/>
      <w:r w:rsidR="007C6DD5">
        <w:t>otsust</w:t>
      </w:r>
      <w:proofErr w:type="spellEnd"/>
      <w:r w:rsidR="007C6DD5" w:rsidRPr="009E7F83">
        <w:t>.</w:t>
      </w:r>
    </w:p>
    <w:p w14:paraId="5F12DC5B" w14:textId="1B33AC8C" w:rsidR="00DA781B" w:rsidRDefault="00DA781B" w:rsidP="00880EFC">
      <w:pPr>
        <w:pStyle w:val="ListParagraph"/>
        <w:numPr>
          <w:ilvl w:val="0"/>
          <w:numId w:val="3"/>
        </w:numPr>
        <w:jc w:val="both"/>
      </w:pPr>
      <w:r w:rsidRPr="00DA781B">
        <w:t xml:space="preserve">Oleks </w:t>
      </w:r>
      <w:proofErr w:type="spellStart"/>
      <w:r w:rsidRPr="00DA781B">
        <w:t>põhjendamatu</w:t>
      </w:r>
      <w:proofErr w:type="spellEnd"/>
      <w:r w:rsidRPr="00DA781B">
        <w:t xml:space="preserve"> ja </w:t>
      </w:r>
      <w:proofErr w:type="spellStart"/>
      <w:r w:rsidRPr="00DA781B">
        <w:t>ebaproportsionaalne</w:t>
      </w:r>
      <w:proofErr w:type="spellEnd"/>
      <w:r w:rsidRPr="00DA781B">
        <w:t xml:space="preserve"> </w:t>
      </w:r>
      <w:proofErr w:type="spellStart"/>
      <w:r w:rsidRPr="00DA781B">
        <w:t>lubada</w:t>
      </w:r>
      <w:proofErr w:type="spellEnd"/>
      <w:r w:rsidRPr="00DA781B">
        <w:t xml:space="preserve"> </w:t>
      </w:r>
      <w:proofErr w:type="spellStart"/>
      <w:r w:rsidRPr="00DA781B">
        <w:t>praegusel</w:t>
      </w:r>
      <w:proofErr w:type="spellEnd"/>
      <w:r w:rsidRPr="00DA781B">
        <w:t xml:space="preserve"> </w:t>
      </w:r>
      <w:proofErr w:type="spellStart"/>
      <w:r w:rsidRPr="00DA781B">
        <w:t>klassifitseerimisettepanekul</w:t>
      </w:r>
      <w:proofErr w:type="spellEnd"/>
      <w:r w:rsidRPr="00DA781B">
        <w:t xml:space="preserve"> </w:t>
      </w:r>
      <w:proofErr w:type="spellStart"/>
      <w:r w:rsidRPr="00DA781B">
        <w:t>edasi</w:t>
      </w:r>
      <w:proofErr w:type="spellEnd"/>
      <w:r w:rsidRPr="00DA781B">
        <w:t xml:space="preserve"> </w:t>
      </w:r>
      <w:proofErr w:type="spellStart"/>
      <w:r w:rsidRPr="00DA781B">
        <w:t>liikuda</w:t>
      </w:r>
      <w:proofErr w:type="spellEnd"/>
      <w:r w:rsidRPr="00DA781B">
        <w:t xml:space="preserve"> ja see </w:t>
      </w:r>
      <w:proofErr w:type="spellStart"/>
      <w:r w:rsidRPr="00DA781B">
        <w:t>vastu</w:t>
      </w:r>
      <w:proofErr w:type="spellEnd"/>
      <w:r w:rsidRPr="00DA781B">
        <w:t xml:space="preserve"> </w:t>
      </w:r>
      <w:proofErr w:type="spellStart"/>
      <w:r w:rsidRPr="00DA781B">
        <w:t>võtta</w:t>
      </w:r>
      <w:proofErr w:type="spellEnd"/>
      <w:r w:rsidRPr="00DA781B">
        <w:t xml:space="preserve"> </w:t>
      </w:r>
      <w:proofErr w:type="spellStart"/>
      <w:r w:rsidRPr="00DA781B">
        <w:t>ilma</w:t>
      </w:r>
      <w:proofErr w:type="spellEnd"/>
      <w:r w:rsidRPr="00DA781B">
        <w:t xml:space="preserve"> </w:t>
      </w:r>
      <w:proofErr w:type="spellStart"/>
      <w:r w:rsidRPr="00DA781B">
        <w:t>nõuetekohase</w:t>
      </w:r>
      <w:proofErr w:type="spellEnd"/>
      <w:r w:rsidRPr="00DA781B">
        <w:t xml:space="preserve"> </w:t>
      </w:r>
      <w:proofErr w:type="spellStart"/>
      <w:r w:rsidRPr="00DA781B">
        <w:t>mõjuhinnanguta</w:t>
      </w:r>
      <w:proofErr w:type="spellEnd"/>
      <w:r w:rsidRPr="00DA781B">
        <w:t xml:space="preserve">, kuna </w:t>
      </w:r>
      <w:proofErr w:type="spellStart"/>
      <w:r w:rsidRPr="00DA781B">
        <w:t>etanooli</w:t>
      </w:r>
      <w:proofErr w:type="spellEnd"/>
      <w:r w:rsidRPr="00DA781B">
        <w:t xml:space="preserve"> </w:t>
      </w:r>
      <w:proofErr w:type="spellStart"/>
      <w:r w:rsidRPr="00DA781B">
        <w:t>olulisemad</w:t>
      </w:r>
      <w:proofErr w:type="spellEnd"/>
      <w:r w:rsidRPr="00DA781B">
        <w:t xml:space="preserve"> </w:t>
      </w:r>
      <w:proofErr w:type="spellStart"/>
      <w:r w:rsidRPr="00DA781B">
        <w:t>kasutusalad</w:t>
      </w:r>
      <w:proofErr w:type="spellEnd"/>
      <w:r w:rsidRPr="00DA781B">
        <w:t xml:space="preserve"> </w:t>
      </w:r>
      <w:proofErr w:type="spellStart"/>
      <w:r w:rsidRPr="00DA781B">
        <w:t>oleksid</w:t>
      </w:r>
      <w:proofErr w:type="spellEnd"/>
      <w:r w:rsidRPr="00DA781B">
        <w:t xml:space="preserve"> </w:t>
      </w:r>
      <w:proofErr w:type="spellStart"/>
      <w:r w:rsidRPr="00DA781B">
        <w:t>mõjutatud</w:t>
      </w:r>
      <w:proofErr w:type="spellEnd"/>
      <w:r w:rsidRPr="00DA781B">
        <w:t xml:space="preserve"> </w:t>
      </w:r>
      <w:proofErr w:type="spellStart"/>
      <w:r w:rsidRPr="00DA781B">
        <w:t>ilma</w:t>
      </w:r>
      <w:proofErr w:type="spellEnd"/>
      <w:r w:rsidRPr="00DA781B">
        <w:t xml:space="preserve"> </w:t>
      </w:r>
      <w:proofErr w:type="spellStart"/>
      <w:r w:rsidRPr="00DA781B">
        <w:t>tegeliku</w:t>
      </w:r>
      <w:proofErr w:type="spellEnd"/>
      <w:r w:rsidRPr="00DA781B">
        <w:t xml:space="preserve"> </w:t>
      </w:r>
      <w:proofErr w:type="spellStart"/>
      <w:r w:rsidRPr="00DA781B">
        <w:t>kasuta</w:t>
      </w:r>
      <w:proofErr w:type="spellEnd"/>
      <w:r w:rsidR="00DA3148">
        <w:t xml:space="preserve">, </w:t>
      </w:r>
      <w:proofErr w:type="spellStart"/>
      <w:r w:rsidR="00DA3148">
        <w:t>kuivõrd</w:t>
      </w:r>
      <w:proofErr w:type="spellEnd"/>
      <w:r w:rsidR="00DA3148">
        <w:t xml:space="preserve"> </w:t>
      </w:r>
      <w:proofErr w:type="spellStart"/>
      <w:r w:rsidRPr="00DA781B">
        <w:t>suukaud</w:t>
      </w:r>
      <w:r w:rsidR="00F63264">
        <w:t>ne</w:t>
      </w:r>
      <w:proofErr w:type="spellEnd"/>
      <w:r w:rsidRPr="00DA781B">
        <w:t xml:space="preserve"> </w:t>
      </w:r>
      <w:proofErr w:type="spellStart"/>
      <w:r w:rsidRPr="00DA781B">
        <w:t>alkoholi</w:t>
      </w:r>
      <w:proofErr w:type="spellEnd"/>
      <w:r w:rsidRPr="00DA781B">
        <w:t xml:space="preserve"> </w:t>
      </w:r>
      <w:proofErr w:type="spellStart"/>
      <w:r w:rsidRPr="00DA781B">
        <w:t>kuritarvitami</w:t>
      </w:r>
      <w:r w:rsidR="00F63264">
        <w:t>ne</w:t>
      </w:r>
      <w:proofErr w:type="spellEnd"/>
      <w:r w:rsidRPr="00DA781B">
        <w:t xml:space="preserve"> </w:t>
      </w:r>
      <w:proofErr w:type="spellStart"/>
      <w:r w:rsidRPr="00DA781B">
        <w:t>ei</w:t>
      </w:r>
      <w:proofErr w:type="spellEnd"/>
      <w:r w:rsidRPr="00DA781B">
        <w:t xml:space="preserve"> </w:t>
      </w:r>
      <w:proofErr w:type="spellStart"/>
      <w:r w:rsidRPr="00DA781B">
        <w:t>oma</w:t>
      </w:r>
      <w:proofErr w:type="spellEnd"/>
      <w:r w:rsidRPr="00DA781B">
        <w:t xml:space="preserve"> </w:t>
      </w:r>
      <w:proofErr w:type="spellStart"/>
      <w:r w:rsidRPr="00DA781B">
        <w:t>biotsiidse</w:t>
      </w:r>
      <w:proofErr w:type="spellEnd"/>
      <w:r w:rsidRPr="00DA781B">
        <w:t xml:space="preserve"> </w:t>
      </w:r>
      <w:proofErr w:type="spellStart"/>
      <w:r w:rsidRPr="00DA781B">
        <w:t>kasutuse</w:t>
      </w:r>
      <w:proofErr w:type="spellEnd"/>
      <w:r w:rsidRPr="00DA781B">
        <w:t xml:space="preserve"> </w:t>
      </w:r>
      <w:proofErr w:type="spellStart"/>
      <w:r w:rsidRPr="00DA781B">
        <w:t>ega</w:t>
      </w:r>
      <w:proofErr w:type="spellEnd"/>
      <w:r w:rsidRPr="00DA781B">
        <w:t xml:space="preserve"> </w:t>
      </w:r>
      <w:proofErr w:type="spellStart"/>
      <w:r w:rsidRPr="00DA781B">
        <w:t>üldise</w:t>
      </w:r>
      <w:proofErr w:type="spellEnd"/>
      <w:r w:rsidRPr="00DA781B">
        <w:t xml:space="preserve"> </w:t>
      </w:r>
      <w:proofErr w:type="spellStart"/>
      <w:r w:rsidRPr="00DA781B">
        <w:t>klassifitseerimise</w:t>
      </w:r>
      <w:proofErr w:type="spellEnd"/>
      <w:r w:rsidRPr="00DA781B">
        <w:t xml:space="preserve"> </w:t>
      </w:r>
      <w:proofErr w:type="spellStart"/>
      <w:r w:rsidR="00F63264">
        <w:t>aspektis</w:t>
      </w:r>
      <w:r w:rsidRPr="00DA781B">
        <w:t>t</w:t>
      </w:r>
      <w:proofErr w:type="spellEnd"/>
      <w:r w:rsidRPr="00DA781B">
        <w:t xml:space="preserve"> </w:t>
      </w:r>
      <w:proofErr w:type="spellStart"/>
      <w:r w:rsidRPr="00DA781B">
        <w:t>mingit</w:t>
      </w:r>
      <w:proofErr w:type="spellEnd"/>
      <w:r w:rsidRPr="00DA781B">
        <w:t xml:space="preserve"> </w:t>
      </w:r>
      <w:proofErr w:type="spellStart"/>
      <w:r w:rsidRPr="00DA781B">
        <w:t>asjakohasust</w:t>
      </w:r>
      <w:proofErr w:type="spellEnd"/>
      <w:r w:rsidRPr="00DA781B">
        <w:t>.</w:t>
      </w:r>
    </w:p>
    <w:p w14:paraId="1735AE76" w14:textId="77777777" w:rsidR="00A06720" w:rsidRDefault="00A06720" w:rsidP="00880EFC">
      <w:pPr>
        <w:pStyle w:val="ListParagraph"/>
        <w:jc w:val="both"/>
      </w:pPr>
    </w:p>
    <w:p w14:paraId="25734C52" w14:textId="3DA2F90A" w:rsidR="00A06720" w:rsidRPr="00EC4C63" w:rsidRDefault="00A06720" w:rsidP="00880EFC">
      <w:pPr>
        <w:pStyle w:val="ListParagraph"/>
        <w:jc w:val="both"/>
        <w:rPr>
          <w:b/>
          <w:bCs/>
        </w:rPr>
      </w:pPr>
      <w:proofErr w:type="spellStart"/>
      <w:r w:rsidRPr="00EC4C63">
        <w:rPr>
          <w:b/>
          <w:bCs/>
        </w:rPr>
        <w:t>Eeltoodud</w:t>
      </w:r>
      <w:proofErr w:type="spellEnd"/>
      <w:r w:rsidRPr="00EC4C63">
        <w:rPr>
          <w:b/>
          <w:bCs/>
        </w:rPr>
        <w:t xml:space="preserve"> </w:t>
      </w:r>
      <w:proofErr w:type="spellStart"/>
      <w:r w:rsidRPr="00EC4C63">
        <w:rPr>
          <w:b/>
          <w:bCs/>
        </w:rPr>
        <w:t>konteksti</w:t>
      </w:r>
      <w:proofErr w:type="spellEnd"/>
      <w:r w:rsidRPr="00EC4C63">
        <w:rPr>
          <w:b/>
          <w:bCs/>
        </w:rPr>
        <w:t xml:space="preserve"> </w:t>
      </w:r>
      <w:proofErr w:type="spellStart"/>
      <w:r w:rsidRPr="00EC4C63">
        <w:rPr>
          <w:b/>
          <w:bCs/>
        </w:rPr>
        <w:t>arvestades</w:t>
      </w:r>
      <w:proofErr w:type="spellEnd"/>
      <w:r w:rsidRPr="00EC4C63">
        <w:rPr>
          <w:b/>
          <w:bCs/>
        </w:rPr>
        <w:t xml:space="preserve"> </w:t>
      </w:r>
      <w:proofErr w:type="spellStart"/>
      <w:r w:rsidR="00232BA0" w:rsidRPr="00EC4C63">
        <w:rPr>
          <w:b/>
          <w:bCs/>
        </w:rPr>
        <w:t>oleme</w:t>
      </w:r>
      <w:proofErr w:type="spellEnd"/>
      <w:r w:rsidRPr="00EC4C63">
        <w:rPr>
          <w:b/>
          <w:bCs/>
        </w:rPr>
        <w:t xml:space="preserve"> </w:t>
      </w:r>
      <w:proofErr w:type="spellStart"/>
      <w:r w:rsidRPr="00EC4C63">
        <w:rPr>
          <w:b/>
          <w:bCs/>
        </w:rPr>
        <w:t>seisukoha</w:t>
      </w:r>
      <w:r w:rsidR="00232BA0" w:rsidRPr="00EC4C63">
        <w:rPr>
          <w:b/>
          <w:bCs/>
        </w:rPr>
        <w:t>l</w:t>
      </w:r>
      <w:proofErr w:type="spellEnd"/>
      <w:r w:rsidRPr="00EC4C63">
        <w:rPr>
          <w:b/>
          <w:bCs/>
        </w:rPr>
        <w:t xml:space="preserve">, et </w:t>
      </w:r>
      <w:proofErr w:type="spellStart"/>
      <w:r w:rsidRPr="00EC4C63">
        <w:rPr>
          <w:b/>
          <w:bCs/>
        </w:rPr>
        <w:t>teaduslikult</w:t>
      </w:r>
      <w:proofErr w:type="spellEnd"/>
      <w:r w:rsidRPr="00EC4C63">
        <w:rPr>
          <w:b/>
          <w:bCs/>
        </w:rPr>
        <w:t xml:space="preserve"> ja </w:t>
      </w:r>
      <w:proofErr w:type="spellStart"/>
      <w:r w:rsidRPr="00EC4C63">
        <w:rPr>
          <w:b/>
          <w:bCs/>
        </w:rPr>
        <w:t>juriidiliselt</w:t>
      </w:r>
      <w:proofErr w:type="spellEnd"/>
      <w:r w:rsidRPr="00EC4C63">
        <w:rPr>
          <w:b/>
          <w:bCs/>
        </w:rPr>
        <w:t xml:space="preserve"> </w:t>
      </w:r>
      <w:proofErr w:type="spellStart"/>
      <w:r w:rsidR="00232BA0" w:rsidRPr="00EC4C63">
        <w:rPr>
          <w:b/>
          <w:bCs/>
        </w:rPr>
        <w:t>kõige</w:t>
      </w:r>
      <w:proofErr w:type="spellEnd"/>
      <w:r w:rsidR="00232BA0" w:rsidRPr="00EC4C63">
        <w:rPr>
          <w:b/>
          <w:bCs/>
        </w:rPr>
        <w:t xml:space="preserve"> </w:t>
      </w:r>
      <w:proofErr w:type="spellStart"/>
      <w:r w:rsidRPr="00EC4C63">
        <w:rPr>
          <w:b/>
          <w:bCs/>
        </w:rPr>
        <w:t>korrektsem</w:t>
      </w:r>
      <w:proofErr w:type="spellEnd"/>
      <w:r w:rsidRPr="00EC4C63">
        <w:rPr>
          <w:b/>
          <w:bCs/>
        </w:rPr>
        <w:t xml:space="preserve"> </w:t>
      </w:r>
      <w:proofErr w:type="spellStart"/>
      <w:r w:rsidRPr="00EC4C63">
        <w:rPr>
          <w:b/>
          <w:bCs/>
        </w:rPr>
        <w:t>ettepanek</w:t>
      </w:r>
      <w:proofErr w:type="spellEnd"/>
      <w:r w:rsidRPr="00EC4C63">
        <w:rPr>
          <w:b/>
          <w:bCs/>
        </w:rPr>
        <w:t xml:space="preserve">, </w:t>
      </w:r>
      <w:proofErr w:type="spellStart"/>
      <w:r w:rsidRPr="00EC4C63">
        <w:rPr>
          <w:b/>
          <w:bCs/>
        </w:rPr>
        <w:t>mille</w:t>
      </w:r>
      <w:proofErr w:type="spellEnd"/>
      <w:r w:rsidRPr="00EC4C63">
        <w:rPr>
          <w:b/>
          <w:bCs/>
        </w:rPr>
        <w:t xml:space="preserve"> BPC peaks </w:t>
      </w:r>
      <w:proofErr w:type="spellStart"/>
      <w:r w:rsidRPr="00EC4C63">
        <w:rPr>
          <w:b/>
          <w:bCs/>
        </w:rPr>
        <w:t>oma</w:t>
      </w:r>
      <w:proofErr w:type="spellEnd"/>
      <w:r w:rsidRPr="00EC4C63">
        <w:rPr>
          <w:b/>
          <w:bCs/>
        </w:rPr>
        <w:t xml:space="preserve"> </w:t>
      </w:r>
      <w:proofErr w:type="spellStart"/>
      <w:r w:rsidRPr="00EC4C63">
        <w:rPr>
          <w:b/>
          <w:bCs/>
        </w:rPr>
        <w:t>arvamuses</w:t>
      </w:r>
      <w:proofErr w:type="spellEnd"/>
      <w:r w:rsidRPr="00EC4C63">
        <w:rPr>
          <w:b/>
          <w:bCs/>
        </w:rPr>
        <w:t xml:space="preserve"> (BPC Opinion) </w:t>
      </w:r>
      <w:proofErr w:type="spellStart"/>
      <w:r w:rsidRPr="00EC4C63">
        <w:rPr>
          <w:b/>
          <w:bCs/>
        </w:rPr>
        <w:t>tegema</w:t>
      </w:r>
      <w:proofErr w:type="spellEnd"/>
      <w:r w:rsidRPr="00EC4C63">
        <w:rPr>
          <w:b/>
          <w:bCs/>
        </w:rPr>
        <w:t xml:space="preserve">, on see, et </w:t>
      </w:r>
      <w:proofErr w:type="spellStart"/>
      <w:r w:rsidRPr="00EC4C63">
        <w:rPr>
          <w:b/>
          <w:bCs/>
        </w:rPr>
        <w:t>etanooli</w:t>
      </w:r>
      <w:proofErr w:type="spellEnd"/>
      <w:r w:rsidRPr="00EC4C63">
        <w:rPr>
          <w:b/>
          <w:bCs/>
        </w:rPr>
        <w:t xml:space="preserve"> </w:t>
      </w:r>
      <w:proofErr w:type="spellStart"/>
      <w:r w:rsidRPr="00EC4C63">
        <w:rPr>
          <w:b/>
          <w:bCs/>
        </w:rPr>
        <w:t>biotsiidi</w:t>
      </w:r>
      <w:proofErr w:type="spellEnd"/>
      <w:r w:rsidRPr="00EC4C63">
        <w:rPr>
          <w:b/>
          <w:bCs/>
        </w:rPr>
        <w:t xml:space="preserve"> </w:t>
      </w:r>
      <w:proofErr w:type="spellStart"/>
      <w:r w:rsidRPr="00EC4C63">
        <w:rPr>
          <w:b/>
          <w:bCs/>
        </w:rPr>
        <w:t>toimikusse</w:t>
      </w:r>
      <w:proofErr w:type="spellEnd"/>
      <w:r w:rsidRPr="00EC4C63">
        <w:rPr>
          <w:b/>
          <w:bCs/>
        </w:rPr>
        <w:t xml:space="preserve"> </w:t>
      </w:r>
      <w:proofErr w:type="spellStart"/>
      <w:r w:rsidRPr="00EC4C63">
        <w:rPr>
          <w:b/>
          <w:bCs/>
        </w:rPr>
        <w:t>esitatud</w:t>
      </w:r>
      <w:proofErr w:type="spellEnd"/>
      <w:r w:rsidRPr="00EC4C63">
        <w:rPr>
          <w:b/>
          <w:bCs/>
        </w:rPr>
        <w:t xml:space="preserve"> </w:t>
      </w:r>
      <w:proofErr w:type="spellStart"/>
      <w:r w:rsidRPr="00EC4C63">
        <w:rPr>
          <w:b/>
          <w:bCs/>
        </w:rPr>
        <w:t>andmed</w:t>
      </w:r>
      <w:proofErr w:type="spellEnd"/>
      <w:r w:rsidRPr="00EC4C63">
        <w:rPr>
          <w:b/>
          <w:bCs/>
        </w:rPr>
        <w:t xml:space="preserve"> on </w:t>
      </w:r>
      <w:proofErr w:type="spellStart"/>
      <w:r w:rsidRPr="00EC4C63">
        <w:rPr>
          <w:b/>
          <w:bCs/>
        </w:rPr>
        <w:t>ebapiisavad</w:t>
      </w:r>
      <w:proofErr w:type="spellEnd"/>
      <w:r w:rsidRPr="00EC4C63">
        <w:rPr>
          <w:b/>
          <w:bCs/>
        </w:rPr>
        <w:t xml:space="preserve"> – need </w:t>
      </w:r>
      <w:proofErr w:type="spellStart"/>
      <w:r w:rsidRPr="00EC4C63">
        <w:rPr>
          <w:b/>
          <w:bCs/>
        </w:rPr>
        <w:t>ei</w:t>
      </w:r>
      <w:proofErr w:type="spellEnd"/>
      <w:r w:rsidRPr="00EC4C63">
        <w:rPr>
          <w:b/>
          <w:bCs/>
        </w:rPr>
        <w:t xml:space="preserve"> </w:t>
      </w:r>
      <w:proofErr w:type="spellStart"/>
      <w:r w:rsidRPr="00EC4C63">
        <w:rPr>
          <w:b/>
          <w:bCs/>
        </w:rPr>
        <w:t>võimalda</w:t>
      </w:r>
      <w:proofErr w:type="spellEnd"/>
      <w:r w:rsidRPr="00EC4C63">
        <w:rPr>
          <w:b/>
          <w:bCs/>
        </w:rPr>
        <w:t xml:space="preserve"> </w:t>
      </w:r>
      <w:proofErr w:type="spellStart"/>
      <w:r w:rsidRPr="00EC4C63">
        <w:rPr>
          <w:b/>
          <w:bCs/>
        </w:rPr>
        <w:t>piisava</w:t>
      </w:r>
      <w:proofErr w:type="spellEnd"/>
      <w:r w:rsidRPr="00EC4C63">
        <w:rPr>
          <w:b/>
          <w:bCs/>
        </w:rPr>
        <w:t xml:space="preserve"> </w:t>
      </w:r>
      <w:proofErr w:type="spellStart"/>
      <w:r w:rsidRPr="00EC4C63">
        <w:rPr>
          <w:b/>
          <w:bCs/>
        </w:rPr>
        <w:t>kindlusega</w:t>
      </w:r>
      <w:proofErr w:type="spellEnd"/>
      <w:r w:rsidRPr="00EC4C63">
        <w:rPr>
          <w:b/>
          <w:bCs/>
        </w:rPr>
        <w:t xml:space="preserve"> </w:t>
      </w:r>
      <w:proofErr w:type="spellStart"/>
      <w:r w:rsidRPr="00EC4C63">
        <w:rPr>
          <w:b/>
          <w:bCs/>
        </w:rPr>
        <w:t>otsustada</w:t>
      </w:r>
      <w:proofErr w:type="spellEnd"/>
      <w:r w:rsidRPr="00EC4C63">
        <w:rPr>
          <w:b/>
          <w:bCs/>
        </w:rPr>
        <w:t xml:space="preserve">, kas </w:t>
      </w:r>
      <w:proofErr w:type="spellStart"/>
      <w:r w:rsidRPr="00EC4C63">
        <w:rPr>
          <w:b/>
          <w:bCs/>
        </w:rPr>
        <w:t>etanoolil</w:t>
      </w:r>
      <w:proofErr w:type="spellEnd"/>
      <w:r w:rsidRPr="00EC4C63">
        <w:rPr>
          <w:b/>
          <w:bCs/>
        </w:rPr>
        <w:t xml:space="preserve"> on </w:t>
      </w:r>
      <w:proofErr w:type="spellStart"/>
      <w:r w:rsidRPr="00EC4C63">
        <w:rPr>
          <w:b/>
          <w:bCs/>
        </w:rPr>
        <w:t>võimalikud</w:t>
      </w:r>
      <w:proofErr w:type="spellEnd"/>
      <w:r w:rsidRPr="00EC4C63">
        <w:rPr>
          <w:b/>
          <w:bCs/>
        </w:rPr>
        <w:t xml:space="preserve"> </w:t>
      </w:r>
      <w:r w:rsidR="00373C6E" w:rsidRPr="00EC4C63">
        <w:rPr>
          <w:b/>
          <w:bCs/>
        </w:rPr>
        <w:t>K</w:t>
      </w:r>
      <w:r w:rsidRPr="00EC4C63">
        <w:rPr>
          <w:b/>
          <w:bCs/>
        </w:rPr>
        <w:t>MR-</w:t>
      </w:r>
      <w:proofErr w:type="spellStart"/>
      <w:r w:rsidRPr="00EC4C63">
        <w:rPr>
          <w:b/>
          <w:bCs/>
        </w:rPr>
        <w:t>omadused</w:t>
      </w:r>
      <w:proofErr w:type="spellEnd"/>
      <w:r w:rsidRPr="00EC4C63">
        <w:rPr>
          <w:b/>
          <w:bCs/>
        </w:rPr>
        <w:t xml:space="preserve"> (</w:t>
      </w:r>
      <w:proofErr w:type="spellStart"/>
      <w:r w:rsidRPr="00EC4C63">
        <w:rPr>
          <w:b/>
          <w:bCs/>
        </w:rPr>
        <w:t>kantserogeensus</w:t>
      </w:r>
      <w:proofErr w:type="spellEnd"/>
      <w:r w:rsidRPr="00EC4C63">
        <w:rPr>
          <w:b/>
          <w:bCs/>
        </w:rPr>
        <w:t xml:space="preserve">, </w:t>
      </w:r>
      <w:proofErr w:type="spellStart"/>
      <w:r w:rsidRPr="00EC4C63">
        <w:rPr>
          <w:b/>
          <w:bCs/>
        </w:rPr>
        <w:t>mutageensus</w:t>
      </w:r>
      <w:proofErr w:type="spellEnd"/>
      <w:r w:rsidRPr="00EC4C63">
        <w:rPr>
          <w:b/>
          <w:bCs/>
        </w:rPr>
        <w:t xml:space="preserve">, </w:t>
      </w:r>
      <w:proofErr w:type="spellStart"/>
      <w:r w:rsidRPr="00EC4C63">
        <w:rPr>
          <w:b/>
          <w:bCs/>
        </w:rPr>
        <w:t>reproduktiivtoksilisus</w:t>
      </w:r>
      <w:proofErr w:type="spellEnd"/>
      <w:r w:rsidRPr="00EC4C63">
        <w:rPr>
          <w:b/>
          <w:bCs/>
        </w:rPr>
        <w:t>).</w:t>
      </w:r>
    </w:p>
    <w:p w14:paraId="118C0A70" w14:textId="77777777" w:rsidR="00AB11EE" w:rsidRDefault="00AB11EE" w:rsidP="00880EFC">
      <w:pPr>
        <w:pStyle w:val="ListParagraph"/>
        <w:jc w:val="both"/>
      </w:pPr>
    </w:p>
    <w:p w14:paraId="745C1060" w14:textId="6DE67E0D" w:rsidR="00AB11EE" w:rsidRPr="00EC4C63" w:rsidRDefault="00AB11EE" w:rsidP="00880EFC">
      <w:pPr>
        <w:pStyle w:val="ListParagraph"/>
        <w:jc w:val="both"/>
        <w:rPr>
          <w:b/>
          <w:bCs/>
          <w:lang w:val="et-EE"/>
        </w:rPr>
      </w:pPr>
      <w:r w:rsidRPr="00EC4C63">
        <w:rPr>
          <w:b/>
          <w:bCs/>
          <w:lang w:val="et-EE"/>
        </w:rPr>
        <w:t>Ü</w:t>
      </w:r>
      <w:r w:rsidR="00DE7FEB" w:rsidRPr="00EC4C63">
        <w:rPr>
          <w:b/>
          <w:bCs/>
          <w:lang w:val="et-EE"/>
        </w:rPr>
        <w:t>laltoodust johtuvalt</w:t>
      </w:r>
      <w:r w:rsidRPr="00EC4C63">
        <w:rPr>
          <w:b/>
          <w:bCs/>
          <w:lang w:val="et-EE"/>
        </w:rPr>
        <w:t xml:space="preserve"> kutsu</w:t>
      </w:r>
      <w:r w:rsidR="00DE7FEB" w:rsidRPr="00EC4C63">
        <w:rPr>
          <w:b/>
          <w:bCs/>
          <w:lang w:val="et-EE"/>
        </w:rPr>
        <w:t>me</w:t>
      </w:r>
      <w:r w:rsidRPr="00EC4C63">
        <w:rPr>
          <w:b/>
          <w:bCs/>
          <w:lang w:val="et-EE"/>
        </w:rPr>
        <w:t xml:space="preserve"> BPC-d</w:t>
      </w:r>
      <w:r w:rsidR="00B371ED" w:rsidRPr="00EC4C63">
        <w:rPr>
          <w:b/>
          <w:bCs/>
          <w:lang w:val="et-EE"/>
        </w:rPr>
        <w:t xml:space="preserve"> ja eelkõige Eesti esindajat BPC-s</w:t>
      </w:r>
      <w:r w:rsidRPr="00EC4C63">
        <w:rPr>
          <w:b/>
          <w:bCs/>
          <w:lang w:val="et-EE"/>
        </w:rPr>
        <w:t xml:space="preserve"> tungivalt üles mitte toetama inimtervise töörühma ettepanekut liigitada etanool BPC arvamuses</w:t>
      </w:r>
      <w:r w:rsidR="003050A6" w:rsidRPr="00EC4C63">
        <w:rPr>
          <w:b/>
          <w:bCs/>
          <w:lang w:val="et-EE"/>
        </w:rPr>
        <w:t xml:space="preserve"> (BPC oppinion)</w:t>
      </w:r>
      <w:r w:rsidRPr="00EC4C63">
        <w:rPr>
          <w:b/>
          <w:bCs/>
          <w:lang w:val="et-EE"/>
        </w:rPr>
        <w:t xml:space="preserve"> 1. kategooria kantserogeenseks ja reproduktiivtoksiliseks aineks.</w:t>
      </w:r>
    </w:p>
    <w:p w14:paraId="491ECF5F" w14:textId="77777777" w:rsidR="002A6B13" w:rsidRPr="00EC4C63" w:rsidRDefault="002A6B13" w:rsidP="00880EFC">
      <w:pPr>
        <w:pStyle w:val="ListParagraph"/>
        <w:jc w:val="both"/>
        <w:rPr>
          <w:b/>
          <w:bCs/>
          <w:lang w:val="et-EE"/>
        </w:rPr>
      </w:pPr>
    </w:p>
    <w:p w14:paraId="11FC7616" w14:textId="414EEAFC" w:rsidR="002A6B13" w:rsidRPr="00EC4C63" w:rsidRDefault="00A00A46" w:rsidP="00880EFC">
      <w:pPr>
        <w:pStyle w:val="ListParagraph"/>
        <w:jc w:val="both"/>
        <w:rPr>
          <w:b/>
          <w:bCs/>
          <w:lang w:val="et-EE"/>
        </w:rPr>
      </w:pPr>
      <w:r w:rsidRPr="00EC4C63">
        <w:rPr>
          <w:b/>
          <w:bCs/>
          <w:lang w:val="et-EE"/>
        </w:rPr>
        <w:t xml:space="preserve">Võttes arvesse </w:t>
      </w:r>
      <w:r w:rsidR="00902F32" w:rsidRPr="00EC4C63">
        <w:rPr>
          <w:b/>
          <w:bCs/>
          <w:lang w:val="et-EE"/>
        </w:rPr>
        <w:t>teema tõsidust ning prioriteetsust kogu keemiatööstusele ja seotud tööstusharudele</w:t>
      </w:r>
      <w:r w:rsidR="00B81EF9" w:rsidRPr="00EC4C63">
        <w:rPr>
          <w:b/>
          <w:bCs/>
          <w:lang w:val="et-EE"/>
        </w:rPr>
        <w:t xml:space="preserve">, palume selle põhjalikku arutelu kemikaaliohutuse komisjonis esimesel võimalusel. </w:t>
      </w:r>
    </w:p>
    <w:sectPr w:rsidR="002A6B13" w:rsidRPr="00EC4C63" w:rsidSect="009247FE">
      <w:headerReference w:type="default" r:id="rId7"/>
      <w:footerReference w:type="default" r:id="rId8"/>
      <w:pgSz w:w="12240" w:h="15840"/>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59D8C" w14:textId="77777777" w:rsidR="00542882" w:rsidRDefault="00542882" w:rsidP="00547077">
      <w:pPr>
        <w:spacing w:after="0" w:line="240" w:lineRule="auto"/>
      </w:pPr>
      <w:r>
        <w:separator/>
      </w:r>
    </w:p>
  </w:endnote>
  <w:endnote w:type="continuationSeparator" w:id="0">
    <w:p w14:paraId="361B0468" w14:textId="77777777" w:rsidR="00542882" w:rsidRDefault="00542882" w:rsidP="0054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BAD4" w14:textId="062660E6" w:rsidR="00681D4D" w:rsidRDefault="00681D4D">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268"/>
      <w:gridCol w:w="1919"/>
      <w:gridCol w:w="1953"/>
    </w:tblGrid>
    <w:tr w:rsidR="00681D4D" w:rsidRPr="00681D4D" w14:paraId="3B1B76D4" w14:textId="77777777" w:rsidTr="005C2C4C">
      <w:tc>
        <w:tcPr>
          <w:tcW w:w="3256" w:type="dxa"/>
          <w:tcBorders>
            <w:top w:val="single" w:sz="4" w:space="0" w:color="auto"/>
          </w:tcBorders>
        </w:tcPr>
        <w:p w14:paraId="72A42696" w14:textId="77777777" w:rsidR="00681D4D" w:rsidRPr="00681D4D" w:rsidRDefault="00681D4D" w:rsidP="00681D4D">
          <w:pPr>
            <w:tabs>
              <w:tab w:val="center" w:pos="4680"/>
              <w:tab w:val="right" w:pos="9360"/>
            </w:tabs>
            <w:rPr>
              <w:rFonts w:ascii="Open Sans Light" w:eastAsia="Calibri" w:hAnsi="Open Sans Light" w:cs="Open Sans Light"/>
              <w:color w:val="808080"/>
              <w:kern w:val="0"/>
              <w:sz w:val="16"/>
              <w:szCs w:val="16"/>
              <w:lang w:val="fi-FI"/>
              <w14:ligatures w14:val="none"/>
            </w:rPr>
          </w:pPr>
          <w:r w:rsidRPr="00681D4D">
            <w:rPr>
              <w:rFonts w:ascii="Open Sans Light" w:eastAsia="Calibri" w:hAnsi="Open Sans Light" w:cs="Open Sans Light"/>
              <w:color w:val="808080"/>
              <w:kern w:val="0"/>
              <w:sz w:val="16"/>
              <w:szCs w:val="16"/>
              <w:lang w:val="fi-FI"/>
              <w14:ligatures w14:val="none"/>
            </w:rPr>
            <w:t xml:space="preserve">Eesti Keemiatööstuse Liit </w:t>
          </w:r>
        </w:p>
      </w:tc>
      <w:tc>
        <w:tcPr>
          <w:tcW w:w="2268" w:type="dxa"/>
          <w:tcBorders>
            <w:top w:val="single" w:sz="4" w:space="0" w:color="auto"/>
          </w:tcBorders>
        </w:tcPr>
        <w:p w14:paraId="1E6944F3" w14:textId="77777777" w:rsidR="00681D4D" w:rsidRPr="00681D4D" w:rsidRDefault="00681D4D" w:rsidP="00681D4D">
          <w:pPr>
            <w:tabs>
              <w:tab w:val="center" w:pos="4680"/>
              <w:tab w:val="right" w:pos="9360"/>
            </w:tabs>
          </w:pPr>
          <w:r w:rsidRPr="00681D4D">
            <w:rPr>
              <w:rFonts w:ascii="Open Sans Light" w:hAnsi="Open Sans Light" w:cs="Open Sans Light"/>
              <w:color w:val="808080" w:themeColor="background1" w:themeShade="80"/>
              <w:sz w:val="16"/>
              <w:szCs w:val="16"/>
              <w:lang w:val="fi-FI"/>
            </w:rPr>
            <w:t>+372 613 9775</w:t>
          </w:r>
        </w:p>
      </w:tc>
      <w:tc>
        <w:tcPr>
          <w:tcW w:w="1919" w:type="dxa"/>
          <w:vMerge w:val="restart"/>
          <w:tcBorders>
            <w:top w:val="single" w:sz="4" w:space="0" w:color="auto"/>
          </w:tcBorders>
        </w:tcPr>
        <w:p w14:paraId="4786ECE1" w14:textId="77777777" w:rsidR="00681D4D" w:rsidRPr="00681D4D" w:rsidRDefault="00681D4D" w:rsidP="00681D4D">
          <w:pPr>
            <w:tabs>
              <w:tab w:val="center" w:pos="4680"/>
              <w:tab w:val="right" w:pos="9360"/>
            </w:tabs>
          </w:pPr>
          <w:r w:rsidRPr="00681D4D">
            <w:rPr>
              <w:rFonts w:ascii="Open Sans Light" w:hAnsi="Open Sans Light" w:cs="Open Sans Light"/>
              <w:noProof/>
              <w:color w:val="808080" w:themeColor="background1" w:themeShade="80"/>
              <w:sz w:val="16"/>
              <w:szCs w:val="16"/>
            </w:rPr>
            <w:drawing>
              <wp:inline distT="0" distB="0" distL="0" distR="0" wp14:anchorId="50DD07AC" wp14:editId="4A7C3909">
                <wp:extent cx="1034322" cy="372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89.jpg"/>
                        <pic:cNvPicPr/>
                      </pic:nvPicPr>
                      <pic:blipFill>
                        <a:blip r:embed="rId1">
                          <a:extLst>
                            <a:ext uri="{28A0092B-C50C-407E-A947-70E740481C1C}">
                              <a14:useLocalDpi xmlns:a14="http://schemas.microsoft.com/office/drawing/2010/main" val="0"/>
                            </a:ext>
                          </a:extLst>
                        </a:blip>
                        <a:stretch>
                          <a:fillRect/>
                        </a:stretch>
                      </pic:blipFill>
                      <pic:spPr>
                        <a:xfrm>
                          <a:off x="0" y="0"/>
                          <a:ext cx="1137810" cy="409857"/>
                        </a:xfrm>
                        <a:prstGeom prst="rect">
                          <a:avLst/>
                        </a:prstGeom>
                      </pic:spPr>
                    </pic:pic>
                  </a:graphicData>
                </a:graphic>
              </wp:inline>
            </w:drawing>
          </w:r>
        </w:p>
      </w:tc>
      <w:tc>
        <w:tcPr>
          <w:tcW w:w="1953" w:type="dxa"/>
          <w:tcBorders>
            <w:top w:val="single" w:sz="4" w:space="0" w:color="auto"/>
          </w:tcBorders>
        </w:tcPr>
        <w:p w14:paraId="1E3A3BF9" w14:textId="77777777" w:rsidR="00681D4D" w:rsidRPr="00681D4D" w:rsidRDefault="00681D4D" w:rsidP="00681D4D">
          <w:pPr>
            <w:tabs>
              <w:tab w:val="center" w:pos="4680"/>
              <w:tab w:val="right" w:pos="9360"/>
            </w:tabs>
            <w:rPr>
              <w:rFonts w:ascii="Open Sans Light" w:hAnsi="Open Sans Light" w:cs="Open Sans Light"/>
              <w:noProof/>
              <w:color w:val="808080" w:themeColor="background1" w:themeShade="80"/>
              <w:sz w:val="16"/>
              <w:szCs w:val="16"/>
            </w:rPr>
          </w:pPr>
        </w:p>
      </w:tc>
    </w:tr>
    <w:tr w:rsidR="00681D4D" w:rsidRPr="00681D4D" w14:paraId="40647767" w14:textId="77777777" w:rsidTr="005C2C4C">
      <w:tc>
        <w:tcPr>
          <w:tcW w:w="3256" w:type="dxa"/>
        </w:tcPr>
        <w:p w14:paraId="27AA85C6" w14:textId="77777777" w:rsidR="00681D4D" w:rsidRPr="00681D4D" w:rsidRDefault="00681D4D" w:rsidP="00681D4D">
          <w:pPr>
            <w:tabs>
              <w:tab w:val="center" w:pos="4680"/>
              <w:tab w:val="right" w:pos="9360"/>
            </w:tabs>
          </w:pPr>
          <w:r w:rsidRPr="00681D4D">
            <w:rPr>
              <w:rFonts w:ascii="Open Sans Light" w:eastAsia="Calibri" w:hAnsi="Open Sans Light" w:cs="Open Sans Light"/>
              <w:color w:val="808080"/>
              <w:kern w:val="0"/>
              <w:sz w:val="16"/>
              <w:szCs w:val="16"/>
              <w:lang w:val="fi-FI"/>
              <w14:ligatures w14:val="none"/>
            </w:rPr>
            <w:t>Peterburi tee 46, 11415 Tallinn</w:t>
          </w:r>
        </w:p>
      </w:tc>
      <w:tc>
        <w:tcPr>
          <w:tcW w:w="2268" w:type="dxa"/>
        </w:tcPr>
        <w:p w14:paraId="53DABFD7" w14:textId="77777777" w:rsidR="00681D4D" w:rsidRPr="00681D4D" w:rsidRDefault="00681D4D" w:rsidP="00681D4D">
          <w:pPr>
            <w:tabs>
              <w:tab w:val="center" w:pos="4680"/>
              <w:tab w:val="right" w:pos="9360"/>
            </w:tabs>
          </w:pPr>
          <w:hyperlink r:id="rId2" w:history="1">
            <w:r w:rsidRPr="00681D4D">
              <w:rPr>
                <w:rFonts w:ascii="Open Sans Light" w:hAnsi="Open Sans Light" w:cs="Open Sans Light"/>
                <w:color w:val="467886" w:themeColor="hyperlink"/>
                <w:sz w:val="16"/>
                <w:szCs w:val="16"/>
                <w:u w:val="single"/>
                <w:lang w:val="fi-FI"/>
              </w:rPr>
              <w:t>info@keemia.ee</w:t>
            </w:r>
          </w:hyperlink>
        </w:p>
      </w:tc>
      <w:tc>
        <w:tcPr>
          <w:tcW w:w="1919" w:type="dxa"/>
          <w:vMerge/>
        </w:tcPr>
        <w:p w14:paraId="09FE7CD1" w14:textId="77777777" w:rsidR="00681D4D" w:rsidRPr="00681D4D" w:rsidRDefault="00681D4D" w:rsidP="00681D4D">
          <w:pPr>
            <w:tabs>
              <w:tab w:val="center" w:pos="4680"/>
              <w:tab w:val="right" w:pos="9360"/>
            </w:tabs>
          </w:pPr>
        </w:p>
      </w:tc>
      <w:tc>
        <w:tcPr>
          <w:tcW w:w="1953" w:type="dxa"/>
        </w:tcPr>
        <w:p w14:paraId="03070C03" w14:textId="77777777" w:rsidR="00681D4D" w:rsidRPr="00681D4D" w:rsidRDefault="00681D4D" w:rsidP="00681D4D">
          <w:pPr>
            <w:tabs>
              <w:tab w:val="center" w:pos="4680"/>
              <w:tab w:val="right" w:pos="9360"/>
            </w:tabs>
            <w:jc w:val="right"/>
          </w:pPr>
          <w:r w:rsidRPr="00681D4D">
            <w:rPr>
              <w:lang w:val="et-EE"/>
            </w:rPr>
            <w:t xml:space="preserve"> </w:t>
          </w:r>
          <w:r w:rsidRPr="00681D4D">
            <w:rPr>
              <w:b/>
              <w:bCs/>
            </w:rPr>
            <w:fldChar w:fldCharType="begin"/>
          </w:r>
          <w:r w:rsidRPr="00681D4D">
            <w:rPr>
              <w:b/>
              <w:bCs/>
            </w:rPr>
            <w:instrText>PAGE  \* Arabic  \* MERGEFORMAT</w:instrText>
          </w:r>
          <w:r w:rsidRPr="00681D4D">
            <w:rPr>
              <w:b/>
              <w:bCs/>
            </w:rPr>
            <w:fldChar w:fldCharType="separate"/>
          </w:r>
          <w:r w:rsidRPr="00681D4D">
            <w:rPr>
              <w:b/>
              <w:bCs/>
              <w:lang w:val="et-EE"/>
            </w:rPr>
            <w:t>1</w:t>
          </w:r>
          <w:r w:rsidRPr="00681D4D">
            <w:rPr>
              <w:b/>
              <w:bCs/>
            </w:rPr>
            <w:fldChar w:fldCharType="end"/>
          </w:r>
          <w:r w:rsidRPr="00681D4D">
            <w:rPr>
              <w:lang w:val="et-EE"/>
            </w:rPr>
            <w:t xml:space="preserve"> / </w:t>
          </w:r>
          <w:r w:rsidRPr="00681D4D">
            <w:rPr>
              <w:b/>
              <w:bCs/>
            </w:rPr>
            <w:fldChar w:fldCharType="begin"/>
          </w:r>
          <w:r w:rsidRPr="00681D4D">
            <w:rPr>
              <w:b/>
              <w:bCs/>
            </w:rPr>
            <w:instrText>NUMPAGES  \* Arabic  \* MERGEFORMAT</w:instrText>
          </w:r>
          <w:r w:rsidRPr="00681D4D">
            <w:rPr>
              <w:b/>
              <w:bCs/>
            </w:rPr>
            <w:fldChar w:fldCharType="separate"/>
          </w:r>
          <w:r w:rsidRPr="00681D4D">
            <w:rPr>
              <w:b/>
              <w:bCs/>
              <w:lang w:val="et-EE"/>
            </w:rPr>
            <w:t>2</w:t>
          </w:r>
          <w:r w:rsidRPr="00681D4D">
            <w:rPr>
              <w:b/>
              <w:bCs/>
            </w:rPr>
            <w:fldChar w:fldCharType="end"/>
          </w:r>
        </w:p>
      </w:tc>
    </w:tr>
    <w:tr w:rsidR="00681D4D" w:rsidRPr="00681D4D" w14:paraId="2AD88E6F" w14:textId="77777777" w:rsidTr="005C2C4C">
      <w:tc>
        <w:tcPr>
          <w:tcW w:w="3256" w:type="dxa"/>
        </w:tcPr>
        <w:p w14:paraId="6945799E" w14:textId="77777777" w:rsidR="00681D4D" w:rsidRPr="00681D4D" w:rsidRDefault="00681D4D" w:rsidP="00681D4D">
          <w:pPr>
            <w:tabs>
              <w:tab w:val="center" w:pos="4680"/>
              <w:tab w:val="right" w:pos="9360"/>
            </w:tabs>
          </w:pPr>
        </w:p>
      </w:tc>
      <w:tc>
        <w:tcPr>
          <w:tcW w:w="2268" w:type="dxa"/>
        </w:tcPr>
        <w:p w14:paraId="29579304" w14:textId="77777777" w:rsidR="00681D4D" w:rsidRPr="00681D4D" w:rsidRDefault="00681D4D" w:rsidP="00681D4D">
          <w:pPr>
            <w:tabs>
              <w:tab w:val="center" w:pos="4680"/>
              <w:tab w:val="right" w:pos="9360"/>
            </w:tabs>
          </w:pPr>
          <w:hyperlink r:id="rId3" w:history="1">
            <w:r w:rsidRPr="00681D4D">
              <w:rPr>
                <w:rFonts w:ascii="Open Sans Light" w:hAnsi="Open Sans Light" w:cs="Open Sans Light"/>
                <w:color w:val="467886" w:themeColor="hyperlink"/>
                <w:sz w:val="16"/>
                <w:szCs w:val="16"/>
                <w:u w:val="single"/>
                <w:lang w:val="fi-FI"/>
              </w:rPr>
              <w:t>www.keemia.ee</w:t>
            </w:r>
          </w:hyperlink>
          <w:r w:rsidRPr="00681D4D">
            <w:rPr>
              <w:rFonts w:ascii="Open Sans Light" w:hAnsi="Open Sans Light" w:cs="Open Sans Light"/>
              <w:color w:val="808080" w:themeColor="background1" w:themeShade="80"/>
              <w:sz w:val="16"/>
              <w:szCs w:val="16"/>
              <w:lang w:val="fi-FI"/>
            </w:rPr>
            <w:t xml:space="preserve"> </w:t>
          </w:r>
        </w:p>
      </w:tc>
      <w:tc>
        <w:tcPr>
          <w:tcW w:w="1919" w:type="dxa"/>
          <w:vMerge/>
        </w:tcPr>
        <w:p w14:paraId="1FAFDA85" w14:textId="77777777" w:rsidR="00681D4D" w:rsidRPr="00681D4D" w:rsidRDefault="00681D4D" w:rsidP="00681D4D">
          <w:pPr>
            <w:tabs>
              <w:tab w:val="center" w:pos="4680"/>
              <w:tab w:val="right" w:pos="9360"/>
            </w:tabs>
          </w:pPr>
        </w:p>
      </w:tc>
      <w:tc>
        <w:tcPr>
          <w:tcW w:w="1953" w:type="dxa"/>
        </w:tcPr>
        <w:p w14:paraId="385EE088" w14:textId="77777777" w:rsidR="00681D4D" w:rsidRPr="00681D4D" w:rsidRDefault="00681D4D" w:rsidP="00681D4D">
          <w:pPr>
            <w:tabs>
              <w:tab w:val="center" w:pos="4680"/>
              <w:tab w:val="right" w:pos="9360"/>
            </w:tabs>
          </w:pPr>
        </w:p>
      </w:tc>
    </w:tr>
  </w:tbl>
  <w:p w14:paraId="78B9FD68" w14:textId="6AC0EBE3" w:rsidR="00BC4200" w:rsidRDefault="00BC4200">
    <w:pPr>
      <w:pStyle w:val="Footer"/>
    </w:pPr>
  </w:p>
  <w:p w14:paraId="6837155B" w14:textId="3161BF5C" w:rsidR="00BC4200" w:rsidRDefault="00BC4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714E9" w14:textId="77777777" w:rsidR="00542882" w:rsidRDefault="00542882" w:rsidP="00547077">
      <w:pPr>
        <w:spacing w:after="0" w:line="240" w:lineRule="auto"/>
      </w:pPr>
      <w:r>
        <w:separator/>
      </w:r>
    </w:p>
  </w:footnote>
  <w:footnote w:type="continuationSeparator" w:id="0">
    <w:p w14:paraId="77456895" w14:textId="77777777" w:rsidR="00542882" w:rsidRDefault="00542882" w:rsidP="0054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52BA" w14:textId="07906885" w:rsidR="00547077" w:rsidRDefault="00547077">
    <w:pPr>
      <w:pStyle w:val="Header"/>
    </w:pPr>
    <w:r>
      <w:rPr>
        <w:noProof/>
      </w:rPr>
      <w:drawing>
        <wp:inline distT="0" distB="0" distL="0" distR="0" wp14:anchorId="55169F02" wp14:editId="075C85A9">
          <wp:extent cx="5972810" cy="4445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jpg"/>
                  <pic:cNvPicPr/>
                </pic:nvPicPr>
                <pic:blipFill>
                  <a:blip r:embed="rId1">
                    <a:extLst>
                      <a:ext uri="{28A0092B-C50C-407E-A947-70E740481C1C}">
                        <a14:useLocalDpi xmlns:a14="http://schemas.microsoft.com/office/drawing/2010/main" val="0"/>
                      </a:ext>
                    </a:extLst>
                  </a:blip>
                  <a:stretch>
                    <a:fillRect/>
                  </a:stretch>
                </pic:blipFill>
                <pic:spPr>
                  <a:xfrm>
                    <a:off x="0" y="0"/>
                    <a:ext cx="5972810" cy="444500"/>
                  </a:xfrm>
                  <a:prstGeom prst="rect">
                    <a:avLst/>
                  </a:prstGeom>
                </pic:spPr>
              </pic:pic>
            </a:graphicData>
          </a:graphic>
        </wp:inline>
      </w:drawing>
    </w:r>
  </w:p>
  <w:p w14:paraId="2E0B76F4" w14:textId="77777777" w:rsidR="00547077" w:rsidRDefault="00547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7C0C"/>
    <w:multiLevelType w:val="hybridMultilevel"/>
    <w:tmpl w:val="9A649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A26D4"/>
    <w:multiLevelType w:val="multilevel"/>
    <w:tmpl w:val="BCF4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04106"/>
    <w:multiLevelType w:val="hybridMultilevel"/>
    <w:tmpl w:val="BE62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1111F"/>
    <w:multiLevelType w:val="hybridMultilevel"/>
    <w:tmpl w:val="295E8438"/>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6342D1"/>
    <w:multiLevelType w:val="hybridMultilevel"/>
    <w:tmpl w:val="2C2619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68C5296"/>
    <w:multiLevelType w:val="hybridMultilevel"/>
    <w:tmpl w:val="3BCA0F44"/>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9383541">
    <w:abstractNumId w:val="2"/>
  </w:num>
  <w:num w:numId="2" w16cid:durableId="1112700730">
    <w:abstractNumId w:val="1"/>
  </w:num>
  <w:num w:numId="3" w16cid:durableId="827209981">
    <w:abstractNumId w:val="0"/>
  </w:num>
  <w:num w:numId="4" w16cid:durableId="167838024">
    <w:abstractNumId w:val="4"/>
  </w:num>
  <w:num w:numId="5" w16cid:durableId="521632223">
    <w:abstractNumId w:val="3"/>
  </w:num>
  <w:num w:numId="6" w16cid:durableId="1788936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2E"/>
    <w:rsid w:val="000927C0"/>
    <w:rsid w:val="00094D4B"/>
    <w:rsid w:val="000B2DC3"/>
    <w:rsid w:val="000D1012"/>
    <w:rsid w:val="00103AB1"/>
    <w:rsid w:val="0011407D"/>
    <w:rsid w:val="00167F39"/>
    <w:rsid w:val="00170E91"/>
    <w:rsid w:val="00185F0C"/>
    <w:rsid w:val="00206E26"/>
    <w:rsid w:val="00232BA0"/>
    <w:rsid w:val="00233D39"/>
    <w:rsid w:val="00287522"/>
    <w:rsid w:val="002A6B13"/>
    <w:rsid w:val="002B0A9C"/>
    <w:rsid w:val="002F3065"/>
    <w:rsid w:val="0030085C"/>
    <w:rsid w:val="003050A6"/>
    <w:rsid w:val="0030744D"/>
    <w:rsid w:val="00344CD5"/>
    <w:rsid w:val="0036765C"/>
    <w:rsid w:val="00372265"/>
    <w:rsid w:val="00373C6E"/>
    <w:rsid w:val="00374E92"/>
    <w:rsid w:val="003A211D"/>
    <w:rsid w:val="00416FA4"/>
    <w:rsid w:val="00434984"/>
    <w:rsid w:val="00477C2E"/>
    <w:rsid w:val="004A690A"/>
    <w:rsid w:val="004C7AEA"/>
    <w:rsid w:val="004F3F21"/>
    <w:rsid w:val="00504051"/>
    <w:rsid w:val="00507F8F"/>
    <w:rsid w:val="005259BA"/>
    <w:rsid w:val="00542882"/>
    <w:rsid w:val="00547077"/>
    <w:rsid w:val="006074BD"/>
    <w:rsid w:val="00611506"/>
    <w:rsid w:val="00611DFA"/>
    <w:rsid w:val="00681D4D"/>
    <w:rsid w:val="006843FE"/>
    <w:rsid w:val="006C2FA1"/>
    <w:rsid w:val="006D0756"/>
    <w:rsid w:val="00727C04"/>
    <w:rsid w:val="007374CB"/>
    <w:rsid w:val="007408AE"/>
    <w:rsid w:val="00775EB1"/>
    <w:rsid w:val="007B2F9B"/>
    <w:rsid w:val="007C6DD5"/>
    <w:rsid w:val="00817408"/>
    <w:rsid w:val="008219C7"/>
    <w:rsid w:val="00870916"/>
    <w:rsid w:val="00880EFC"/>
    <w:rsid w:val="00893147"/>
    <w:rsid w:val="00894EDB"/>
    <w:rsid w:val="00897485"/>
    <w:rsid w:val="008A2167"/>
    <w:rsid w:val="00902F32"/>
    <w:rsid w:val="0091172A"/>
    <w:rsid w:val="009247FE"/>
    <w:rsid w:val="009306C4"/>
    <w:rsid w:val="009E7F83"/>
    <w:rsid w:val="00A00A46"/>
    <w:rsid w:val="00A06720"/>
    <w:rsid w:val="00A5112E"/>
    <w:rsid w:val="00A76E09"/>
    <w:rsid w:val="00A83F50"/>
    <w:rsid w:val="00AB11EE"/>
    <w:rsid w:val="00AB5F9A"/>
    <w:rsid w:val="00B03DC1"/>
    <w:rsid w:val="00B371ED"/>
    <w:rsid w:val="00B81EF9"/>
    <w:rsid w:val="00B8548E"/>
    <w:rsid w:val="00BC0882"/>
    <w:rsid w:val="00BC4200"/>
    <w:rsid w:val="00BF6903"/>
    <w:rsid w:val="00C26E83"/>
    <w:rsid w:val="00C41FA0"/>
    <w:rsid w:val="00C74760"/>
    <w:rsid w:val="00CA642D"/>
    <w:rsid w:val="00CC6F51"/>
    <w:rsid w:val="00CE0318"/>
    <w:rsid w:val="00D21BD0"/>
    <w:rsid w:val="00D77AA0"/>
    <w:rsid w:val="00D867D3"/>
    <w:rsid w:val="00DA3148"/>
    <w:rsid w:val="00DA4BB4"/>
    <w:rsid w:val="00DA781B"/>
    <w:rsid w:val="00DE7FEB"/>
    <w:rsid w:val="00E071CB"/>
    <w:rsid w:val="00E149AA"/>
    <w:rsid w:val="00E25507"/>
    <w:rsid w:val="00E77639"/>
    <w:rsid w:val="00E82C6C"/>
    <w:rsid w:val="00E94D45"/>
    <w:rsid w:val="00EC4C63"/>
    <w:rsid w:val="00EF6737"/>
    <w:rsid w:val="00F04368"/>
    <w:rsid w:val="00F63264"/>
    <w:rsid w:val="00F819EB"/>
    <w:rsid w:val="00FE5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376F5"/>
  <w15:chartTrackingRefBased/>
  <w15:docId w15:val="{98F4B918-850D-43F1-B853-42DA7F56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C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C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C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C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C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C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C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C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C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C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C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C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C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C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C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C2E"/>
    <w:rPr>
      <w:rFonts w:eastAsiaTheme="majorEastAsia" w:cstheme="majorBidi"/>
      <w:color w:val="272727" w:themeColor="text1" w:themeTint="D8"/>
    </w:rPr>
  </w:style>
  <w:style w:type="paragraph" w:styleId="Title">
    <w:name w:val="Title"/>
    <w:basedOn w:val="Normal"/>
    <w:next w:val="Normal"/>
    <w:link w:val="TitleChar"/>
    <w:uiPriority w:val="10"/>
    <w:qFormat/>
    <w:rsid w:val="00477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C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C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C2E"/>
    <w:pPr>
      <w:spacing w:before="160"/>
      <w:jc w:val="center"/>
    </w:pPr>
    <w:rPr>
      <w:i/>
      <w:iCs/>
      <w:color w:val="404040" w:themeColor="text1" w:themeTint="BF"/>
    </w:rPr>
  </w:style>
  <w:style w:type="character" w:customStyle="1" w:styleId="QuoteChar">
    <w:name w:val="Quote Char"/>
    <w:basedOn w:val="DefaultParagraphFont"/>
    <w:link w:val="Quote"/>
    <w:uiPriority w:val="29"/>
    <w:rsid w:val="00477C2E"/>
    <w:rPr>
      <w:i/>
      <w:iCs/>
      <w:color w:val="404040" w:themeColor="text1" w:themeTint="BF"/>
    </w:rPr>
  </w:style>
  <w:style w:type="paragraph" w:styleId="ListParagraph">
    <w:name w:val="List Paragraph"/>
    <w:basedOn w:val="Normal"/>
    <w:uiPriority w:val="34"/>
    <w:qFormat/>
    <w:rsid w:val="00477C2E"/>
    <w:pPr>
      <w:ind w:left="720"/>
      <w:contextualSpacing/>
    </w:pPr>
  </w:style>
  <w:style w:type="character" w:styleId="IntenseEmphasis">
    <w:name w:val="Intense Emphasis"/>
    <w:basedOn w:val="DefaultParagraphFont"/>
    <w:uiPriority w:val="21"/>
    <w:qFormat/>
    <w:rsid w:val="00477C2E"/>
    <w:rPr>
      <w:i/>
      <w:iCs/>
      <w:color w:val="0F4761" w:themeColor="accent1" w:themeShade="BF"/>
    </w:rPr>
  </w:style>
  <w:style w:type="paragraph" w:styleId="IntenseQuote">
    <w:name w:val="Intense Quote"/>
    <w:basedOn w:val="Normal"/>
    <w:next w:val="Normal"/>
    <w:link w:val="IntenseQuoteChar"/>
    <w:uiPriority w:val="30"/>
    <w:qFormat/>
    <w:rsid w:val="00477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C2E"/>
    <w:rPr>
      <w:i/>
      <w:iCs/>
      <w:color w:val="0F4761" w:themeColor="accent1" w:themeShade="BF"/>
    </w:rPr>
  </w:style>
  <w:style w:type="character" w:styleId="IntenseReference">
    <w:name w:val="Intense Reference"/>
    <w:basedOn w:val="DefaultParagraphFont"/>
    <w:uiPriority w:val="32"/>
    <w:qFormat/>
    <w:rsid w:val="00477C2E"/>
    <w:rPr>
      <w:b/>
      <w:bCs/>
      <w:smallCaps/>
      <w:color w:val="0F4761" w:themeColor="accent1" w:themeShade="BF"/>
      <w:spacing w:val="5"/>
    </w:rPr>
  </w:style>
  <w:style w:type="paragraph" w:styleId="Header">
    <w:name w:val="header"/>
    <w:basedOn w:val="Normal"/>
    <w:link w:val="HeaderChar"/>
    <w:uiPriority w:val="99"/>
    <w:unhideWhenUsed/>
    <w:rsid w:val="00547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077"/>
  </w:style>
  <w:style w:type="paragraph" w:styleId="Footer">
    <w:name w:val="footer"/>
    <w:basedOn w:val="Normal"/>
    <w:link w:val="FooterChar"/>
    <w:uiPriority w:val="99"/>
    <w:unhideWhenUsed/>
    <w:rsid w:val="00547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077"/>
  </w:style>
  <w:style w:type="table" w:styleId="TableGrid">
    <w:name w:val="Table Grid"/>
    <w:basedOn w:val="TableNormal"/>
    <w:uiPriority w:val="39"/>
    <w:rsid w:val="0068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398931">
      <w:bodyDiv w:val="1"/>
      <w:marLeft w:val="0"/>
      <w:marRight w:val="0"/>
      <w:marTop w:val="0"/>
      <w:marBottom w:val="0"/>
      <w:divBdr>
        <w:top w:val="none" w:sz="0" w:space="0" w:color="auto"/>
        <w:left w:val="none" w:sz="0" w:space="0" w:color="auto"/>
        <w:bottom w:val="none" w:sz="0" w:space="0" w:color="auto"/>
        <w:right w:val="none" w:sz="0" w:space="0" w:color="auto"/>
      </w:divBdr>
    </w:div>
    <w:div w:id="175658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eemia.ee" TargetMode="External"/><Relationship Id="rId2" Type="http://schemas.openxmlformats.org/officeDocument/2006/relationships/hyperlink" Target="mailto:info@keemia.ee"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1051</Words>
  <Characters>5995</Characters>
  <Application>Microsoft Office Word</Application>
  <DocSecurity>0</DocSecurity>
  <Lines>49</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Alaküla</dc:creator>
  <cp:keywords/>
  <dc:description/>
  <cp:lastModifiedBy>Kärt Alaküla</cp:lastModifiedBy>
  <cp:revision>93</cp:revision>
  <dcterms:created xsi:type="dcterms:W3CDTF">2025-05-12T12:29:00Z</dcterms:created>
  <dcterms:modified xsi:type="dcterms:W3CDTF">2025-05-12T20:51:00Z</dcterms:modified>
</cp:coreProperties>
</file>